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4"/>
        <w:jc w:val="center"/>
        <w:rPr>
          <w:rFonts w:hint="eastAsia" w:ascii="Times New Roman" w:hAnsi="Times New Roman" w:eastAsia="宋体" w:cs="Times New Roman"/>
          <w:b/>
          <w:color w:val="auto"/>
          <w:sz w:val="32"/>
          <w:szCs w:val="32"/>
          <w:highlight w:val="none"/>
          <w:shd w:val="clear" w:color="auto" w:fill="auto"/>
          <w:lang w:eastAsia="zh-CN"/>
        </w:rPr>
        <w:sectPr>
          <w:headerReference r:id="rId7" w:type="first"/>
          <w:footerReference r:id="rId10" w:type="first"/>
          <w:headerReference r:id="rId5" w:type="default"/>
          <w:footerReference r:id="rId8" w:type="default"/>
          <w:headerReference r:id="rId6" w:type="even"/>
          <w:footerReference r:id="rId9" w:type="even"/>
          <w:pgSz w:w="11850" w:h="16783"/>
          <w:pgMar w:top="1588" w:right="1276" w:bottom="1418" w:left="1247" w:header="992" w:footer="992" w:gutter="0"/>
          <w:pgBorders>
            <w:top w:val="none" w:sz="0" w:space="0"/>
            <w:left w:val="none" w:sz="0" w:space="0"/>
            <w:bottom w:val="none" w:sz="0" w:space="0"/>
            <w:right w:val="none" w:sz="0" w:space="0"/>
          </w:pgBorders>
          <w:pgNumType w:fmt="upperRoman" w:start="1"/>
          <w:cols w:space="425" w:num="1"/>
          <w:docGrid w:linePitch="360" w:charSpace="0"/>
        </w:sectPr>
      </w:pPr>
      <w:r>
        <w:rPr>
          <w:rFonts w:hint="eastAsia" w:ascii="Times New Roman" w:hAnsi="Times New Roman" w:eastAsia="宋体" w:cs="Times New Roman"/>
          <w:b/>
          <w:color w:val="auto"/>
          <w:sz w:val="32"/>
          <w:szCs w:val="32"/>
          <w:highlight w:val="none"/>
          <w:shd w:val="clear" w:color="auto" w:fill="auto"/>
          <w:lang w:eastAsia="zh-CN"/>
        </w:rPr>
        <w:drawing>
          <wp:anchor distT="0" distB="0" distL="114300" distR="114300" simplePos="0" relativeHeight="251759616" behindDoc="0" locked="0" layoutInCell="1" allowOverlap="1">
            <wp:simplePos x="0" y="0"/>
            <wp:positionH relativeFrom="column">
              <wp:posOffset>-809625</wp:posOffset>
            </wp:positionH>
            <wp:positionV relativeFrom="paragraph">
              <wp:posOffset>-1000125</wp:posOffset>
            </wp:positionV>
            <wp:extent cx="7553325" cy="10720705"/>
            <wp:effectExtent l="0" t="0" r="9525" b="4445"/>
            <wp:wrapSquare wrapText="bothSides"/>
            <wp:docPr id="9" name="图片 9" descr="06-环境影响报告书（送审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6-环境影响报告书（送审稿）"/>
                    <pic:cNvPicPr>
                      <a:picLocks noChangeAspect="1"/>
                    </pic:cNvPicPr>
                  </pic:nvPicPr>
                  <pic:blipFill>
                    <a:blip r:embed="rId33"/>
                    <a:stretch>
                      <a:fillRect/>
                    </a:stretch>
                  </pic:blipFill>
                  <pic:spPr>
                    <a:xfrm>
                      <a:off x="0" y="0"/>
                      <a:ext cx="7553325" cy="10720705"/>
                    </a:xfrm>
                    <a:prstGeom prst="rect">
                      <a:avLst/>
                    </a:prstGeom>
                  </pic:spPr>
                </pic:pic>
              </a:graphicData>
            </a:graphic>
          </wp:anchor>
        </w:drawing>
      </w:r>
    </w:p>
    <w:p>
      <w:pPr>
        <w:pStyle w:val="74"/>
        <w:jc w:val="center"/>
        <w:rPr>
          <w:rFonts w:hint="eastAsia" w:ascii="Times New Roman" w:hAnsi="Times New Roman" w:eastAsia="宋体" w:cs="Times New Roman"/>
          <w:b/>
          <w:color w:val="auto"/>
          <w:sz w:val="32"/>
          <w:szCs w:val="32"/>
          <w:highlight w:val="none"/>
          <w:shd w:val="clear" w:color="auto" w:fill="auto"/>
          <w:lang w:eastAsia="zh-CN"/>
        </w:rPr>
        <w:sectPr>
          <w:pgSz w:w="11850" w:h="16783"/>
          <w:pgMar w:top="1588" w:right="1276" w:bottom="1418" w:left="1247" w:header="992" w:footer="992" w:gutter="0"/>
          <w:pgBorders>
            <w:top w:val="none" w:sz="0" w:space="0"/>
            <w:left w:val="none" w:sz="0" w:space="0"/>
            <w:bottom w:val="none" w:sz="0" w:space="0"/>
            <w:right w:val="none" w:sz="0" w:space="0"/>
          </w:pgBorders>
          <w:pgNumType w:fmt="upperRoman" w:start="1"/>
          <w:cols w:space="425" w:num="1"/>
          <w:docGrid w:linePitch="360" w:charSpace="0"/>
        </w:sectPr>
      </w:pPr>
      <w:r>
        <w:rPr>
          <w:rFonts w:hint="eastAsia" w:ascii="Times New Roman" w:hAnsi="Times New Roman" w:eastAsia="宋体" w:cs="Times New Roman"/>
          <w:b/>
          <w:color w:val="auto"/>
          <w:sz w:val="32"/>
          <w:szCs w:val="32"/>
          <w:highlight w:val="none"/>
          <w:shd w:val="clear" w:color="auto" w:fill="auto"/>
          <w:lang w:eastAsia="zh-CN"/>
        </w:rPr>
        <w:drawing>
          <wp:anchor distT="0" distB="0" distL="114300" distR="114300" simplePos="0" relativeHeight="251755520" behindDoc="0" locked="0" layoutInCell="1" allowOverlap="1">
            <wp:simplePos x="0" y="0"/>
            <wp:positionH relativeFrom="column">
              <wp:posOffset>-782955</wp:posOffset>
            </wp:positionH>
            <wp:positionV relativeFrom="paragraph">
              <wp:posOffset>-1005205</wp:posOffset>
            </wp:positionV>
            <wp:extent cx="7539355" cy="10632440"/>
            <wp:effectExtent l="0" t="0" r="4445" b="16510"/>
            <wp:wrapSquare wrapText="bothSides"/>
            <wp:docPr id="97" name="图片 97" descr="02-编制单位和编制人员情况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02-编制单位和编制人员情况表"/>
                    <pic:cNvPicPr>
                      <a:picLocks noChangeAspect="1"/>
                    </pic:cNvPicPr>
                  </pic:nvPicPr>
                  <pic:blipFill>
                    <a:blip r:embed="rId34"/>
                    <a:stretch>
                      <a:fillRect/>
                    </a:stretch>
                  </pic:blipFill>
                  <pic:spPr>
                    <a:xfrm>
                      <a:off x="0" y="0"/>
                      <a:ext cx="7539355" cy="10632440"/>
                    </a:xfrm>
                    <a:prstGeom prst="rect">
                      <a:avLst/>
                    </a:prstGeom>
                  </pic:spPr>
                </pic:pic>
              </a:graphicData>
            </a:graphic>
          </wp:anchor>
        </w:drawing>
      </w:r>
    </w:p>
    <w:p>
      <w:pPr>
        <w:pStyle w:val="3"/>
        <w:numPr>
          <w:ilvl w:val="0"/>
          <w:numId w:val="0"/>
        </w:numPr>
        <w:rPr>
          <w:rFonts w:hint="default" w:ascii="Times New Roman" w:hAnsi="Times New Roman" w:eastAsia="宋体" w:cs="Times New Roman"/>
          <w:color w:val="auto"/>
          <w:highlight w:val="none"/>
        </w:rPr>
      </w:pPr>
      <w:bookmarkStart w:id="0" w:name="_Toc2618"/>
      <w:bookmarkStart w:id="1" w:name="_Toc8609"/>
      <w:bookmarkStart w:id="2" w:name="_Toc1168"/>
      <w:bookmarkStart w:id="3" w:name="_Toc28473"/>
      <w:bookmarkStart w:id="4" w:name="_Toc2514"/>
      <w:bookmarkStart w:id="5" w:name="_Toc14629"/>
      <w:bookmarkStart w:id="6" w:name="_Toc18117"/>
      <w:bookmarkStart w:id="7" w:name="_Toc30045"/>
      <w:bookmarkStart w:id="8" w:name="_Toc30206"/>
      <w:bookmarkStart w:id="9" w:name="_Toc32438"/>
      <w:bookmarkStart w:id="10" w:name="_Toc18390"/>
      <w:bookmarkStart w:id="11" w:name="_Toc15376159"/>
      <w:bookmarkStart w:id="12" w:name="_Toc29310"/>
      <w:bookmarkStart w:id="13" w:name="_Toc13170"/>
      <w:bookmarkStart w:id="14" w:name="_Toc7861"/>
      <w:r>
        <w:rPr>
          <w:rFonts w:hint="default" w:ascii="Times New Roman" w:hAnsi="Times New Roman" w:eastAsia="宋体" w:cs="Times New Roman"/>
          <w:color w:val="auto"/>
          <w:highlight w:val="none"/>
        </w:rPr>
        <w:t>概述</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pPr>
        <w:pStyle w:val="4"/>
        <w:numPr>
          <w:ilvl w:val="1"/>
          <w:numId w:val="0"/>
        </w:numPr>
        <w:spacing w:before="120" w:after="120"/>
        <w:rPr>
          <w:rFonts w:hint="default" w:ascii="Times New Roman" w:hAnsi="Times New Roman" w:eastAsia="宋体" w:cs="Times New Roman"/>
          <w:color w:val="auto"/>
          <w:highlight w:val="none"/>
        </w:rPr>
      </w:pPr>
      <w:bookmarkStart w:id="15" w:name="_Toc1537"/>
      <w:bookmarkStart w:id="16" w:name="_Toc22277"/>
      <w:bookmarkStart w:id="17" w:name="_Toc26426"/>
      <w:bookmarkStart w:id="18" w:name="_Toc12334"/>
      <w:bookmarkStart w:id="19" w:name="_Toc4656"/>
      <w:bookmarkStart w:id="20" w:name="_Toc21695"/>
      <w:bookmarkStart w:id="21" w:name="_Toc31876"/>
      <w:bookmarkStart w:id="22" w:name="_Toc13702"/>
      <w:bookmarkStart w:id="23" w:name="_Toc12748"/>
      <w:bookmarkStart w:id="24" w:name="_Toc180"/>
      <w:bookmarkStart w:id="25" w:name="_Toc14108"/>
      <w:bookmarkStart w:id="26" w:name="_Toc15376160"/>
      <w:bookmarkStart w:id="27" w:name="_Toc25486"/>
      <w:bookmarkStart w:id="28" w:name="_Toc12318"/>
      <w:bookmarkStart w:id="29" w:name="_Toc481"/>
      <w:r>
        <w:rPr>
          <w:rFonts w:hint="default" w:ascii="Times New Roman" w:hAnsi="Times New Roman" w:eastAsia="宋体" w:cs="Times New Roman"/>
          <w:color w:val="auto"/>
          <w:highlight w:val="none"/>
        </w:rPr>
        <w:t>1建设项目背景和项目概况</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岫岩满族自治县苏子沟镇大何家堡村钾长石矿矿成立于1994年10月，主要经营范围为钾长石。矿区中心地理坐标</w:t>
      </w:r>
      <w:r>
        <w:rPr>
          <w:rFonts w:hint="default" w:ascii="Times New Roman" w:hAnsi="Times New Roman" w:eastAsia="宋体" w:cs="Times New Roman"/>
          <w:color w:val="auto"/>
          <w:highlight w:val="none"/>
        </w:rPr>
        <w:t>东经123°22′15.15743″，北纬40°26′59.14054″</w:t>
      </w:r>
      <w:r>
        <w:rPr>
          <w:rFonts w:hint="default" w:ascii="Times New Roman" w:hAnsi="Times New Roman" w:eastAsia="宋体" w:cs="Times New Roman"/>
          <w:color w:val="auto"/>
          <w:highlight w:val="none"/>
          <w:lang w:val="en-US" w:eastAsia="zh-CN"/>
        </w:rPr>
        <w:t>，位于岫岩县城北东（22°）方向直距21km处。距苏子沟镇政府北西12km。行政区划隶属辽宁省岫岩县苏子沟镇大何家堡村管辖。2016年</w:t>
      </w:r>
      <w:r>
        <w:rPr>
          <w:rFonts w:hint="default" w:ascii="Times New Roman" w:hAnsi="Times New Roman" w:eastAsia="宋体" w:cs="Times New Roman"/>
          <w:color w:val="auto"/>
          <w:highlight w:val="none"/>
        </w:rPr>
        <w:t>原辽宁省国土资源厅</w:t>
      </w:r>
      <w:r>
        <w:rPr>
          <w:rFonts w:hint="default" w:ascii="Times New Roman" w:hAnsi="Times New Roman" w:eastAsia="宋体" w:cs="Times New Roman"/>
          <w:color w:val="auto"/>
          <w:highlight w:val="none"/>
          <w:lang w:val="en-US" w:eastAsia="zh-CN"/>
        </w:rPr>
        <w:t>为矿区颁布了采矿证，证号C21030020100871200730943，有效期自2016年7月至2017年1月。矿区面积0.475km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，开采标高480m-280m，</w:t>
      </w:r>
      <w:r>
        <w:rPr>
          <w:rFonts w:hint="default" w:ascii="Times New Roman" w:hAnsi="Times New Roman" w:eastAsia="宋体" w:cs="Times New Roman"/>
          <w:color w:val="auto"/>
          <w:highlight w:val="none"/>
          <w:lang w:val="en-US" w:eastAsia="zh-CN"/>
        </w:rPr>
        <w:t>开采矿种为钾长石，年采矿规模5万吨，开采方式为地下开采。目前采矿证已过期，岫岩县自然资源局已出具《采矿权延续期限补正通知书》（编号：2026-6号（2）（见附件2），岫岩满族自治县自然资源局，2022年5月16日），有效期至2022年9月17日。</w:t>
      </w:r>
    </w:p>
    <w:p>
      <w:pPr>
        <w:spacing w:beforeLines="0" w:afterLines="0"/>
        <w:jc w:val="left"/>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矿山已有20多年开采历史，建矿初期进行过露天开采，形成4个露天采场，多处排岩场，均已荒废多年，无近期开采痕迹。2016年后开采方式改为地下开采，</w:t>
      </w:r>
      <w:r>
        <w:rPr>
          <w:rFonts w:hint="default" w:ascii="Times New Roman" w:hAnsi="Times New Roman" w:eastAsia="宋体" w:cs="Times New Roman"/>
          <w:color w:val="auto"/>
          <w:highlight w:val="none"/>
          <w:lang w:eastAsia="zh-CN"/>
        </w:rPr>
        <w:t>受市场行情影响</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highlight w:val="none"/>
          <w:lang w:eastAsia="zh-CN"/>
        </w:rPr>
        <w:t>仅</w:t>
      </w:r>
      <w:r>
        <w:rPr>
          <w:rFonts w:hint="default" w:ascii="Times New Roman" w:hAnsi="Times New Roman" w:eastAsia="宋体" w:cs="Times New Roman"/>
          <w:color w:val="auto"/>
          <w:highlight w:val="none"/>
          <w:lang w:val="en-US" w:eastAsia="zh-CN"/>
        </w:rPr>
        <w:t>在探矿过程形成</w:t>
      </w:r>
      <w:r>
        <w:rPr>
          <w:rFonts w:hint="default" w:ascii="Times New Roman" w:hAnsi="Times New Roman" w:eastAsia="宋体" w:cs="Times New Roman"/>
          <w:color w:val="auto"/>
          <w:highlight w:val="none"/>
          <w:lang w:eastAsia="zh-CN"/>
        </w:rPr>
        <w:t>平硐</w:t>
      </w:r>
      <w:r>
        <w:rPr>
          <w:rFonts w:hint="default" w:ascii="Times New Roman" w:hAnsi="Times New Roman" w:eastAsia="宋体" w:cs="Times New Roman"/>
          <w:color w:val="auto"/>
          <w:highlight w:val="none"/>
          <w:lang w:val="en-US" w:eastAsia="zh-CN"/>
        </w:rPr>
        <w:t>硐口2处</w:t>
      </w:r>
      <w:r>
        <w:rPr>
          <w:rFonts w:hint="default" w:ascii="Times New Roman" w:hAnsi="Times New Roman" w:eastAsia="宋体" w:cs="Times New Roman"/>
          <w:color w:val="auto"/>
          <w:highlight w:val="none"/>
          <w:lang w:eastAsia="zh-CN"/>
        </w:rPr>
        <w:t>，项目一直未正式投入运行。</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2017年7月</w:t>
      </w:r>
      <w:r>
        <w:rPr>
          <w:rFonts w:hint="default" w:ascii="Times New Roman" w:hAnsi="Times New Roman" w:eastAsia="宋体" w:cs="Times New Roman"/>
          <w:color w:val="auto"/>
          <w:highlight w:val="none"/>
          <w:lang w:val="en-US" w:eastAsia="zh-CN"/>
        </w:rPr>
        <w:t>岫岩满族自治县苏子沟镇大何家堡村钾长石矿委托</w:t>
      </w:r>
      <w:r>
        <w:rPr>
          <w:rFonts w:hint="default" w:ascii="Times New Roman" w:hAnsi="Times New Roman" w:eastAsia="宋体" w:cs="Times New Roman"/>
          <w:color w:val="auto"/>
          <w:highlight w:val="none"/>
        </w:rPr>
        <w:t>岫岩满族自治县华玉源地质勘查有限公司</w:t>
      </w:r>
      <w:r>
        <w:rPr>
          <w:rFonts w:hint="default" w:ascii="Times New Roman" w:hAnsi="Times New Roman" w:eastAsia="宋体" w:cs="Times New Roman"/>
          <w:color w:val="auto"/>
          <w:highlight w:val="none"/>
          <w:lang w:val="en-US" w:eastAsia="zh-CN"/>
        </w:rPr>
        <w:t>编制完成</w:t>
      </w:r>
      <w:r>
        <w:rPr>
          <w:rFonts w:hint="default" w:ascii="Times New Roman" w:hAnsi="Times New Roman" w:eastAsia="宋体" w:cs="Times New Roman"/>
          <w:color w:val="auto"/>
          <w:highlight w:val="none"/>
        </w:rPr>
        <w:t>《辽宁省岫岩县苏子沟镇大何家堡村钾长石矿资源储量核实报告》（以下简称《核实报告》）及其《评审意见书》（辽溪评（储）字[2018]006号）和《备案证明》（辽国土资储备字[2018]094号）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highlight w:val="none"/>
          <w:lang w:val="en-US" w:eastAsia="zh-CN"/>
        </w:rPr>
        <w:t>见附件4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highlight w:val="none"/>
        </w:rPr>
        <w:t>，矿山区内有6个急倾斜中厚钾长石矿体，</w:t>
      </w:r>
      <w:r>
        <w:rPr>
          <w:rFonts w:hint="eastAsia"/>
          <w:b w:val="0"/>
          <w:bCs w:val="0"/>
          <w:color w:val="auto"/>
          <w:highlight w:val="none"/>
        </w:rPr>
        <w:t>钾长石与钠长石的矿物量为242.487万吨，超过100万吨，矿山资源量规模为大型。</w:t>
      </w:r>
      <w:r>
        <w:rPr>
          <w:rFonts w:hint="eastAsia"/>
          <w:color w:val="auto"/>
        </w:rPr>
        <w:t>截至2017年7月31日，区内保有钾长石矿石控制与推断资源量合计292.66万吨，钾长石与钠长石的矿物量242.487万吨，矿石(K</w:t>
      </w:r>
      <w:r>
        <w:rPr>
          <w:rFonts w:hint="eastAsia"/>
          <w:color w:val="auto"/>
          <w:vertAlign w:val="subscript"/>
        </w:rPr>
        <w:t>2</w:t>
      </w:r>
      <w:r>
        <w:rPr>
          <w:rFonts w:hint="eastAsia"/>
          <w:color w:val="auto"/>
        </w:rPr>
        <w:t>O+Na</w:t>
      </w:r>
      <w:r>
        <w:rPr>
          <w:rFonts w:hint="eastAsia"/>
          <w:color w:val="auto"/>
          <w:vertAlign w:val="subscript"/>
        </w:rPr>
        <w:t>2</w:t>
      </w:r>
      <w:r>
        <w:rPr>
          <w:rFonts w:hint="eastAsia"/>
          <w:color w:val="auto"/>
        </w:rPr>
        <w:t>O)平均品位13.00%。</w:t>
      </w:r>
      <w:r>
        <w:rPr>
          <w:rFonts w:hint="default" w:ascii="Times New Roman" w:hAnsi="Times New Roman" w:eastAsia="宋体" w:cs="Times New Roman"/>
          <w:color w:val="auto"/>
          <w:highlight w:val="none"/>
        </w:rPr>
        <w:t>其中</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控制的内蕴经济资源量（122b）87.507万吨，推断的内蕴经济资源量（333）205.153万吨，约占总资源储量70%。矿床</w:t>
      </w:r>
      <w:r>
        <w:rPr>
          <w:rFonts w:hint="eastAsia" w:cs="Times New Roman"/>
          <w:color w:val="auto"/>
          <w:highlight w:val="none"/>
          <w:lang w:val="en-US" w:eastAsia="zh-CN"/>
        </w:rPr>
        <w:t>水</w:t>
      </w:r>
      <w:r>
        <w:rPr>
          <w:rFonts w:hint="default" w:ascii="Times New Roman" w:hAnsi="Times New Roman" w:eastAsia="宋体" w:cs="Times New Roman"/>
          <w:color w:val="auto"/>
          <w:highlight w:val="none"/>
        </w:rPr>
        <w:t>文地质条件简单、工程地质条件中等、环境地质条件中等，本矿床勘查类型划分为开采技术条件中等复合问题的矿床（Ⅱ-4）。本矿区的钾长石矿床属于伟晶岩型矿床，一般是在采场手选后进行破碎磨矿，然后采用磁法除去铁矿物，取得富含钾、钠的长石精粉，回收优质产品。该矿山矿石加工技术性能良好。</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2021年3月岫岩满族自治县苏子沟镇大何家堡村钾长石矿委托沈阳正道工程设计咨询有限公司编制完成了《岫岩满族自治县苏子沟镇大何家堡村钾长石矿矿产资源开发利用方案》（以下简称方案），鞍钢集团矿业设计研究院有限公司于2021年10月8日出具了《岫岩满族自治县苏子沟镇大何家堡村钾长石矿矿产资源开发利用方案审查意见书》，鞍自资鞍矿院（方案）审字〔2021〕004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highlight w:val="none"/>
          <w:lang w:val="en-US" w:eastAsia="zh-CN"/>
        </w:rPr>
        <w:t>见附件5</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highlight w:val="none"/>
          <w:lang w:val="en-US" w:eastAsia="zh-CN"/>
        </w:rPr>
        <w:t>。方案</w:t>
      </w:r>
      <w:r>
        <w:rPr>
          <w:rFonts w:hint="default" w:ascii="Times New Roman" w:hAnsi="Times New Roman" w:eastAsia="宋体" w:cs="Times New Roman"/>
          <w:color w:val="auto"/>
          <w:highlight w:val="none"/>
        </w:rPr>
        <w:t>设计采用露天开采与地下开采同时开采，生产规模为</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万t/a。矿区范围由</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个拐点圈定，矿区面积</w:t>
      </w:r>
      <w:r>
        <w:rPr>
          <w:rFonts w:hint="default" w:ascii="Times New Roman" w:hAnsi="Times New Roman" w:eastAsia="宋体" w:cs="Times New Roman"/>
          <w:color w:val="auto"/>
          <w:highlight w:val="none"/>
          <w:lang w:val="en-US" w:eastAsia="zh-CN"/>
        </w:rPr>
        <w:t>0.4780</w:t>
      </w:r>
      <w:r>
        <w:rPr>
          <w:rFonts w:hint="default" w:ascii="Times New Roman" w:hAnsi="Times New Roman" w:eastAsia="宋体" w:cs="Times New Roman"/>
          <w:color w:val="auto"/>
          <w:highlight w:val="none"/>
        </w:rPr>
        <w:t>km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，开采深度：由</w:t>
      </w:r>
      <w:r>
        <w:rPr>
          <w:rFonts w:hint="default" w:ascii="Times New Roman" w:hAnsi="Times New Roman" w:eastAsia="宋体" w:cs="Times New Roman"/>
          <w:color w:val="auto"/>
          <w:highlight w:val="none"/>
          <w:lang w:val="en-US" w:eastAsia="zh-CN"/>
        </w:rPr>
        <w:t>480</w:t>
      </w:r>
      <w:r>
        <w:rPr>
          <w:rFonts w:hint="default" w:ascii="Times New Roman" w:hAnsi="Times New Roman" w:eastAsia="宋体" w:cs="Times New Roman"/>
          <w:color w:val="auto"/>
          <w:highlight w:val="none"/>
        </w:rPr>
        <w:t>m标高至</w:t>
      </w:r>
      <w:r>
        <w:rPr>
          <w:rFonts w:hint="default" w:ascii="Times New Roman" w:hAnsi="Times New Roman" w:eastAsia="宋体" w:cs="Times New Roman"/>
          <w:color w:val="auto"/>
          <w:highlight w:val="none"/>
          <w:lang w:val="en-US" w:eastAsia="zh-CN"/>
        </w:rPr>
        <w:t>28</w:t>
      </w:r>
      <w:r>
        <w:rPr>
          <w:rFonts w:hint="default" w:ascii="Times New Roman" w:hAnsi="Times New Roman" w:eastAsia="宋体" w:cs="Times New Roman"/>
          <w:color w:val="auto"/>
          <w:highlight w:val="none"/>
        </w:rPr>
        <w:t>0m标高，开采服务年限：</w:t>
      </w:r>
      <w:r>
        <w:rPr>
          <w:rFonts w:hint="default" w:ascii="Times New Roman" w:hAnsi="Times New Roman" w:eastAsia="宋体" w:cs="Times New Roman"/>
          <w:color w:val="auto"/>
          <w:highlight w:val="none"/>
          <w:lang w:val="en-US" w:eastAsia="zh-CN"/>
        </w:rPr>
        <w:t>15.78</w:t>
      </w:r>
      <w:r>
        <w:rPr>
          <w:rFonts w:hint="default" w:ascii="Times New Roman" w:hAnsi="Times New Roman" w:eastAsia="宋体" w:cs="Times New Roman"/>
          <w:color w:val="auto"/>
          <w:highlight w:val="none"/>
        </w:rPr>
        <w:t>年。</w:t>
      </w:r>
    </w:p>
    <w:p>
      <w:pPr>
        <w:pStyle w:val="4"/>
        <w:numPr>
          <w:ilvl w:val="1"/>
          <w:numId w:val="0"/>
        </w:numPr>
        <w:spacing w:before="120" w:after="120"/>
        <w:rPr>
          <w:rFonts w:hint="default" w:ascii="Times New Roman" w:hAnsi="Times New Roman" w:eastAsia="宋体" w:cs="Times New Roman"/>
          <w:color w:val="auto"/>
          <w:highlight w:val="none"/>
        </w:rPr>
      </w:pPr>
      <w:bookmarkStart w:id="30" w:name="_Toc9388"/>
      <w:bookmarkStart w:id="31" w:name="_Toc27533"/>
      <w:bookmarkStart w:id="32" w:name="_Toc15376161"/>
      <w:bookmarkStart w:id="33" w:name="_Toc908"/>
      <w:bookmarkStart w:id="34" w:name="_Toc20891"/>
      <w:bookmarkStart w:id="35" w:name="_Toc880"/>
      <w:bookmarkStart w:id="36" w:name="_Toc6102"/>
      <w:bookmarkStart w:id="37" w:name="_Toc31197"/>
      <w:bookmarkStart w:id="38" w:name="_Toc3888"/>
      <w:bookmarkStart w:id="39" w:name="_Toc26738"/>
      <w:bookmarkStart w:id="40" w:name="_Toc27212"/>
      <w:bookmarkStart w:id="41" w:name="_Toc11909"/>
      <w:bookmarkStart w:id="42" w:name="_Toc26365"/>
      <w:bookmarkStart w:id="43" w:name="_Toc13728"/>
      <w:bookmarkStart w:id="44" w:name="_Toc21363"/>
      <w:r>
        <w:rPr>
          <w:rFonts w:hint="default" w:ascii="Times New Roman" w:hAnsi="Times New Roman" w:eastAsia="宋体" w:cs="Times New Roman"/>
          <w:color w:val="auto"/>
          <w:highlight w:val="none"/>
        </w:rPr>
        <w:t>2环评工作过程</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val="en-US" w:eastAsia="zh-CN"/>
        </w:rPr>
        <w:t>钾长石</w:t>
      </w:r>
      <w:r>
        <w:rPr>
          <w:rFonts w:hint="default" w:ascii="Times New Roman" w:hAnsi="Times New Roman" w:eastAsia="宋体" w:cs="Times New Roman"/>
          <w:color w:val="auto"/>
          <w:highlight w:val="none"/>
        </w:rPr>
        <w:t>矿开采，</w:t>
      </w:r>
      <w:r>
        <w:rPr>
          <w:rFonts w:hint="default"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rPr>
        <w:t>《建设项目环境影响评价分类管理名录（2021年版）》</w:t>
      </w:r>
      <w:r>
        <w:rPr>
          <w:rFonts w:hint="default" w:ascii="Times New Roman" w:hAnsi="Times New Roman" w:eastAsia="宋体" w:cs="Times New Roman"/>
          <w:color w:val="auto"/>
          <w:highlight w:val="none"/>
          <w:lang w:val="en-US" w:eastAsia="zh-CN"/>
        </w:rPr>
        <w:t>属于</w:t>
      </w:r>
      <w:r>
        <w:rPr>
          <w:rFonts w:hint="eastAsia" w:cs="Times New Roman"/>
          <w:color w:val="auto"/>
          <w:highlight w:val="none"/>
          <w:lang w:eastAsia="zh-CN"/>
        </w:rPr>
        <w:t>“</w:t>
      </w:r>
      <w:r>
        <w:rPr>
          <w:rFonts w:hint="default" w:ascii="Times New Roman" w:hAnsi="Times New Roman" w:eastAsia="宋体" w:cs="Times New Roman"/>
          <w:color w:val="auto"/>
          <w:highlight w:val="none"/>
        </w:rPr>
        <w:t>八、非金属采选业10—石棉及其他非金属矿采选109中全部（不含单独的矿石破碎、集运；不含矿区修复治理工程），应当编制报告书。</w:t>
      </w:r>
    </w:p>
    <w:p>
      <w:pPr>
        <w:ind w:firstLine="480"/>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color w:val="auto"/>
          <w:highlight w:val="none"/>
        </w:rPr>
        <w:t>为预防和减轻本工程建设和运行中不利环境影响，根据国家有关环境保护法规，</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rPr>
        <w:t>于20</w:t>
      </w:r>
      <w:r>
        <w:rPr>
          <w:rFonts w:hint="default" w:ascii="Times New Roman" w:hAnsi="Times New Roman" w:eastAsia="宋体" w:cs="Times New Roman"/>
          <w:color w:val="auto"/>
          <w:highlight w:val="none"/>
          <w:lang w:val="en-US" w:eastAsia="zh-CN"/>
        </w:rPr>
        <w:t>21</w:t>
      </w:r>
      <w:r>
        <w:rPr>
          <w:rFonts w:hint="default" w:ascii="Times New Roman" w:hAnsi="Times New Roman" w:eastAsia="宋体" w:cs="Times New Roman"/>
          <w:color w:val="auto"/>
          <w:highlight w:val="none"/>
        </w:rPr>
        <w:t>年</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月委托</w:t>
      </w:r>
      <w:r>
        <w:rPr>
          <w:rFonts w:hint="default" w:ascii="Times New Roman" w:hAnsi="Times New Roman" w:eastAsia="宋体" w:cs="Times New Roman"/>
          <w:color w:val="auto"/>
          <w:highlight w:val="none"/>
          <w:lang w:eastAsia="zh-CN"/>
        </w:rPr>
        <w:t>大连连碳环境工程技术有限公司</w:t>
      </w:r>
      <w:r>
        <w:rPr>
          <w:rFonts w:hint="default" w:ascii="Times New Roman" w:hAnsi="Times New Roman" w:eastAsia="宋体" w:cs="Times New Roman"/>
          <w:color w:val="auto"/>
          <w:highlight w:val="none"/>
        </w:rPr>
        <w:t>承担《</w:t>
      </w:r>
      <w:r>
        <w:rPr>
          <w:rFonts w:hint="default" w:ascii="Times New Roman" w:hAnsi="Times New Roman" w:eastAsia="宋体" w:cs="Times New Roman"/>
          <w:color w:val="auto"/>
          <w:highlight w:val="none"/>
          <w:lang w:eastAsia="zh-CN"/>
        </w:rPr>
        <w:t>岫岩满族自治县苏子沟镇大何家堡村钾长石矿开采15万t</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eastAsia="zh-CN"/>
        </w:rPr>
        <w:t>a钾长石矿石项目</w:t>
      </w:r>
      <w:r>
        <w:rPr>
          <w:rFonts w:hint="default" w:ascii="Times New Roman" w:hAnsi="Times New Roman" w:eastAsia="宋体" w:cs="Times New Roman"/>
          <w:color w:val="auto"/>
          <w:highlight w:val="none"/>
        </w:rPr>
        <w:t>环境影响报告书》编制工作</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委托书见附件1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收到委托后，我公司按照有关环境影响评价技术导则、要求，进行了建设项目环境影响评价信息公示、现场勘查、环境质量现状监测、污染物产生及排放量核算、环境影响分析预测及评价、制定了环境不利影响预防和减缓对策等相关工作，并按要求向社会公开了环境影响评价结论及环境影响报告书全文，广泛征询了社会公众及社会团体意见和要求。最终完成《</w:t>
      </w:r>
      <w:r>
        <w:rPr>
          <w:rFonts w:hint="default" w:ascii="Times New Roman" w:hAnsi="Times New Roman" w:eastAsia="宋体" w:cs="Times New Roman"/>
          <w:color w:val="auto"/>
          <w:highlight w:val="none"/>
          <w:lang w:eastAsia="zh-CN"/>
        </w:rPr>
        <w:t>岫岩满族自治县苏子沟镇大何家堡村钾长石矿开采15万t</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eastAsia="zh-CN"/>
        </w:rPr>
        <w:t>a钾长石矿石项目</w:t>
      </w:r>
      <w:r>
        <w:rPr>
          <w:rFonts w:hint="default" w:ascii="Times New Roman" w:hAnsi="Times New Roman" w:eastAsia="宋体" w:cs="Times New Roman"/>
          <w:color w:val="auto"/>
          <w:highlight w:val="none"/>
        </w:rPr>
        <w:t>环境影响报告书》。</w:t>
      </w:r>
    </w:p>
    <w:p>
      <w:pPr>
        <w:pStyle w:val="4"/>
        <w:numPr>
          <w:ilvl w:val="1"/>
          <w:numId w:val="0"/>
        </w:numPr>
        <w:spacing w:before="120" w:after="120"/>
        <w:rPr>
          <w:rFonts w:hint="default" w:ascii="Times New Roman" w:hAnsi="Times New Roman" w:eastAsia="宋体" w:cs="Times New Roman"/>
          <w:color w:val="auto"/>
          <w:highlight w:val="none"/>
        </w:rPr>
      </w:pPr>
      <w:bookmarkStart w:id="45" w:name="_Toc20383"/>
      <w:bookmarkStart w:id="46" w:name="_Toc22410"/>
      <w:bookmarkStart w:id="47" w:name="_Toc2636"/>
      <w:bookmarkStart w:id="48" w:name="_Toc22830"/>
      <w:bookmarkStart w:id="49" w:name="_Toc14725"/>
      <w:bookmarkStart w:id="50" w:name="_Toc21008"/>
      <w:bookmarkStart w:id="51" w:name="_Toc15376164"/>
      <w:bookmarkStart w:id="52" w:name="_Toc12463"/>
      <w:bookmarkStart w:id="53" w:name="_Toc4896"/>
      <w:bookmarkStart w:id="54" w:name="_Toc9305"/>
      <w:bookmarkStart w:id="55" w:name="_Toc11350"/>
      <w:bookmarkStart w:id="56" w:name="_Toc14409"/>
      <w:bookmarkStart w:id="57" w:name="_Toc27950"/>
      <w:bookmarkStart w:id="58" w:name="_Toc24643"/>
      <w:bookmarkStart w:id="59" w:name="_Toc22451"/>
      <w:r>
        <w:rPr>
          <w:rFonts w:hint="default" w:ascii="Times New Roman" w:hAnsi="Times New Roman" w:eastAsia="宋体" w:cs="Times New Roman"/>
          <w:color w:val="auto"/>
          <w:highlight w:val="none"/>
          <w:lang w:val="en-US" w:eastAsia="zh-CN"/>
        </w:rPr>
        <w:t>4</w:t>
      </w:r>
      <w:bookmarkEnd w:id="45"/>
      <w:bookmarkEnd w:id="46"/>
      <w:bookmarkEnd w:id="47"/>
      <w:bookmarkEnd w:id="48"/>
      <w:bookmarkEnd w:id="49"/>
      <w:bookmarkEnd w:id="50"/>
      <w:bookmarkEnd w:id="51"/>
      <w:bookmarkEnd w:id="52"/>
      <w:bookmarkEnd w:id="53"/>
      <w:bookmarkEnd w:id="54"/>
      <w:bookmarkEnd w:id="55"/>
      <w:bookmarkEnd w:id="56"/>
      <w:bookmarkEnd w:id="57"/>
      <w:bookmarkEnd w:id="58"/>
      <w:r>
        <w:rPr>
          <w:rFonts w:hint="default" w:ascii="Times New Roman" w:hAnsi="Times New Roman" w:eastAsia="宋体" w:cs="Times New Roman"/>
          <w:color w:val="auto"/>
          <w:highlight w:val="none"/>
          <w:lang w:val="en-US" w:eastAsia="zh-CN"/>
        </w:rPr>
        <w:t>关注的主要环境问题及环境影响</w:t>
      </w:r>
      <w:bookmarkEnd w:id="59"/>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通过对本项目特点、所在区域的环境特点以及周边环境现状调查，确定此次环评关注的主要环境问题有：</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1）现状存在的主要环境问题以及以新带老措施；</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2）本工程生产过程中产生的矿山井下涌水</w:t>
      </w:r>
      <w:r>
        <w:rPr>
          <w:rFonts w:hint="eastAsia" w:cs="Times New Roman"/>
          <w:color w:val="auto"/>
          <w:highlight w:val="none"/>
          <w:lang w:val="en-US" w:eastAsia="zh-CN"/>
        </w:rPr>
        <w:t>全部综合利用的可行性分析</w:t>
      </w:r>
      <w:r>
        <w:rPr>
          <w:rFonts w:hint="default" w:ascii="Times New Roman" w:hAnsi="Times New Roman" w:eastAsia="宋体" w:cs="Times New Roman"/>
          <w:color w:val="auto"/>
          <w:highlight w:val="none"/>
          <w:lang w:val="en-US" w:eastAsia="zh-CN"/>
        </w:rPr>
        <w:t>；</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矿石露天开采</w:t>
      </w:r>
      <w:r>
        <w:rPr>
          <w:rFonts w:hint="default" w:ascii="Times New Roman" w:hAnsi="Times New Roman" w:eastAsia="宋体" w:cs="Times New Roman"/>
          <w:color w:val="auto"/>
          <w:highlight w:val="none"/>
          <w:lang w:val="en-US" w:eastAsia="zh-CN"/>
        </w:rPr>
        <w:t>对项目区土壤、植被以及景观等生态环境的影响；</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4）矿山运输车辆对</w:t>
      </w:r>
      <w:r>
        <w:rPr>
          <w:rFonts w:hint="eastAsia" w:ascii="Times New Roman" w:hAnsi="Times New Roman" w:cs="Times New Roman"/>
          <w:color w:val="auto"/>
          <w:highlight w:val="none"/>
          <w:lang w:val="en-US" w:eastAsia="zh-CN"/>
        </w:rPr>
        <w:t>道路两侧</w:t>
      </w:r>
      <w:r>
        <w:rPr>
          <w:rFonts w:hint="default" w:ascii="Times New Roman" w:hAnsi="Times New Roman" w:eastAsia="宋体" w:cs="Times New Roman"/>
          <w:color w:val="auto"/>
          <w:highlight w:val="none"/>
          <w:lang w:val="en-US" w:eastAsia="zh-CN"/>
        </w:rPr>
        <w:t>声环境</w:t>
      </w:r>
      <w:r>
        <w:rPr>
          <w:rFonts w:hint="eastAsia" w:ascii="Times New Roman" w:hAnsi="Times New Roman" w:cs="Times New Roman"/>
          <w:color w:val="auto"/>
          <w:highlight w:val="none"/>
          <w:lang w:val="en-US" w:eastAsia="zh-CN"/>
        </w:rPr>
        <w:t>保护目标</w:t>
      </w:r>
      <w:r>
        <w:rPr>
          <w:rFonts w:hint="default" w:ascii="Times New Roman" w:hAnsi="Times New Roman" w:eastAsia="宋体" w:cs="Times New Roman"/>
          <w:color w:val="auto"/>
          <w:highlight w:val="none"/>
          <w:lang w:val="en-US" w:eastAsia="zh-CN"/>
        </w:rPr>
        <w:t>的影响；</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5）本工程产生的废石、生活垃圾及废润滑油收集处理措施及可行性分析。</w:t>
      </w:r>
    </w:p>
    <w:p>
      <w:pPr>
        <w:pStyle w:val="4"/>
        <w:numPr>
          <w:ilvl w:val="1"/>
          <w:numId w:val="0"/>
        </w:numPr>
        <w:spacing w:before="120" w:after="120"/>
        <w:rPr>
          <w:rFonts w:hint="default" w:ascii="Times New Roman" w:hAnsi="Times New Roman" w:eastAsia="宋体" w:cs="Times New Roman"/>
          <w:color w:val="auto"/>
          <w:highlight w:val="none"/>
        </w:rPr>
      </w:pPr>
      <w:bookmarkStart w:id="60" w:name="_Toc17168"/>
      <w:bookmarkStart w:id="61" w:name="_Toc14249"/>
      <w:bookmarkStart w:id="62" w:name="_Toc15376163"/>
      <w:bookmarkStart w:id="63" w:name="_Toc19831"/>
      <w:bookmarkStart w:id="64" w:name="_Toc9440"/>
      <w:bookmarkStart w:id="65" w:name="_Toc27218"/>
      <w:bookmarkStart w:id="66" w:name="_Toc30194"/>
      <w:bookmarkStart w:id="67" w:name="_Toc18488"/>
      <w:bookmarkStart w:id="68" w:name="_Toc20320"/>
      <w:bookmarkStart w:id="69" w:name="_Toc9244"/>
      <w:bookmarkStart w:id="70" w:name="_Toc166"/>
      <w:bookmarkStart w:id="71" w:name="_Toc8882"/>
      <w:bookmarkStart w:id="72" w:name="_Toc17225"/>
      <w:bookmarkStart w:id="73" w:name="_Toc13879"/>
      <w:bookmarkStart w:id="74" w:name="_Toc31897"/>
      <w:bookmarkStart w:id="75" w:name="_Toc11904"/>
      <w:bookmarkStart w:id="76" w:name="_Toc1413"/>
      <w:bookmarkStart w:id="77" w:name="_Toc12087"/>
      <w:bookmarkStart w:id="78" w:name="_Toc31854"/>
      <w:bookmarkStart w:id="79" w:name="_Toc7219"/>
      <w:bookmarkStart w:id="80" w:name="_Toc15376165"/>
      <w:bookmarkStart w:id="81" w:name="_Toc1579"/>
      <w:bookmarkStart w:id="82" w:name="_Toc9662"/>
      <w:bookmarkStart w:id="83" w:name="_Toc7383"/>
      <w:bookmarkStart w:id="84" w:name="_Toc30113"/>
      <w:bookmarkStart w:id="85" w:name="_Toc16658"/>
      <w:bookmarkStart w:id="86" w:name="_Toc15586"/>
      <w:bookmarkStart w:id="87" w:name="_Toc31575"/>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分析判定相关情况</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与</w:t>
      </w:r>
      <w:r>
        <w:rPr>
          <w:rFonts w:hint="default" w:ascii="Times New Roman" w:hAnsi="Times New Roman" w:eastAsia="宋体" w:cs="Times New Roman"/>
          <w:color w:val="auto"/>
          <w:highlight w:val="none"/>
        </w:rPr>
        <w:t>《产业结构调整指导目录》</w:t>
      </w:r>
      <w:r>
        <w:rPr>
          <w:rFonts w:hint="default" w:ascii="Times New Roman" w:hAnsi="Times New Roman" w:eastAsia="宋体" w:cs="Times New Roman"/>
          <w:color w:val="auto"/>
          <w:highlight w:val="none"/>
          <w:lang w:val="en-US" w:eastAsia="zh-CN"/>
        </w:rPr>
        <w:t>相符性</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本项目属于</w:t>
      </w:r>
      <w:r>
        <w:rPr>
          <w:rFonts w:hint="default" w:ascii="Times New Roman" w:hAnsi="Times New Roman" w:eastAsia="宋体" w:cs="Times New Roman"/>
          <w:color w:val="auto"/>
          <w:highlight w:val="none"/>
          <w:lang w:eastAsia="zh-CN"/>
        </w:rPr>
        <w:t>钾长石</w:t>
      </w:r>
      <w:r>
        <w:rPr>
          <w:rFonts w:hint="default" w:ascii="Times New Roman" w:hAnsi="Times New Roman" w:eastAsia="宋体" w:cs="Times New Roman"/>
          <w:color w:val="auto"/>
          <w:highlight w:val="none"/>
        </w:rPr>
        <w:t>矿开采项目，根据《产业结构调整指导目录（201</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年本）》，</w:t>
      </w:r>
      <w:r>
        <w:rPr>
          <w:rFonts w:hint="default" w:ascii="Times New Roman" w:hAnsi="Times New Roman" w:eastAsia="宋体" w:cs="Times New Roman"/>
          <w:color w:val="auto"/>
          <w:highlight w:val="none"/>
          <w:lang w:val="en-US" w:eastAsia="zh-CN"/>
        </w:rPr>
        <w:t>本项目不属于国家</w:t>
      </w:r>
      <w:r>
        <w:rPr>
          <w:rFonts w:hint="default" w:ascii="Times New Roman" w:hAnsi="Times New Roman" w:eastAsia="宋体" w:cs="Times New Roman"/>
          <w:color w:val="auto"/>
          <w:highlight w:val="none"/>
        </w:rPr>
        <w:t>《产业结构调整指导目录（201</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年本）》</w:t>
      </w:r>
      <w:r>
        <w:rPr>
          <w:rFonts w:hint="default" w:ascii="Times New Roman" w:hAnsi="Times New Roman" w:eastAsia="宋体" w:cs="Times New Roman"/>
          <w:color w:val="auto"/>
          <w:highlight w:val="none"/>
          <w:lang w:val="en-US" w:eastAsia="zh-CN"/>
        </w:rPr>
        <w:t>中所列的鼓励类和限制类</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采用的生产工艺、设备和产品不在该目录中所列的落后工艺、装备和产品之类，且</w:t>
      </w:r>
      <w:r>
        <w:rPr>
          <w:rFonts w:hint="default" w:ascii="Times New Roman" w:hAnsi="Times New Roman" w:eastAsia="宋体" w:cs="Times New Roman"/>
          <w:color w:val="auto"/>
          <w:highlight w:val="none"/>
        </w:rPr>
        <w:t>符合国家</w:t>
      </w:r>
      <w:r>
        <w:rPr>
          <w:rFonts w:hint="default" w:ascii="Times New Roman" w:hAnsi="Times New Roman" w:eastAsia="宋体" w:cs="Times New Roman"/>
          <w:color w:val="auto"/>
          <w:highlight w:val="none"/>
          <w:lang w:val="en-US" w:eastAsia="zh-CN"/>
        </w:rPr>
        <w:t>相关法律、法规规定。</w:t>
      </w:r>
    </w:p>
    <w:p>
      <w:pPr>
        <w:bidi w:val="0"/>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与《辽宁省矿产资源总体规划（2016-2020年）》符合性</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本项目属于</w:t>
      </w:r>
      <w:r>
        <w:rPr>
          <w:rFonts w:hint="default" w:ascii="Times New Roman" w:hAnsi="Times New Roman" w:eastAsia="宋体" w:cs="Times New Roman"/>
          <w:color w:val="auto"/>
          <w:highlight w:val="none"/>
          <w:lang w:eastAsia="zh-CN"/>
        </w:rPr>
        <w:t>钾长石</w:t>
      </w:r>
      <w:r>
        <w:rPr>
          <w:rFonts w:hint="default" w:ascii="Times New Roman" w:hAnsi="Times New Roman" w:eastAsia="宋体" w:cs="Times New Roman"/>
          <w:color w:val="auto"/>
          <w:highlight w:val="none"/>
        </w:rPr>
        <w:t>矿开采项目，</w:t>
      </w:r>
      <w:r>
        <w:rPr>
          <w:rFonts w:hint="default" w:ascii="Times New Roman" w:hAnsi="Times New Roman" w:eastAsia="宋体" w:cs="Times New Roman"/>
          <w:color w:val="auto"/>
          <w:highlight w:val="none"/>
          <w:lang w:val="en-US" w:eastAsia="zh-CN"/>
        </w:rPr>
        <w:t>在辽宁省矿产资源总体规划中属于鼓励开采矿种，本项目位于岫岩－凤城铅、锌多金属矿重点矿区（编号ZK21000000015）。</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本项目采取</w:t>
      </w:r>
      <w:r>
        <w:rPr>
          <w:rFonts w:hint="default" w:ascii="Times New Roman" w:hAnsi="Times New Roman" w:eastAsia="宋体" w:cs="Times New Roman"/>
          <w:color w:val="auto"/>
          <w:highlight w:val="none"/>
        </w:rPr>
        <w:t>露天开采与地下开采同时开采</w:t>
      </w:r>
      <w:r>
        <w:rPr>
          <w:rFonts w:hint="default" w:ascii="Times New Roman" w:hAnsi="Times New Roman" w:eastAsia="宋体" w:cs="Times New Roman"/>
          <w:color w:val="auto"/>
          <w:highlight w:val="none"/>
          <w:lang w:eastAsia="zh-CN"/>
        </w:rPr>
        <w:t>，地下开采生产能力为5万t/a，露天开采生产能力为10万t/a（其中露天一采场及二采场各5万t/a），</w:t>
      </w:r>
      <w:r>
        <w:rPr>
          <w:rFonts w:hint="default" w:ascii="Times New Roman" w:hAnsi="Times New Roman" w:eastAsia="宋体" w:cs="Times New Roman"/>
          <w:color w:val="auto"/>
          <w:highlight w:val="none"/>
          <w:lang w:val="en-US" w:eastAsia="zh-CN"/>
        </w:rPr>
        <w:t>总开采规模15</w:t>
      </w:r>
      <w:r>
        <w:rPr>
          <w:rFonts w:hint="default" w:ascii="Times New Roman" w:hAnsi="Times New Roman" w:eastAsia="宋体" w:cs="Times New Roman"/>
          <w:color w:val="auto"/>
          <w:highlight w:val="none"/>
          <w:lang w:eastAsia="zh-CN"/>
        </w:rPr>
        <w:t>万t/a，</w:t>
      </w:r>
      <w:r>
        <w:rPr>
          <w:rFonts w:hint="default" w:ascii="Times New Roman" w:hAnsi="Times New Roman" w:eastAsia="宋体" w:cs="Times New Roman"/>
          <w:color w:val="auto"/>
          <w:highlight w:val="none"/>
          <w:lang w:val="en-US" w:eastAsia="zh-CN"/>
        </w:rPr>
        <w:t>根据《关于调整部分矿种矿山生产建设规模标准的通知》（国土资发[2004]208号），长石中型开采规模为10-20万吨/年，因此本项目属于中型矿山。根据《辽宁省矿产资源总体规划（2016-2020年）》中附表9辽宁省主要矿产矿区最低开采规模规划表，长石单系统露天和地下最低开采规模为5万吨/年，本项目</w:t>
      </w:r>
      <w:r>
        <w:rPr>
          <w:rFonts w:hint="default" w:ascii="Times New Roman" w:hAnsi="Times New Roman" w:eastAsia="宋体" w:cs="Times New Roman"/>
          <w:color w:val="auto"/>
          <w:highlight w:val="none"/>
          <w:lang w:eastAsia="zh-CN"/>
        </w:rPr>
        <w:t>地下开采生产能力为5万t/a，露天开采生产能力为10万t/a，</w:t>
      </w:r>
      <w:r>
        <w:rPr>
          <w:rFonts w:hint="default" w:ascii="Times New Roman" w:hAnsi="Times New Roman" w:eastAsia="宋体" w:cs="Times New Roman"/>
          <w:color w:val="auto"/>
          <w:highlight w:val="none"/>
          <w:lang w:val="en-US" w:eastAsia="zh-CN"/>
        </w:rPr>
        <w:t>符合矿产资源总体规划中型矿山最低开采规模要求。</w:t>
      </w:r>
    </w:p>
    <w:p>
      <w:pPr>
        <w:pStyle w:val="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与</w:t>
      </w:r>
      <w:r>
        <w:rPr>
          <w:rFonts w:hint="eastAsia" w:cs="Times New Roman"/>
          <w:color w:val="auto"/>
          <w:highlight w:val="none"/>
          <w:lang w:eastAsia="zh-CN"/>
        </w:rPr>
        <w:t>“</w:t>
      </w:r>
      <w:r>
        <w:rPr>
          <w:rFonts w:hint="default" w:ascii="Times New Roman" w:hAnsi="Times New Roman" w:eastAsia="宋体" w:cs="Times New Roman"/>
          <w:color w:val="auto"/>
          <w:highlight w:val="none"/>
        </w:rPr>
        <w:t>三线一单</w:t>
      </w:r>
      <w:r>
        <w:rPr>
          <w:rFonts w:hint="eastAsia" w:cs="Times New Roman"/>
          <w:color w:val="auto"/>
          <w:highlight w:val="none"/>
          <w:lang w:eastAsia="zh-CN"/>
        </w:rPr>
        <w:t>”</w:t>
      </w:r>
      <w:r>
        <w:rPr>
          <w:rFonts w:hint="default" w:ascii="Times New Roman" w:hAnsi="Times New Roman" w:eastAsia="宋体" w:cs="Times New Roman"/>
          <w:color w:val="auto"/>
          <w:highlight w:val="none"/>
          <w:lang w:val="en-US" w:eastAsia="zh-CN"/>
        </w:rPr>
        <w:t>符合性</w:t>
      </w:r>
    </w:p>
    <w:p>
      <w:pPr>
        <w:ind w:firstLine="480"/>
        <w:rPr>
          <w:rFonts w:hint="default" w:ascii="Times New Roman" w:hAnsi="Times New Roman" w:eastAsia="宋体" w:cs="Times New Roman"/>
          <w:color w:val="auto"/>
          <w:highlight w:val="none"/>
        </w:rPr>
      </w:pPr>
      <w:r>
        <w:rPr>
          <w:rFonts w:hint="eastAsia" w:cs="Times New Roman"/>
          <w:color w:val="auto"/>
          <w:highlight w:val="none"/>
          <w:lang w:val="en-US" w:eastAsia="zh-CN"/>
        </w:rPr>
        <w:t>根据</w:t>
      </w:r>
      <w:r>
        <w:rPr>
          <w:rFonts w:hint="default" w:ascii="Times New Roman" w:hAnsi="Times New Roman" w:eastAsia="宋体" w:cs="Times New Roman"/>
          <w:color w:val="auto"/>
          <w:highlight w:val="none"/>
        </w:rPr>
        <w:t>建设单位向</w:t>
      </w:r>
      <w:r>
        <w:rPr>
          <w:rFonts w:hint="eastAsia" w:cs="Times New Roman"/>
          <w:color w:val="auto"/>
          <w:highlight w:val="none"/>
          <w:lang w:val="en-US" w:eastAsia="zh-CN"/>
        </w:rPr>
        <w:t>鞍山市</w:t>
      </w:r>
      <w:r>
        <w:rPr>
          <w:rFonts w:hint="default" w:ascii="Times New Roman" w:hAnsi="Times New Roman" w:eastAsia="宋体" w:cs="Times New Roman"/>
          <w:color w:val="auto"/>
          <w:highlight w:val="none"/>
        </w:rPr>
        <w:t>生态环境局</w:t>
      </w:r>
      <w:r>
        <w:rPr>
          <w:rFonts w:hint="eastAsia" w:cs="Times New Roman"/>
          <w:color w:val="auto"/>
          <w:highlight w:val="none"/>
          <w:lang w:val="en-US" w:eastAsia="zh-CN"/>
        </w:rPr>
        <w:t>提交的《</w:t>
      </w:r>
      <w:r>
        <w:rPr>
          <w:rFonts w:hint="default" w:ascii="Times New Roman" w:hAnsi="Times New Roman" w:eastAsia="宋体" w:cs="Times New Roman"/>
          <w:color w:val="auto"/>
          <w:highlight w:val="none"/>
        </w:rPr>
        <w:t>“三线一单”管控单元查询申请表</w:t>
      </w:r>
      <w:r>
        <w:rPr>
          <w:rFonts w:hint="eastAsia" w:cs="Times New Roman"/>
          <w:color w:val="auto"/>
          <w:highlight w:val="none"/>
          <w:lang w:val="en-US" w:eastAsia="zh-CN"/>
        </w:rPr>
        <w:t>》回复信息：</w:t>
      </w:r>
      <w:r>
        <w:rPr>
          <w:rFonts w:hint="default" w:ascii="Times New Roman" w:hAnsi="Times New Roman" w:eastAsia="宋体" w:cs="Times New Roman"/>
          <w:color w:val="auto"/>
          <w:highlight w:val="none"/>
        </w:rPr>
        <w:t>本矿区用地编码：ZH21032330001，属于一般管控区，不在生态红线范围内，与鞍山市</w:t>
      </w:r>
      <w:r>
        <w:rPr>
          <w:rFonts w:hint="eastAsia" w:cs="Times New Roman"/>
          <w:color w:val="auto"/>
          <w:highlight w:val="none"/>
          <w:lang w:eastAsia="zh-CN"/>
        </w:rPr>
        <w:t>“</w:t>
      </w:r>
      <w:r>
        <w:rPr>
          <w:rFonts w:hint="default" w:ascii="Times New Roman" w:hAnsi="Times New Roman" w:eastAsia="宋体" w:cs="Times New Roman"/>
          <w:color w:val="auto"/>
          <w:highlight w:val="none"/>
        </w:rPr>
        <w:t>三线一单</w:t>
      </w:r>
      <w:r>
        <w:rPr>
          <w:rFonts w:hint="eastAsia" w:cs="Times New Roman"/>
          <w:color w:val="auto"/>
          <w:highlight w:val="none"/>
          <w:lang w:eastAsia="zh-CN"/>
        </w:rPr>
        <w:t>”</w:t>
      </w:r>
      <w:r>
        <w:rPr>
          <w:rFonts w:hint="default" w:ascii="Times New Roman" w:hAnsi="Times New Roman" w:eastAsia="宋体" w:cs="Times New Roman"/>
          <w:color w:val="auto"/>
          <w:highlight w:val="none"/>
        </w:rPr>
        <w:t>生态环境总体准入政策以及</w:t>
      </w:r>
      <w:r>
        <w:rPr>
          <w:rFonts w:hint="eastAsia" w:cs="Times New Roman"/>
          <w:color w:val="auto"/>
          <w:highlight w:val="none"/>
          <w:lang w:eastAsia="zh-CN"/>
        </w:rPr>
        <w:t>“</w:t>
      </w:r>
      <w:r>
        <w:rPr>
          <w:rFonts w:hint="default" w:ascii="Times New Roman" w:hAnsi="Times New Roman" w:eastAsia="宋体" w:cs="Times New Roman"/>
          <w:color w:val="auto"/>
          <w:highlight w:val="none"/>
        </w:rPr>
        <w:t>鞍山市分区生态环境准入清单</w:t>
      </w:r>
      <w:r>
        <w:rPr>
          <w:rFonts w:hint="eastAsia" w:cs="Times New Roman"/>
          <w:color w:val="auto"/>
          <w:highlight w:val="none"/>
          <w:lang w:eastAsia="zh-CN"/>
        </w:rPr>
        <w:t>”</w:t>
      </w:r>
      <w:r>
        <w:rPr>
          <w:rFonts w:hint="default" w:ascii="Times New Roman" w:hAnsi="Times New Roman" w:eastAsia="宋体" w:cs="Times New Roman"/>
          <w:color w:val="auto"/>
          <w:highlight w:val="none"/>
        </w:rPr>
        <w:t>的有关要求相符。</w:t>
      </w:r>
    </w:p>
    <w:p>
      <w:pPr>
        <w:pStyle w:val="4"/>
        <w:numPr>
          <w:ilvl w:val="1"/>
          <w:numId w:val="0"/>
        </w:numPr>
        <w:spacing w:before="120" w:after="120"/>
        <w:rPr>
          <w:rFonts w:hint="default" w:ascii="Times New Roman" w:hAnsi="Times New Roman" w:eastAsia="宋体" w:cs="Times New Roman"/>
          <w:color w:val="auto"/>
          <w:highlight w:val="none"/>
        </w:rPr>
      </w:pPr>
      <w:bookmarkStart w:id="88" w:name="_Toc4819"/>
      <w:bookmarkStart w:id="89" w:name="_Toc8664"/>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环境影响评价的主要结论</w:t>
      </w:r>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pPr>
        <w:autoSpaceDE w:val="0"/>
        <w:autoSpaceDN w:val="0"/>
        <w:ind w:firstLine="480"/>
        <w:textAlignment w:val="bottom"/>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本项目规模、工艺、产品及资源利用均符合国家产业政策和相关规划要求。在采用设计和环评提出的污染防治和生态治理恢复措施后，项目对环境的影响可</w:t>
      </w:r>
      <w:r>
        <w:rPr>
          <w:rFonts w:hint="eastAsia" w:cs="Times New Roman"/>
          <w:color w:val="auto"/>
          <w:highlight w:val="none"/>
          <w:lang w:val="en-US" w:eastAsia="zh-CN"/>
        </w:rPr>
        <w:t>为</w:t>
      </w:r>
      <w:r>
        <w:rPr>
          <w:rFonts w:hint="default" w:ascii="Times New Roman" w:hAnsi="Times New Roman" w:eastAsia="宋体" w:cs="Times New Roman"/>
          <w:color w:val="auto"/>
          <w:highlight w:val="none"/>
          <w:lang w:val="en-US" w:eastAsia="zh-CN"/>
        </w:rPr>
        <w:t>当地</w:t>
      </w:r>
      <w:r>
        <w:rPr>
          <w:rFonts w:hint="eastAsia" w:cs="Times New Roman"/>
          <w:color w:val="auto"/>
          <w:highlight w:val="none"/>
          <w:lang w:val="en-US" w:eastAsia="zh-CN"/>
        </w:rPr>
        <w:t>生态</w:t>
      </w:r>
      <w:r>
        <w:rPr>
          <w:rFonts w:hint="default" w:ascii="Times New Roman" w:hAnsi="Times New Roman" w:eastAsia="宋体" w:cs="Times New Roman"/>
          <w:color w:val="auto"/>
          <w:highlight w:val="none"/>
          <w:lang w:val="en-US" w:eastAsia="zh-CN"/>
        </w:rPr>
        <w:t>环境</w:t>
      </w:r>
      <w:r>
        <w:rPr>
          <w:rFonts w:hint="eastAsia" w:cs="Times New Roman"/>
          <w:color w:val="auto"/>
          <w:highlight w:val="none"/>
          <w:lang w:val="en-US" w:eastAsia="zh-CN"/>
        </w:rPr>
        <w:t>所接受</w:t>
      </w:r>
      <w:r>
        <w:rPr>
          <w:rFonts w:hint="default" w:ascii="Times New Roman" w:hAnsi="Times New Roman" w:eastAsia="宋体" w:cs="Times New Roman"/>
          <w:color w:val="auto"/>
          <w:highlight w:val="none"/>
          <w:lang w:val="en-US" w:eastAsia="zh-CN"/>
        </w:rPr>
        <w:t>，可实现经济效益、社会效益和环境效益的统一</w:t>
      </w:r>
      <w:r>
        <w:rPr>
          <w:rFonts w:hint="default" w:ascii="Times New Roman" w:hAnsi="Times New Roman" w:eastAsia="宋体" w:cs="Times New Roman"/>
          <w:color w:val="auto"/>
          <w:highlight w:val="none"/>
        </w:rPr>
        <w:t>，从环</w:t>
      </w:r>
      <w:r>
        <w:rPr>
          <w:rFonts w:hint="default" w:ascii="Times New Roman" w:hAnsi="Times New Roman" w:eastAsia="宋体" w:cs="Times New Roman"/>
          <w:color w:val="auto"/>
          <w:highlight w:val="none"/>
          <w:lang w:val="en-US" w:eastAsia="zh-CN"/>
        </w:rPr>
        <w:t>保</w:t>
      </w:r>
      <w:r>
        <w:rPr>
          <w:rFonts w:hint="default" w:ascii="Times New Roman" w:hAnsi="Times New Roman" w:eastAsia="宋体" w:cs="Times New Roman"/>
          <w:color w:val="auto"/>
          <w:highlight w:val="none"/>
        </w:rPr>
        <w:t>角度分析，项目建设可行。</w:t>
      </w:r>
    </w:p>
    <w:p>
      <w:pPr>
        <w:rPr>
          <w:rFonts w:hint="default" w:ascii="Times New Roman" w:hAnsi="Times New Roman" w:eastAsia="宋体" w:cs="Times New Roman"/>
          <w:color w:val="auto"/>
          <w:highlight w:val="none"/>
        </w:rPr>
      </w:pPr>
    </w:p>
    <w:p>
      <w:pPr>
        <w:autoSpaceDE w:val="0"/>
        <w:autoSpaceDN w:val="0"/>
        <w:ind w:firstLine="480"/>
        <w:textAlignment w:val="bottom"/>
        <w:rPr>
          <w:rFonts w:hint="default" w:ascii="Times New Roman" w:hAnsi="Times New Roman" w:eastAsia="宋体" w:cs="Times New Roman"/>
          <w:color w:val="auto"/>
          <w:kern w:val="0"/>
          <w:highlight w:val="none"/>
        </w:rPr>
        <w:sectPr>
          <w:headerReference r:id="rId11" w:type="default"/>
          <w:footerReference r:id="rId12" w:type="default"/>
          <w:pgSz w:w="11906" w:h="16838"/>
          <w:pgMar w:top="1588" w:right="1418" w:bottom="1418" w:left="1418" w:header="992" w:footer="992" w:gutter="0"/>
          <w:pgBorders>
            <w:top w:val="none" w:sz="0" w:space="0"/>
            <w:left w:val="none" w:sz="0" w:space="0"/>
            <w:bottom w:val="none" w:sz="0" w:space="0"/>
            <w:right w:val="none" w:sz="0" w:space="0"/>
          </w:pgBorders>
          <w:pgNumType w:fmt="upperRoman" w:start="1"/>
          <w:cols w:space="425" w:num="1"/>
          <w:docGrid w:linePitch="312" w:charSpace="0"/>
        </w:sectPr>
      </w:pPr>
    </w:p>
    <w:p>
      <w:pPr>
        <w:ind w:firstLine="480"/>
        <w:jc w:val="center"/>
        <w:rPr>
          <w:rFonts w:hint="default" w:ascii="Times New Roman" w:hAnsi="Times New Roman" w:eastAsia="宋体" w:cs="Times New Roman"/>
          <w:bCs/>
          <w:color w:val="auto"/>
          <w:kern w:val="2"/>
          <w:sz w:val="24"/>
          <w:szCs w:val="36"/>
          <w:highlight w:val="none"/>
          <w:lang w:val="en-US" w:eastAsia="zh-CN" w:bidi="ar-SA"/>
        </w:rPr>
      </w:pPr>
      <w:r>
        <w:rPr>
          <w:rFonts w:hint="default" w:ascii="Times New Roman" w:hAnsi="Times New Roman" w:eastAsia="宋体" w:cs="Times New Roman"/>
          <w:b/>
          <w:bCs/>
          <w:color w:val="auto"/>
          <w:sz w:val="36"/>
          <w:szCs w:val="36"/>
          <w:highlight w:val="none"/>
        </w:rPr>
        <w:t>目录</w:t>
      </w:r>
      <w:r>
        <w:rPr>
          <w:rFonts w:hint="default" w:ascii="Times New Roman" w:hAnsi="Times New Roman" w:eastAsia="宋体" w:cs="Times New Roman"/>
          <w:b/>
          <w:bCs/>
          <w:color w:val="auto"/>
          <w:sz w:val="36"/>
          <w:szCs w:val="36"/>
          <w:highlight w:val="none"/>
        </w:rPr>
        <w:fldChar w:fldCharType="begin"/>
      </w:r>
      <w:r>
        <w:rPr>
          <w:rFonts w:hint="default" w:ascii="Times New Roman" w:hAnsi="Times New Roman" w:eastAsia="宋体" w:cs="Times New Roman"/>
          <w:b/>
          <w:bCs/>
          <w:color w:val="auto"/>
          <w:sz w:val="36"/>
          <w:szCs w:val="36"/>
          <w:highlight w:val="none"/>
        </w:rPr>
        <w:instrText xml:space="preserve">TOC \o "1-2" \h \u </w:instrText>
      </w:r>
      <w:r>
        <w:rPr>
          <w:rFonts w:hint="default" w:ascii="Times New Roman" w:hAnsi="Times New Roman" w:eastAsia="宋体" w:cs="Times New Roman"/>
          <w:b/>
          <w:bCs/>
          <w:color w:val="auto"/>
          <w:sz w:val="36"/>
          <w:szCs w:val="36"/>
          <w:highlight w:val="none"/>
        </w:rPr>
        <w:fldChar w:fldCharType="separate"/>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_Toc21571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1 </w:t>
      </w:r>
      <w:r>
        <w:rPr>
          <w:rFonts w:hint="default" w:ascii="Times New Roman" w:hAnsi="Times New Roman" w:eastAsia="宋体" w:cs="Times New Roman"/>
          <w:b/>
          <w:bCs/>
          <w:color w:val="auto"/>
          <w:highlight w:val="none"/>
        </w:rPr>
        <w:t>总则</w:t>
      </w:r>
      <w:r>
        <w:rPr>
          <w:b/>
          <w:bCs/>
          <w:color w:val="auto"/>
        </w:rPr>
        <w:tab/>
      </w:r>
      <w:r>
        <w:rPr>
          <w:b/>
          <w:bCs/>
          <w:color w:val="auto"/>
        </w:rPr>
        <w:fldChar w:fldCharType="begin"/>
      </w:r>
      <w:r>
        <w:rPr>
          <w:b/>
          <w:bCs/>
          <w:color w:val="auto"/>
        </w:rPr>
        <w:instrText xml:space="preserve"> PAGEREF _Toc21571 \h </w:instrText>
      </w:r>
      <w:r>
        <w:rPr>
          <w:b/>
          <w:bCs/>
          <w:color w:val="auto"/>
        </w:rPr>
        <w:fldChar w:fldCharType="separate"/>
      </w:r>
      <w:r>
        <w:rPr>
          <w:b/>
          <w:bCs/>
          <w:color w:val="auto"/>
        </w:rPr>
        <w:t>5</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_Toc2797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1.1 </w:t>
      </w:r>
      <w:r>
        <w:rPr>
          <w:rFonts w:hint="default" w:ascii="Times New Roman" w:hAnsi="Times New Roman" w:eastAsia="宋体" w:cs="Times New Roman"/>
          <w:color w:val="auto"/>
          <w:highlight w:val="none"/>
        </w:rPr>
        <w:t>编制依据</w:t>
      </w:r>
      <w:r>
        <w:rPr>
          <w:color w:val="auto"/>
        </w:rPr>
        <w:tab/>
      </w:r>
      <w:r>
        <w:rPr>
          <w:color w:val="auto"/>
        </w:rPr>
        <w:fldChar w:fldCharType="begin"/>
      </w:r>
      <w:r>
        <w:rPr>
          <w:color w:val="auto"/>
        </w:rPr>
        <w:instrText xml:space="preserve"> PAGEREF _Toc2797 \h </w:instrText>
      </w:r>
      <w:r>
        <w:rPr>
          <w:color w:val="auto"/>
        </w:rPr>
        <w:fldChar w:fldCharType="separate"/>
      </w:r>
      <w:r>
        <w:rPr>
          <w:color w:val="auto"/>
        </w:rPr>
        <w:t>5</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_Toc9389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 </w:t>
      </w:r>
      <w:r>
        <w:rPr>
          <w:rFonts w:hint="default" w:ascii="Times New Roman" w:hAnsi="Times New Roman" w:eastAsia="宋体" w:cs="Times New Roman"/>
          <w:color w:val="auto"/>
          <w:highlight w:val="none"/>
        </w:rPr>
        <w:t>评价</w:t>
      </w:r>
      <w:r>
        <w:rPr>
          <w:rFonts w:hint="default" w:ascii="Times New Roman" w:hAnsi="Times New Roman" w:eastAsia="宋体" w:cs="Times New Roman"/>
          <w:color w:val="auto"/>
          <w:highlight w:val="none"/>
          <w:lang w:val="en-US" w:eastAsia="zh-CN"/>
        </w:rPr>
        <w:t>内容和重点</w:t>
      </w:r>
      <w:r>
        <w:rPr>
          <w:color w:val="auto"/>
        </w:rPr>
        <w:tab/>
      </w:r>
      <w:r>
        <w:rPr>
          <w:color w:val="auto"/>
        </w:rPr>
        <w:fldChar w:fldCharType="begin"/>
      </w:r>
      <w:r>
        <w:rPr>
          <w:color w:val="auto"/>
        </w:rPr>
        <w:instrText xml:space="preserve"> PAGEREF _Toc9389 \h </w:instrText>
      </w:r>
      <w:r>
        <w:rPr>
          <w:color w:val="auto"/>
        </w:rPr>
        <w:fldChar w:fldCharType="separate"/>
      </w:r>
      <w:r>
        <w:rPr>
          <w:color w:val="auto"/>
        </w:rPr>
        <w:t>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_Toc21032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1.3 </w:t>
      </w:r>
      <w:r>
        <w:rPr>
          <w:rFonts w:hint="default" w:ascii="Times New Roman" w:hAnsi="Times New Roman" w:eastAsia="宋体" w:cs="Times New Roman"/>
          <w:color w:val="auto"/>
          <w:highlight w:val="none"/>
        </w:rPr>
        <w:t>环境影响识别及评价因子筛选</w:t>
      </w:r>
      <w:r>
        <w:rPr>
          <w:color w:val="auto"/>
        </w:rPr>
        <w:tab/>
      </w:r>
      <w:r>
        <w:rPr>
          <w:color w:val="auto"/>
        </w:rPr>
        <w:fldChar w:fldCharType="begin"/>
      </w:r>
      <w:r>
        <w:rPr>
          <w:color w:val="auto"/>
        </w:rPr>
        <w:instrText xml:space="preserve"> PAGEREF _Toc21032 \h </w:instrText>
      </w:r>
      <w:r>
        <w:rPr>
          <w:color w:val="auto"/>
        </w:rPr>
        <w:fldChar w:fldCharType="separate"/>
      </w:r>
      <w:r>
        <w:rPr>
          <w:color w:val="auto"/>
        </w:rPr>
        <w:t>10</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_Toc32180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1.4 </w:t>
      </w:r>
      <w:r>
        <w:rPr>
          <w:rFonts w:hint="default" w:ascii="Times New Roman" w:hAnsi="Times New Roman" w:eastAsia="宋体" w:cs="Times New Roman"/>
          <w:color w:val="auto"/>
          <w:highlight w:val="none"/>
        </w:rPr>
        <w:t>环境功能区与评价标准</w:t>
      </w:r>
      <w:r>
        <w:rPr>
          <w:color w:val="auto"/>
        </w:rPr>
        <w:tab/>
      </w:r>
      <w:r>
        <w:rPr>
          <w:color w:val="auto"/>
        </w:rPr>
        <w:fldChar w:fldCharType="begin"/>
      </w:r>
      <w:r>
        <w:rPr>
          <w:color w:val="auto"/>
        </w:rPr>
        <w:instrText xml:space="preserve"> PAGEREF _Toc32180 \h </w:instrText>
      </w:r>
      <w:r>
        <w:rPr>
          <w:color w:val="auto"/>
        </w:rPr>
        <w:fldChar w:fldCharType="separate"/>
      </w:r>
      <w:r>
        <w:rPr>
          <w:color w:val="auto"/>
        </w:rPr>
        <w:t>11</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_Toc12933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1.5 </w:t>
      </w:r>
      <w:r>
        <w:rPr>
          <w:rFonts w:hint="default" w:ascii="Times New Roman" w:hAnsi="Times New Roman" w:eastAsia="宋体" w:cs="Times New Roman"/>
          <w:color w:val="auto"/>
          <w:highlight w:val="none"/>
        </w:rPr>
        <w:t>评价工作等级和评价</w:t>
      </w:r>
      <w:r>
        <w:rPr>
          <w:rFonts w:hint="default" w:ascii="Times New Roman" w:hAnsi="Times New Roman" w:eastAsia="宋体" w:cs="Times New Roman"/>
          <w:color w:val="auto"/>
          <w:highlight w:val="none"/>
          <w:lang w:val="en-US" w:eastAsia="zh-CN"/>
        </w:rPr>
        <w:t>范围</w:t>
      </w:r>
      <w:r>
        <w:rPr>
          <w:color w:val="auto"/>
        </w:rPr>
        <w:tab/>
      </w:r>
      <w:r>
        <w:rPr>
          <w:color w:val="auto"/>
        </w:rPr>
        <w:fldChar w:fldCharType="begin"/>
      </w:r>
      <w:r>
        <w:rPr>
          <w:color w:val="auto"/>
        </w:rPr>
        <w:instrText xml:space="preserve"> PAGEREF _Toc12933 \h </w:instrText>
      </w:r>
      <w:r>
        <w:rPr>
          <w:color w:val="auto"/>
        </w:rPr>
        <w:fldChar w:fldCharType="separate"/>
      </w:r>
      <w:r>
        <w:rPr>
          <w:color w:val="auto"/>
        </w:rPr>
        <w:t>16</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_Toc13153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1.6 </w:t>
      </w:r>
      <w:r>
        <w:rPr>
          <w:rFonts w:hint="default" w:ascii="Times New Roman" w:hAnsi="Times New Roman" w:eastAsia="宋体" w:cs="Times New Roman"/>
          <w:color w:val="auto"/>
          <w:highlight w:val="none"/>
        </w:rPr>
        <w:t>环境保护目标</w:t>
      </w:r>
      <w:r>
        <w:rPr>
          <w:color w:val="auto"/>
        </w:rPr>
        <w:tab/>
      </w:r>
      <w:r>
        <w:rPr>
          <w:color w:val="auto"/>
        </w:rPr>
        <w:fldChar w:fldCharType="begin"/>
      </w:r>
      <w:r>
        <w:rPr>
          <w:color w:val="auto"/>
        </w:rPr>
        <w:instrText xml:space="preserve"> PAGEREF _Toc13153 \h </w:instrText>
      </w:r>
      <w:r>
        <w:rPr>
          <w:color w:val="auto"/>
        </w:rPr>
        <w:fldChar w:fldCharType="separate"/>
      </w:r>
      <w:r>
        <w:rPr>
          <w:color w:val="auto"/>
        </w:rPr>
        <w:t>24</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_Toc16850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2 </w:t>
      </w:r>
      <w:r>
        <w:rPr>
          <w:rFonts w:hint="eastAsia" w:eastAsia="宋体" w:cs="Times New Roman"/>
          <w:b/>
          <w:bCs/>
          <w:color w:val="auto"/>
          <w:highlight w:val="none"/>
          <w:lang w:val="en-US" w:eastAsia="zh-CN"/>
        </w:rPr>
        <w:t>现有工程回顾性分析</w:t>
      </w:r>
      <w:r>
        <w:rPr>
          <w:b/>
          <w:bCs/>
          <w:color w:val="auto"/>
        </w:rPr>
        <w:tab/>
      </w:r>
      <w:r>
        <w:rPr>
          <w:b/>
          <w:bCs/>
          <w:color w:val="auto"/>
        </w:rPr>
        <w:fldChar w:fldCharType="begin"/>
      </w:r>
      <w:r>
        <w:rPr>
          <w:b/>
          <w:bCs/>
          <w:color w:val="auto"/>
        </w:rPr>
        <w:instrText xml:space="preserve"> PAGEREF _Toc16850 \h </w:instrText>
      </w:r>
      <w:r>
        <w:rPr>
          <w:b/>
          <w:bCs/>
          <w:color w:val="auto"/>
        </w:rPr>
        <w:fldChar w:fldCharType="separate"/>
      </w:r>
      <w:r>
        <w:rPr>
          <w:b/>
          <w:bCs/>
          <w:color w:val="auto"/>
        </w:rPr>
        <w:t>28</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_Toc22182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lang w:val="en-US"/>
        </w:rPr>
        <w:t xml:space="preserve">2.1 </w:t>
      </w:r>
      <w:r>
        <w:rPr>
          <w:rFonts w:hint="default"/>
          <w:color w:val="auto"/>
          <w:lang w:val="en-US"/>
        </w:rPr>
        <w:t>矿山</w:t>
      </w:r>
      <w:r>
        <w:rPr>
          <w:rFonts w:hint="default"/>
          <w:color w:val="auto"/>
          <w:lang w:val="en-US" w:eastAsia="zh-CN"/>
        </w:rPr>
        <w:t>历程</w:t>
      </w:r>
      <w:r>
        <w:rPr>
          <w:color w:val="auto"/>
        </w:rPr>
        <w:tab/>
      </w:r>
      <w:r>
        <w:rPr>
          <w:color w:val="auto"/>
        </w:rPr>
        <w:fldChar w:fldCharType="begin"/>
      </w:r>
      <w:r>
        <w:rPr>
          <w:color w:val="auto"/>
        </w:rPr>
        <w:instrText xml:space="preserve"> PAGEREF _Toc22182 \h </w:instrText>
      </w:r>
      <w:r>
        <w:rPr>
          <w:color w:val="auto"/>
        </w:rPr>
        <w:fldChar w:fldCharType="separate"/>
      </w:r>
      <w:r>
        <w:rPr>
          <w:color w:val="auto"/>
        </w:rPr>
        <w:t>28</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_Toc15908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2.2 </w:t>
      </w:r>
      <w:r>
        <w:rPr>
          <w:rFonts w:hint="default"/>
          <w:color w:val="auto"/>
          <w:lang w:val="en-US" w:eastAsia="zh-CN"/>
        </w:rPr>
        <w:t>矿山原有环评情况</w:t>
      </w:r>
      <w:r>
        <w:rPr>
          <w:color w:val="auto"/>
        </w:rPr>
        <w:tab/>
      </w:r>
      <w:r>
        <w:rPr>
          <w:color w:val="auto"/>
        </w:rPr>
        <w:fldChar w:fldCharType="begin"/>
      </w:r>
      <w:r>
        <w:rPr>
          <w:color w:val="auto"/>
        </w:rPr>
        <w:instrText xml:space="preserve"> PAGEREF _Toc15908 \h </w:instrText>
      </w:r>
      <w:r>
        <w:rPr>
          <w:color w:val="auto"/>
        </w:rPr>
        <w:fldChar w:fldCharType="separate"/>
      </w:r>
      <w:r>
        <w:rPr>
          <w:color w:val="auto"/>
        </w:rPr>
        <w:t>28</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_Toc8808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2.3 </w:t>
      </w:r>
      <w:r>
        <w:rPr>
          <w:rFonts w:hint="default"/>
          <w:color w:val="auto"/>
        </w:rPr>
        <w:t>现存主要生态破坏情况</w:t>
      </w:r>
      <w:r>
        <w:rPr>
          <w:color w:val="auto"/>
        </w:rPr>
        <w:tab/>
      </w:r>
      <w:r>
        <w:rPr>
          <w:color w:val="auto"/>
        </w:rPr>
        <w:fldChar w:fldCharType="begin"/>
      </w:r>
      <w:r>
        <w:rPr>
          <w:color w:val="auto"/>
        </w:rPr>
        <w:instrText xml:space="preserve"> PAGEREF _Toc8808 \h </w:instrText>
      </w:r>
      <w:r>
        <w:rPr>
          <w:color w:val="auto"/>
        </w:rPr>
        <w:fldChar w:fldCharType="separate"/>
      </w:r>
      <w:r>
        <w:rPr>
          <w:color w:val="auto"/>
        </w:rPr>
        <w:t>29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_Toc16210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2.4 </w:t>
      </w:r>
      <w:r>
        <w:rPr>
          <w:rFonts w:hint="default"/>
          <w:color w:val="auto"/>
        </w:rPr>
        <w:t>现</w:t>
      </w:r>
      <w:r>
        <w:rPr>
          <w:rFonts w:hint="default"/>
          <w:color w:val="auto"/>
          <w:lang w:val="en-US" w:eastAsia="zh-CN"/>
        </w:rPr>
        <w:t>有生态恢复</w:t>
      </w:r>
      <w:r>
        <w:rPr>
          <w:rFonts w:hint="default"/>
          <w:color w:val="auto"/>
        </w:rPr>
        <w:t>情况</w:t>
      </w:r>
      <w:r>
        <w:rPr>
          <w:color w:val="auto"/>
        </w:rPr>
        <w:tab/>
      </w:r>
      <w:r>
        <w:rPr>
          <w:color w:val="auto"/>
        </w:rPr>
        <w:fldChar w:fldCharType="begin"/>
      </w:r>
      <w:r>
        <w:rPr>
          <w:color w:val="auto"/>
        </w:rPr>
        <w:instrText xml:space="preserve"> PAGEREF _Toc16210 \h </w:instrText>
      </w:r>
      <w:r>
        <w:rPr>
          <w:color w:val="auto"/>
        </w:rPr>
        <w:fldChar w:fldCharType="separate"/>
      </w:r>
      <w:r>
        <w:rPr>
          <w:color w:val="auto"/>
        </w:rPr>
        <w:t>33</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_Toc32162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lang w:val="en-US" w:eastAsia="zh-CN"/>
        </w:rPr>
        <w:t xml:space="preserve">2.5 </w:t>
      </w:r>
      <w:r>
        <w:rPr>
          <w:rFonts w:hint="default"/>
          <w:color w:val="auto"/>
          <w:lang w:val="en-US" w:eastAsia="zh-CN"/>
        </w:rPr>
        <w:t>矿区现存环境问题及整改措施</w:t>
      </w:r>
      <w:r>
        <w:rPr>
          <w:color w:val="auto"/>
        </w:rPr>
        <w:tab/>
      </w:r>
      <w:r>
        <w:rPr>
          <w:color w:val="auto"/>
        </w:rPr>
        <w:fldChar w:fldCharType="begin"/>
      </w:r>
      <w:r>
        <w:rPr>
          <w:color w:val="auto"/>
        </w:rPr>
        <w:instrText xml:space="preserve"> PAGEREF _Toc32162 \h </w:instrText>
      </w:r>
      <w:r>
        <w:rPr>
          <w:color w:val="auto"/>
        </w:rPr>
        <w:fldChar w:fldCharType="separate"/>
      </w:r>
      <w:r>
        <w:rPr>
          <w:color w:val="auto"/>
        </w:rPr>
        <w:t>36</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_Toc27903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3 </w:t>
      </w:r>
      <w:r>
        <w:rPr>
          <w:rFonts w:hint="default"/>
          <w:b/>
          <w:bCs/>
          <w:color w:val="auto"/>
        </w:rPr>
        <w:t>扩建项目工程分析</w:t>
      </w:r>
      <w:r>
        <w:rPr>
          <w:b/>
          <w:bCs/>
          <w:color w:val="auto"/>
        </w:rPr>
        <w:tab/>
      </w:r>
      <w:r>
        <w:rPr>
          <w:b/>
          <w:bCs/>
          <w:color w:val="auto"/>
        </w:rPr>
        <w:fldChar w:fldCharType="begin"/>
      </w:r>
      <w:r>
        <w:rPr>
          <w:b/>
          <w:bCs/>
          <w:color w:val="auto"/>
        </w:rPr>
        <w:instrText xml:space="preserve"> PAGEREF _Toc27903 \h </w:instrText>
      </w:r>
      <w:r>
        <w:rPr>
          <w:b/>
          <w:bCs/>
          <w:color w:val="auto"/>
        </w:rPr>
        <w:fldChar w:fldCharType="separate"/>
      </w:r>
      <w:r>
        <w:rPr>
          <w:b/>
          <w:bCs/>
          <w:color w:val="auto"/>
        </w:rPr>
        <w:t>37</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_Toc9136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3.1 </w:t>
      </w:r>
      <w:r>
        <w:rPr>
          <w:rFonts w:hint="eastAsia"/>
          <w:color w:val="auto"/>
          <w:lang w:val="en-US" w:eastAsia="zh-CN"/>
        </w:rPr>
        <w:t>项目概况</w:t>
      </w:r>
      <w:r>
        <w:rPr>
          <w:color w:val="auto"/>
        </w:rPr>
        <w:tab/>
      </w:r>
      <w:r>
        <w:rPr>
          <w:color w:val="auto"/>
        </w:rPr>
        <w:fldChar w:fldCharType="begin"/>
      </w:r>
      <w:r>
        <w:rPr>
          <w:color w:val="auto"/>
        </w:rPr>
        <w:instrText xml:space="preserve"> PAGEREF _Toc9136 \h </w:instrText>
      </w:r>
      <w:r>
        <w:rPr>
          <w:color w:val="auto"/>
        </w:rPr>
        <w:fldChar w:fldCharType="separate"/>
      </w:r>
      <w:r>
        <w:rPr>
          <w:color w:val="auto"/>
        </w:rPr>
        <w:t>37</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_Toc9780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3.2 </w:t>
      </w:r>
      <w:r>
        <w:rPr>
          <w:rFonts w:hint="default" w:ascii="Times New Roman" w:hAnsi="Times New Roman" w:eastAsia="宋体" w:cs="Times New Roman"/>
          <w:color w:val="auto"/>
          <w:highlight w:val="none"/>
        </w:rPr>
        <w:t>矿区资源</w:t>
      </w:r>
      <w:r>
        <w:rPr>
          <w:color w:val="auto"/>
        </w:rPr>
        <w:tab/>
      </w:r>
      <w:r>
        <w:rPr>
          <w:color w:val="auto"/>
        </w:rPr>
        <w:fldChar w:fldCharType="begin"/>
      </w:r>
      <w:r>
        <w:rPr>
          <w:color w:val="auto"/>
        </w:rPr>
        <w:instrText xml:space="preserve"> PAGEREF _Toc9780 \h </w:instrText>
      </w:r>
      <w:r>
        <w:rPr>
          <w:color w:val="auto"/>
        </w:rPr>
        <w:fldChar w:fldCharType="separate"/>
      </w:r>
      <w:r>
        <w:rPr>
          <w:color w:val="auto"/>
        </w:rPr>
        <w:t>49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_Toc19475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3.3 </w:t>
      </w:r>
      <w:r>
        <w:rPr>
          <w:rFonts w:hint="eastAsia"/>
          <w:color w:val="auto"/>
          <w:lang w:val="en-US" w:eastAsia="zh-CN"/>
        </w:rPr>
        <w:t>工程分析</w:t>
      </w:r>
      <w:r>
        <w:rPr>
          <w:color w:val="auto"/>
        </w:rPr>
        <w:tab/>
      </w:r>
      <w:r>
        <w:rPr>
          <w:color w:val="auto"/>
        </w:rPr>
        <w:fldChar w:fldCharType="begin"/>
      </w:r>
      <w:r>
        <w:rPr>
          <w:color w:val="auto"/>
        </w:rPr>
        <w:instrText xml:space="preserve"> PAGEREF _Toc19475 \h </w:instrText>
      </w:r>
      <w:r>
        <w:rPr>
          <w:color w:val="auto"/>
        </w:rPr>
        <w:fldChar w:fldCharType="separate"/>
      </w:r>
      <w:r>
        <w:rPr>
          <w:color w:val="auto"/>
        </w:rPr>
        <w:t>56</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_Toc11936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lang w:val="en-US" w:eastAsia="zh-CN"/>
        </w:rPr>
        <w:t xml:space="preserve">3.4 </w:t>
      </w:r>
      <w:r>
        <w:rPr>
          <w:rFonts w:hint="eastAsia"/>
          <w:color w:val="auto"/>
          <w:lang w:val="en-US" w:eastAsia="zh-CN"/>
        </w:rPr>
        <w:t>环境影响因素分析</w:t>
      </w:r>
      <w:r>
        <w:rPr>
          <w:color w:val="auto"/>
        </w:rPr>
        <w:tab/>
      </w:r>
      <w:r>
        <w:rPr>
          <w:color w:val="auto"/>
        </w:rPr>
        <w:fldChar w:fldCharType="begin"/>
      </w:r>
      <w:r>
        <w:rPr>
          <w:color w:val="auto"/>
        </w:rPr>
        <w:instrText xml:space="preserve"> PAGEREF _Toc11936 \h </w:instrText>
      </w:r>
      <w:r>
        <w:rPr>
          <w:color w:val="auto"/>
        </w:rPr>
        <w:fldChar w:fldCharType="separate"/>
      </w:r>
      <w:r>
        <w:rPr>
          <w:color w:val="auto"/>
        </w:rPr>
        <w:t>73</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_Toc13609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3.5 </w:t>
      </w:r>
      <w:r>
        <w:rPr>
          <w:rFonts w:hint="default"/>
          <w:color w:val="auto"/>
        </w:rPr>
        <w:t>项目污染物</w:t>
      </w:r>
      <w:r>
        <w:rPr>
          <w:rFonts w:hint="eastAsia"/>
          <w:color w:val="auto"/>
          <w:lang w:eastAsia="zh-CN"/>
        </w:rPr>
        <w:t>“</w:t>
      </w:r>
      <w:r>
        <w:rPr>
          <w:rFonts w:hint="default"/>
          <w:color w:val="auto"/>
        </w:rPr>
        <w:t>三本帐</w:t>
      </w:r>
      <w:r>
        <w:rPr>
          <w:rFonts w:hint="eastAsia"/>
          <w:color w:val="auto"/>
          <w:lang w:eastAsia="zh-CN"/>
        </w:rPr>
        <w:t>”</w:t>
      </w:r>
      <w:r>
        <w:rPr>
          <w:rFonts w:hint="default"/>
          <w:color w:val="auto"/>
        </w:rPr>
        <w:t>分析</w:t>
      </w:r>
      <w:r>
        <w:rPr>
          <w:color w:val="auto"/>
        </w:rPr>
        <w:tab/>
      </w:r>
      <w:r>
        <w:rPr>
          <w:color w:val="auto"/>
        </w:rPr>
        <w:fldChar w:fldCharType="begin"/>
      </w:r>
      <w:r>
        <w:rPr>
          <w:color w:val="auto"/>
        </w:rPr>
        <w:instrText xml:space="preserve"> PAGEREF _Toc13609 \h </w:instrText>
      </w:r>
      <w:r>
        <w:rPr>
          <w:color w:val="auto"/>
        </w:rPr>
        <w:fldChar w:fldCharType="separate"/>
      </w:r>
      <w:r>
        <w:rPr>
          <w:color w:val="auto"/>
        </w:rPr>
        <w:t>82</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_Toc22258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4 </w:t>
      </w:r>
      <w:r>
        <w:rPr>
          <w:rFonts w:hint="default" w:ascii="Times New Roman" w:hAnsi="Times New Roman" w:eastAsia="宋体" w:cs="Times New Roman"/>
          <w:b/>
          <w:bCs/>
          <w:color w:val="auto"/>
          <w:highlight w:val="none"/>
        </w:rPr>
        <w:t>项目所在区域环境概况</w:t>
      </w:r>
      <w:r>
        <w:rPr>
          <w:b/>
          <w:bCs/>
          <w:color w:val="auto"/>
        </w:rPr>
        <w:tab/>
      </w:r>
      <w:r>
        <w:rPr>
          <w:b/>
          <w:bCs/>
          <w:color w:val="auto"/>
        </w:rPr>
        <w:fldChar w:fldCharType="begin"/>
      </w:r>
      <w:r>
        <w:rPr>
          <w:b/>
          <w:bCs/>
          <w:color w:val="auto"/>
        </w:rPr>
        <w:instrText xml:space="preserve"> PAGEREF _Toc22258 \h </w:instrText>
      </w:r>
      <w:r>
        <w:rPr>
          <w:b/>
          <w:bCs/>
          <w:color w:val="auto"/>
        </w:rPr>
        <w:fldChar w:fldCharType="separate"/>
      </w:r>
      <w:r>
        <w:rPr>
          <w:b/>
          <w:bCs/>
          <w:color w:val="auto"/>
        </w:rPr>
        <w:t>83</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_Toc20896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4.1 </w:t>
      </w:r>
      <w:r>
        <w:rPr>
          <w:rFonts w:hint="default" w:ascii="Times New Roman" w:hAnsi="Times New Roman" w:eastAsia="宋体" w:cs="Times New Roman"/>
          <w:color w:val="auto"/>
          <w:highlight w:val="none"/>
        </w:rPr>
        <w:t>区域自然环境概况</w:t>
      </w:r>
      <w:r>
        <w:rPr>
          <w:color w:val="auto"/>
        </w:rPr>
        <w:tab/>
      </w:r>
      <w:r>
        <w:rPr>
          <w:color w:val="auto"/>
        </w:rPr>
        <w:fldChar w:fldCharType="begin"/>
      </w:r>
      <w:r>
        <w:rPr>
          <w:color w:val="auto"/>
        </w:rPr>
        <w:instrText xml:space="preserve"> PAGEREF _Toc20896 \h </w:instrText>
      </w:r>
      <w:r>
        <w:rPr>
          <w:color w:val="auto"/>
        </w:rPr>
        <w:fldChar w:fldCharType="separate"/>
      </w:r>
      <w:r>
        <w:rPr>
          <w:color w:val="auto"/>
        </w:rPr>
        <w:t>83</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_Toc233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4.2 </w:t>
      </w:r>
      <w:r>
        <w:rPr>
          <w:rFonts w:hint="default" w:ascii="Times New Roman" w:hAnsi="Times New Roman" w:eastAsia="宋体" w:cs="Times New Roman"/>
          <w:color w:val="auto"/>
          <w:highlight w:val="none"/>
        </w:rPr>
        <w:t>环境质量现状调查与评价</w:t>
      </w:r>
      <w:r>
        <w:rPr>
          <w:color w:val="auto"/>
        </w:rPr>
        <w:tab/>
      </w:r>
      <w:r>
        <w:rPr>
          <w:color w:val="auto"/>
        </w:rPr>
        <w:fldChar w:fldCharType="begin"/>
      </w:r>
      <w:r>
        <w:rPr>
          <w:color w:val="auto"/>
        </w:rPr>
        <w:instrText xml:space="preserve"> PAGEREF _Toc233 \h </w:instrText>
      </w:r>
      <w:r>
        <w:rPr>
          <w:color w:val="auto"/>
        </w:rPr>
        <w:fldChar w:fldCharType="separate"/>
      </w:r>
      <w:r>
        <w:rPr>
          <w:color w:val="auto"/>
        </w:rPr>
        <w:t>88</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_Toc28502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5 </w:t>
      </w:r>
      <w:r>
        <w:rPr>
          <w:rFonts w:hint="default" w:ascii="Times New Roman" w:hAnsi="Times New Roman" w:eastAsia="宋体" w:cs="Times New Roman"/>
          <w:b/>
          <w:bCs/>
          <w:color w:val="auto"/>
          <w:highlight w:val="none"/>
        </w:rPr>
        <w:t>生态</w:t>
      </w:r>
      <w:r>
        <w:rPr>
          <w:rFonts w:hint="default" w:ascii="Times New Roman" w:hAnsi="Times New Roman" w:eastAsia="宋体" w:cs="Times New Roman"/>
          <w:b/>
          <w:bCs/>
          <w:color w:val="auto"/>
          <w:highlight w:val="none"/>
          <w:lang w:val="en-US" w:eastAsia="zh-CN"/>
        </w:rPr>
        <w:t>环境</w:t>
      </w:r>
      <w:r>
        <w:rPr>
          <w:rFonts w:hint="default" w:ascii="Times New Roman" w:hAnsi="Times New Roman" w:eastAsia="宋体" w:cs="Times New Roman"/>
          <w:b/>
          <w:bCs/>
          <w:color w:val="auto"/>
          <w:highlight w:val="none"/>
        </w:rPr>
        <w:t>影响</w:t>
      </w:r>
      <w:r>
        <w:rPr>
          <w:rFonts w:hint="eastAsia" w:eastAsia="宋体" w:cs="Times New Roman"/>
          <w:b/>
          <w:bCs/>
          <w:color w:val="auto"/>
          <w:highlight w:val="none"/>
          <w:lang w:val="en-US" w:eastAsia="zh-CN"/>
        </w:rPr>
        <w:t>分析</w:t>
      </w:r>
      <w:r>
        <w:rPr>
          <w:rFonts w:hint="default" w:ascii="Times New Roman" w:hAnsi="Times New Roman" w:eastAsia="宋体" w:cs="Times New Roman"/>
          <w:b/>
          <w:bCs/>
          <w:color w:val="auto"/>
          <w:highlight w:val="none"/>
          <w:lang w:val="en-US" w:eastAsia="zh-CN"/>
        </w:rPr>
        <w:t>及保护措施</w:t>
      </w:r>
      <w:r>
        <w:rPr>
          <w:b/>
          <w:bCs/>
          <w:color w:val="auto"/>
        </w:rPr>
        <w:tab/>
      </w:r>
      <w:r>
        <w:rPr>
          <w:b/>
          <w:bCs/>
          <w:color w:val="auto"/>
        </w:rPr>
        <w:fldChar w:fldCharType="begin"/>
      </w:r>
      <w:r>
        <w:rPr>
          <w:b/>
          <w:bCs/>
          <w:color w:val="auto"/>
        </w:rPr>
        <w:instrText xml:space="preserve"> PAGEREF _Toc28502 \h </w:instrText>
      </w:r>
      <w:r>
        <w:rPr>
          <w:b/>
          <w:bCs/>
          <w:color w:val="auto"/>
        </w:rPr>
        <w:fldChar w:fldCharType="separate"/>
      </w:r>
      <w:r>
        <w:rPr>
          <w:b/>
          <w:bCs/>
          <w:color w:val="auto"/>
        </w:rPr>
        <w:t>106</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_Toc23697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5.1 </w:t>
      </w:r>
      <w:r>
        <w:rPr>
          <w:rFonts w:hint="default" w:ascii="Times New Roman" w:hAnsi="Times New Roman" w:eastAsia="宋体" w:cs="Times New Roman"/>
          <w:color w:val="auto"/>
          <w:highlight w:val="none"/>
        </w:rPr>
        <w:t>生态环境现状调查与评价</w:t>
      </w:r>
      <w:r>
        <w:rPr>
          <w:color w:val="auto"/>
        </w:rPr>
        <w:tab/>
      </w:r>
      <w:r>
        <w:rPr>
          <w:color w:val="auto"/>
        </w:rPr>
        <w:fldChar w:fldCharType="begin"/>
      </w:r>
      <w:r>
        <w:rPr>
          <w:color w:val="auto"/>
        </w:rPr>
        <w:instrText xml:space="preserve"> PAGEREF _Toc23697 \h </w:instrText>
      </w:r>
      <w:r>
        <w:rPr>
          <w:color w:val="auto"/>
        </w:rPr>
        <w:fldChar w:fldCharType="separate"/>
      </w:r>
      <w:r>
        <w:rPr>
          <w:color w:val="auto"/>
        </w:rPr>
        <w:t>106</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_Toc28829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5.2 </w:t>
      </w:r>
      <w:r>
        <w:rPr>
          <w:rFonts w:hint="default"/>
          <w:color w:val="auto"/>
          <w:highlight w:val="none"/>
        </w:rPr>
        <w:t>生态环境影响因素识别及因子筛选</w:t>
      </w:r>
      <w:r>
        <w:rPr>
          <w:color w:val="auto"/>
        </w:rPr>
        <w:tab/>
      </w:r>
      <w:r>
        <w:rPr>
          <w:color w:val="auto"/>
        </w:rPr>
        <w:fldChar w:fldCharType="begin"/>
      </w:r>
      <w:r>
        <w:rPr>
          <w:color w:val="auto"/>
        </w:rPr>
        <w:instrText xml:space="preserve"> PAGEREF _Toc28829 \h </w:instrText>
      </w:r>
      <w:r>
        <w:rPr>
          <w:color w:val="auto"/>
        </w:rPr>
        <w:fldChar w:fldCharType="separate"/>
      </w:r>
      <w:r>
        <w:rPr>
          <w:color w:val="auto"/>
        </w:rPr>
        <w:t>128</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_Toc28528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5.3 </w:t>
      </w:r>
      <w:r>
        <w:rPr>
          <w:rFonts w:hint="default"/>
          <w:color w:val="auto"/>
          <w:highlight w:val="none"/>
          <w:lang w:val="en-US" w:eastAsia="zh-CN"/>
        </w:rPr>
        <w:t>基建</w:t>
      </w:r>
      <w:r>
        <w:rPr>
          <w:rFonts w:hint="default"/>
          <w:color w:val="auto"/>
          <w:highlight w:val="none"/>
        </w:rPr>
        <w:t>期生态环境影响分析</w:t>
      </w:r>
      <w:r>
        <w:rPr>
          <w:color w:val="auto"/>
        </w:rPr>
        <w:tab/>
      </w:r>
      <w:r>
        <w:rPr>
          <w:color w:val="auto"/>
        </w:rPr>
        <w:fldChar w:fldCharType="begin"/>
      </w:r>
      <w:r>
        <w:rPr>
          <w:color w:val="auto"/>
        </w:rPr>
        <w:instrText xml:space="preserve"> PAGEREF _Toc28528 \h </w:instrText>
      </w:r>
      <w:r>
        <w:rPr>
          <w:color w:val="auto"/>
        </w:rPr>
        <w:fldChar w:fldCharType="separate"/>
      </w:r>
      <w:r>
        <w:rPr>
          <w:color w:val="auto"/>
        </w:rPr>
        <w:t>129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_Toc6018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lang w:val="en-US" w:eastAsia="zh-CN"/>
        </w:rPr>
        <w:t xml:space="preserve">5.4 </w:t>
      </w:r>
      <w:r>
        <w:rPr>
          <w:rFonts w:hint="default"/>
          <w:color w:val="auto"/>
          <w:highlight w:val="none"/>
          <w:lang w:val="en-US" w:eastAsia="zh-CN"/>
        </w:rPr>
        <w:t>运营期生态环境影响分析</w:t>
      </w:r>
      <w:r>
        <w:rPr>
          <w:color w:val="auto"/>
        </w:rPr>
        <w:tab/>
      </w:r>
      <w:r>
        <w:rPr>
          <w:color w:val="auto"/>
        </w:rPr>
        <w:fldChar w:fldCharType="begin"/>
      </w:r>
      <w:r>
        <w:rPr>
          <w:color w:val="auto"/>
        </w:rPr>
        <w:instrText xml:space="preserve"> PAGEREF _Toc6018 \h </w:instrText>
      </w:r>
      <w:r>
        <w:rPr>
          <w:color w:val="auto"/>
        </w:rPr>
        <w:fldChar w:fldCharType="separate"/>
      </w:r>
      <w:r>
        <w:rPr>
          <w:color w:val="auto"/>
        </w:rPr>
        <w:t>135</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_Toc29016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5.5 </w:t>
      </w:r>
      <w:r>
        <w:rPr>
          <w:rFonts w:hint="default" w:ascii="Times New Roman" w:hAnsi="Times New Roman" w:eastAsia="宋体" w:cs="Times New Roman"/>
          <w:color w:val="auto"/>
          <w:highlight w:val="none"/>
        </w:rPr>
        <w:t>服务期满后对生态环境的影响分析</w:t>
      </w:r>
      <w:r>
        <w:rPr>
          <w:color w:val="auto"/>
        </w:rPr>
        <w:tab/>
      </w:r>
      <w:r>
        <w:rPr>
          <w:color w:val="auto"/>
        </w:rPr>
        <w:fldChar w:fldCharType="begin"/>
      </w:r>
      <w:r>
        <w:rPr>
          <w:color w:val="auto"/>
        </w:rPr>
        <w:instrText xml:space="preserve"> PAGEREF _Toc29016 \h </w:instrText>
      </w:r>
      <w:r>
        <w:rPr>
          <w:color w:val="auto"/>
        </w:rPr>
        <w:fldChar w:fldCharType="separate"/>
      </w:r>
      <w:r>
        <w:rPr>
          <w:color w:val="auto"/>
        </w:rPr>
        <w:t>143</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_Toc28323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5.6 </w:t>
      </w:r>
      <w:r>
        <w:rPr>
          <w:rFonts w:hint="default" w:ascii="Times New Roman" w:hAnsi="Times New Roman" w:eastAsia="宋体" w:cs="Times New Roman"/>
          <w:color w:val="auto"/>
          <w:highlight w:val="none"/>
        </w:rPr>
        <w:t>生态环境综合整治规划</w:t>
      </w:r>
      <w:r>
        <w:rPr>
          <w:color w:val="auto"/>
        </w:rPr>
        <w:tab/>
      </w:r>
      <w:r>
        <w:rPr>
          <w:color w:val="auto"/>
        </w:rPr>
        <w:fldChar w:fldCharType="begin"/>
      </w:r>
      <w:r>
        <w:rPr>
          <w:color w:val="auto"/>
        </w:rPr>
        <w:instrText xml:space="preserve"> PAGEREF _Toc28323 \h </w:instrText>
      </w:r>
      <w:r>
        <w:rPr>
          <w:color w:val="auto"/>
        </w:rPr>
        <w:fldChar w:fldCharType="separate"/>
      </w:r>
      <w:r>
        <w:rPr>
          <w:color w:val="auto"/>
        </w:rPr>
        <w:t>144</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_Toc5003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6 </w:t>
      </w:r>
      <w:r>
        <w:rPr>
          <w:rFonts w:hint="default" w:ascii="Times New Roman" w:hAnsi="Times New Roman" w:eastAsia="宋体" w:cs="Times New Roman"/>
          <w:b/>
          <w:bCs/>
          <w:color w:val="auto"/>
          <w:highlight w:val="none"/>
        </w:rPr>
        <w:t>环境影响预测与评价</w:t>
      </w:r>
      <w:r>
        <w:rPr>
          <w:b/>
          <w:bCs/>
          <w:color w:val="auto"/>
        </w:rPr>
        <w:tab/>
      </w:r>
      <w:r>
        <w:rPr>
          <w:b/>
          <w:bCs/>
          <w:color w:val="auto"/>
        </w:rPr>
        <w:fldChar w:fldCharType="begin"/>
      </w:r>
      <w:r>
        <w:rPr>
          <w:b/>
          <w:bCs/>
          <w:color w:val="auto"/>
        </w:rPr>
        <w:instrText xml:space="preserve"> PAGEREF _Toc5003 \h </w:instrText>
      </w:r>
      <w:r>
        <w:rPr>
          <w:b/>
          <w:bCs/>
          <w:color w:val="auto"/>
        </w:rPr>
        <w:fldChar w:fldCharType="separate"/>
      </w:r>
      <w:r>
        <w:rPr>
          <w:b/>
          <w:bCs/>
          <w:color w:val="auto"/>
        </w:rPr>
        <w:t>159</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_Toc22253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snapToGrid w:val="0"/>
          <w:color w:val="auto"/>
          <w:szCs w:val="32"/>
        </w:rPr>
        <w:t xml:space="preserve">6.1 </w:t>
      </w:r>
      <w:r>
        <w:rPr>
          <w:rFonts w:hint="default" w:ascii="Times New Roman" w:hAnsi="Times New Roman" w:eastAsia="宋体" w:cs="Times New Roman"/>
          <w:snapToGrid w:val="0"/>
          <w:color w:val="auto"/>
          <w:highlight w:val="none"/>
          <w:lang w:val="en-US" w:eastAsia="zh-CN"/>
        </w:rPr>
        <w:t>基建期环境影响分析</w:t>
      </w:r>
      <w:r>
        <w:rPr>
          <w:color w:val="auto"/>
        </w:rPr>
        <w:tab/>
      </w:r>
      <w:r>
        <w:rPr>
          <w:color w:val="auto"/>
        </w:rPr>
        <w:fldChar w:fldCharType="begin"/>
      </w:r>
      <w:r>
        <w:rPr>
          <w:color w:val="auto"/>
        </w:rPr>
        <w:instrText xml:space="preserve"> PAGEREF _Toc22253 \h </w:instrText>
      </w:r>
      <w:r>
        <w:rPr>
          <w:color w:val="auto"/>
        </w:rPr>
        <w:fldChar w:fldCharType="separate"/>
      </w:r>
      <w:r>
        <w:rPr>
          <w:color w:val="auto"/>
        </w:rPr>
        <w:t>159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_Toc7465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snapToGrid w:val="0"/>
          <w:color w:val="auto"/>
          <w:szCs w:val="32"/>
        </w:rPr>
        <w:t xml:space="preserve">6.2 </w:t>
      </w:r>
      <w:r>
        <w:rPr>
          <w:rFonts w:hint="default" w:ascii="Times New Roman" w:hAnsi="Times New Roman" w:eastAsia="宋体" w:cs="Times New Roman"/>
          <w:snapToGrid w:val="0"/>
          <w:color w:val="auto"/>
          <w:highlight w:val="none"/>
          <w:lang w:val="en-US" w:eastAsia="zh-CN"/>
        </w:rPr>
        <w:t>运营期环境影响分析</w:t>
      </w:r>
      <w:r>
        <w:rPr>
          <w:color w:val="auto"/>
        </w:rPr>
        <w:tab/>
      </w:r>
      <w:r>
        <w:rPr>
          <w:color w:val="auto"/>
        </w:rPr>
        <w:fldChar w:fldCharType="begin"/>
      </w:r>
      <w:r>
        <w:rPr>
          <w:color w:val="auto"/>
        </w:rPr>
        <w:instrText xml:space="preserve"> PAGEREF _Toc7465 \h </w:instrText>
      </w:r>
      <w:r>
        <w:rPr>
          <w:color w:val="auto"/>
        </w:rPr>
        <w:fldChar w:fldCharType="separate"/>
      </w:r>
      <w:r>
        <w:rPr>
          <w:color w:val="auto"/>
        </w:rPr>
        <w:t>164</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_Toc25917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7 </w:t>
      </w:r>
      <w:r>
        <w:rPr>
          <w:rFonts w:hint="default" w:ascii="Times New Roman" w:hAnsi="Times New Roman" w:eastAsia="宋体" w:cs="Times New Roman"/>
          <w:b/>
          <w:bCs/>
          <w:color w:val="auto"/>
          <w:highlight w:val="none"/>
        </w:rPr>
        <w:t>环境风险评价</w:t>
      </w:r>
      <w:r>
        <w:rPr>
          <w:b/>
          <w:bCs/>
          <w:color w:val="auto"/>
        </w:rPr>
        <w:tab/>
      </w:r>
      <w:r>
        <w:rPr>
          <w:b/>
          <w:bCs/>
          <w:color w:val="auto"/>
        </w:rPr>
        <w:fldChar w:fldCharType="begin"/>
      </w:r>
      <w:r>
        <w:rPr>
          <w:b/>
          <w:bCs/>
          <w:color w:val="auto"/>
        </w:rPr>
        <w:instrText xml:space="preserve"> PAGEREF _Toc25917 \h </w:instrText>
      </w:r>
      <w:r>
        <w:rPr>
          <w:b/>
          <w:bCs/>
          <w:color w:val="auto"/>
        </w:rPr>
        <w:fldChar w:fldCharType="separate"/>
      </w:r>
      <w:r>
        <w:rPr>
          <w:b/>
          <w:bCs/>
          <w:color w:val="auto"/>
        </w:rPr>
        <w:t>216</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_Toc6359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7.1 </w:t>
      </w:r>
      <w:r>
        <w:rPr>
          <w:rFonts w:hint="default" w:ascii="Times New Roman" w:hAnsi="Times New Roman" w:eastAsia="宋体" w:cs="Times New Roman"/>
          <w:color w:val="auto"/>
          <w:highlight w:val="none"/>
        </w:rPr>
        <w:t>风险调查</w:t>
      </w:r>
      <w:r>
        <w:rPr>
          <w:color w:val="auto"/>
        </w:rPr>
        <w:tab/>
      </w:r>
      <w:r>
        <w:rPr>
          <w:color w:val="auto"/>
        </w:rPr>
        <w:fldChar w:fldCharType="begin"/>
      </w:r>
      <w:r>
        <w:rPr>
          <w:color w:val="auto"/>
        </w:rPr>
        <w:instrText xml:space="preserve"> PAGEREF _Toc6359 \h </w:instrText>
      </w:r>
      <w:r>
        <w:rPr>
          <w:color w:val="auto"/>
        </w:rPr>
        <w:fldChar w:fldCharType="separate"/>
      </w:r>
      <w:r>
        <w:rPr>
          <w:color w:val="auto"/>
        </w:rPr>
        <w:t>216</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_Toc1532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7.2 </w:t>
      </w:r>
      <w:r>
        <w:rPr>
          <w:rFonts w:hint="default" w:ascii="Times New Roman" w:hAnsi="Times New Roman" w:eastAsia="宋体" w:cs="Times New Roman"/>
          <w:color w:val="auto"/>
          <w:highlight w:val="none"/>
        </w:rPr>
        <w:t>风险潜势初判</w:t>
      </w:r>
      <w:r>
        <w:rPr>
          <w:color w:val="auto"/>
        </w:rPr>
        <w:tab/>
      </w:r>
      <w:r>
        <w:rPr>
          <w:color w:val="auto"/>
        </w:rPr>
        <w:fldChar w:fldCharType="begin"/>
      </w:r>
      <w:r>
        <w:rPr>
          <w:color w:val="auto"/>
        </w:rPr>
        <w:instrText xml:space="preserve"> PAGEREF _Toc1532 \h </w:instrText>
      </w:r>
      <w:r>
        <w:rPr>
          <w:color w:val="auto"/>
        </w:rPr>
        <w:fldChar w:fldCharType="separate"/>
      </w:r>
      <w:r>
        <w:rPr>
          <w:color w:val="auto"/>
        </w:rPr>
        <w:t>216</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_Toc25698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7.3 </w:t>
      </w:r>
      <w:r>
        <w:rPr>
          <w:rFonts w:hint="default" w:ascii="Times New Roman" w:hAnsi="Times New Roman" w:eastAsia="宋体" w:cs="Times New Roman"/>
          <w:color w:val="auto"/>
          <w:highlight w:val="none"/>
        </w:rPr>
        <w:t>风险评价等级</w:t>
      </w:r>
      <w:r>
        <w:rPr>
          <w:color w:val="auto"/>
        </w:rPr>
        <w:tab/>
      </w:r>
      <w:r>
        <w:rPr>
          <w:color w:val="auto"/>
        </w:rPr>
        <w:fldChar w:fldCharType="begin"/>
      </w:r>
      <w:r>
        <w:rPr>
          <w:color w:val="auto"/>
        </w:rPr>
        <w:instrText xml:space="preserve"> PAGEREF _Toc25698 \h </w:instrText>
      </w:r>
      <w:r>
        <w:rPr>
          <w:color w:val="auto"/>
        </w:rPr>
        <w:fldChar w:fldCharType="separate"/>
      </w:r>
      <w:r>
        <w:rPr>
          <w:color w:val="auto"/>
        </w:rPr>
        <w:t>216</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_Toc24226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7.4 </w:t>
      </w:r>
      <w:r>
        <w:rPr>
          <w:rFonts w:hint="default" w:ascii="Times New Roman" w:hAnsi="Times New Roman" w:eastAsia="宋体" w:cs="Times New Roman"/>
          <w:color w:val="auto"/>
          <w:highlight w:val="none"/>
        </w:rPr>
        <w:t>环境敏感目标概况</w:t>
      </w:r>
      <w:r>
        <w:rPr>
          <w:color w:val="auto"/>
        </w:rPr>
        <w:tab/>
      </w:r>
      <w:r>
        <w:rPr>
          <w:color w:val="auto"/>
        </w:rPr>
        <w:fldChar w:fldCharType="begin"/>
      </w:r>
      <w:r>
        <w:rPr>
          <w:color w:val="auto"/>
        </w:rPr>
        <w:instrText xml:space="preserve"> PAGEREF _Toc24226 \h </w:instrText>
      </w:r>
      <w:r>
        <w:rPr>
          <w:color w:val="auto"/>
        </w:rPr>
        <w:fldChar w:fldCharType="separate"/>
      </w:r>
      <w:r>
        <w:rPr>
          <w:color w:val="auto"/>
        </w:rPr>
        <w:t>217</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_Toc23231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7.5 </w:t>
      </w:r>
      <w:r>
        <w:rPr>
          <w:rFonts w:hint="default" w:ascii="Times New Roman" w:hAnsi="Times New Roman" w:eastAsia="宋体" w:cs="Times New Roman"/>
          <w:color w:val="auto"/>
          <w:highlight w:val="none"/>
        </w:rPr>
        <w:t>环境风险识别</w:t>
      </w:r>
      <w:r>
        <w:rPr>
          <w:color w:val="auto"/>
        </w:rPr>
        <w:tab/>
      </w:r>
      <w:r>
        <w:rPr>
          <w:color w:val="auto"/>
        </w:rPr>
        <w:fldChar w:fldCharType="begin"/>
      </w:r>
      <w:r>
        <w:rPr>
          <w:color w:val="auto"/>
        </w:rPr>
        <w:instrText xml:space="preserve"> PAGEREF _Toc23231 \h </w:instrText>
      </w:r>
      <w:r>
        <w:rPr>
          <w:color w:val="auto"/>
        </w:rPr>
        <w:fldChar w:fldCharType="separate"/>
      </w:r>
      <w:r>
        <w:rPr>
          <w:color w:val="auto"/>
        </w:rPr>
        <w:t>217</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_Toc25665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7.6 </w:t>
      </w:r>
      <w:r>
        <w:rPr>
          <w:rFonts w:hint="default" w:ascii="Times New Roman" w:hAnsi="Times New Roman" w:eastAsia="宋体" w:cs="Times New Roman"/>
          <w:color w:val="auto"/>
          <w:highlight w:val="none"/>
        </w:rPr>
        <w:t>环境风险分析</w:t>
      </w:r>
      <w:r>
        <w:rPr>
          <w:color w:val="auto"/>
        </w:rPr>
        <w:tab/>
      </w:r>
      <w:r>
        <w:rPr>
          <w:color w:val="auto"/>
        </w:rPr>
        <w:fldChar w:fldCharType="begin"/>
      </w:r>
      <w:r>
        <w:rPr>
          <w:color w:val="auto"/>
        </w:rPr>
        <w:instrText xml:space="preserve"> PAGEREF _Toc25665 \h </w:instrText>
      </w:r>
      <w:r>
        <w:rPr>
          <w:color w:val="auto"/>
        </w:rPr>
        <w:fldChar w:fldCharType="separate"/>
      </w:r>
      <w:r>
        <w:rPr>
          <w:color w:val="auto"/>
        </w:rPr>
        <w:t>220</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_Toc21213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7.7 </w:t>
      </w:r>
      <w:r>
        <w:rPr>
          <w:rFonts w:hint="default" w:ascii="Times New Roman" w:hAnsi="Times New Roman" w:eastAsia="宋体" w:cs="Times New Roman"/>
          <w:color w:val="auto"/>
          <w:highlight w:val="none"/>
        </w:rPr>
        <w:t>环境风险防治措施及应急要求</w:t>
      </w:r>
      <w:r>
        <w:rPr>
          <w:color w:val="auto"/>
        </w:rPr>
        <w:tab/>
      </w:r>
      <w:r>
        <w:rPr>
          <w:color w:val="auto"/>
        </w:rPr>
        <w:fldChar w:fldCharType="begin"/>
      </w:r>
      <w:r>
        <w:rPr>
          <w:color w:val="auto"/>
        </w:rPr>
        <w:instrText xml:space="preserve"> PAGEREF _Toc21213 \h </w:instrText>
      </w:r>
      <w:r>
        <w:rPr>
          <w:color w:val="auto"/>
        </w:rPr>
        <w:fldChar w:fldCharType="separate"/>
      </w:r>
      <w:r>
        <w:rPr>
          <w:color w:val="auto"/>
        </w:rPr>
        <w:t>220</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_Toc6030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7.8 </w:t>
      </w:r>
      <w:r>
        <w:rPr>
          <w:rFonts w:hint="default" w:ascii="Times New Roman" w:hAnsi="Times New Roman" w:eastAsia="宋体" w:cs="Times New Roman"/>
          <w:color w:val="auto"/>
          <w:highlight w:val="none"/>
        </w:rPr>
        <w:t>结论</w:t>
      </w:r>
      <w:r>
        <w:rPr>
          <w:color w:val="auto"/>
        </w:rPr>
        <w:tab/>
      </w:r>
      <w:r>
        <w:rPr>
          <w:color w:val="auto"/>
        </w:rPr>
        <w:fldChar w:fldCharType="begin"/>
      </w:r>
      <w:r>
        <w:rPr>
          <w:color w:val="auto"/>
        </w:rPr>
        <w:instrText xml:space="preserve"> PAGEREF _Toc6030 \h </w:instrText>
      </w:r>
      <w:r>
        <w:rPr>
          <w:color w:val="auto"/>
        </w:rPr>
        <w:fldChar w:fldCharType="separate"/>
      </w:r>
      <w:r>
        <w:rPr>
          <w:color w:val="auto"/>
        </w:rPr>
        <w:t>222</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_Toc16924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8 </w:t>
      </w:r>
      <w:r>
        <w:rPr>
          <w:rFonts w:hint="default" w:ascii="Times New Roman" w:hAnsi="Times New Roman" w:eastAsia="宋体" w:cs="Times New Roman"/>
          <w:b/>
          <w:bCs/>
          <w:color w:val="auto"/>
          <w:highlight w:val="none"/>
        </w:rPr>
        <w:t>污染防治措施及可行性分析</w:t>
      </w:r>
      <w:r>
        <w:rPr>
          <w:b/>
          <w:bCs/>
          <w:color w:val="auto"/>
        </w:rPr>
        <w:tab/>
      </w:r>
      <w:r>
        <w:rPr>
          <w:b/>
          <w:bCs/>
          <w:color w:val="auto"/>
        </w:rPr>
        <w:fldChar w:fldCharType="begin"/>
      </w:r>
      <w:r>
        <w:rPr>
          <w:b/>
          <w:bCs/>
          <w:color w:val="auto"/>
        </w:rPr>
        <w:instrText xml:space="preserve"> PAGEREF _Toc16924 \h </w:instrText>
      </w:r>
      <w:r>
        <w:rPr>
          <w:b/>
          <w:bCs/>
          <w:color w:val="auto"/>
        </w:rPr>
        <w:fldChar w:fldCharType="separate"/>
      </w:r>
      <w:r>
        <w:rPr>
          <w:b/>
          <w:bCs/>
          <w:color w:val="auto"/>
        </w:rPr>
        <w:t>224</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_Toc6653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8.1 </w:t>
      </w:r>
      <w:r>
        <w:rPr>
          <w:rFonts w:hint="default"/>
          <w:color w:val="auto"/>
          <w:highlight w:val="none"/>
          <w:lang w:eastAsia="zh-CN"/>
        </w:rPr>
        <w:t>基建期</w:t>
      </w:r>
      <w:r>
        <w:rPr>
          <w:rFonts w:hint="default"/>
          <w:color w:val="auto"/>
          <w:highlight w:val="none"/>
        </w:rPr>
        <w:t>污染防治措施及可行性分析</w:t>
      </w:r>
      <w:r>
        <w:rPr>
          <w:color w:val="auto"/>
        </w:rPr>
        <w:tab/>
      </w:r>
      <w:r>
        <w:rPr>
          <w:color w:val="auto"/>
        </w:rPr>
        <w:fldChar w:fldCharType="begin"/>
      </w:r>
      <w:r>
        <w:rPr>
          <w:color w:val="auto"/>
        </w:rPr>
        <w:instrText xml:space="preserve"> PAGEREF _Toc6653 \h </w:instrText>
      </w:r>
      <w:r>
        <w:rPr>
          <w:color w:val="auto"/>
        </w:rPr>
        <w:fldChar w:fldCharType="separate"/>
      </w:r>
      <w:r>
        <w:rPr>
          <w:color w:val="auto"/>
        </w:rPr>
        <w:t>224</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_Toc1898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8.2 </w:t>
      </w:r>
      <w:r>
        <w:rPr>
          <w:rFonts w:hint="default"/>
          <w:color w:val="auto"/>
          <w:highlight w:val="none"/>
        </w:rPr>
        <w:t>运营期污染防治措施及可行性分析</w:t>
      </w:r>
      <w:r>
        <w:rPr>
          <w:color w:val="auto"/>
        </w:rPr>
        <w:tab/>
      </w:r>
      <w:r>
        <w:rPr>
          <w:color w:val="auto"/>
        </w:rPr>
        <w:fldChar w:fldCharType="begin"/>
      </w:r>
      <w:r>
        <w:rPr>
          <w:color w:val="auto"/>
        </w:rPr>
        <w:instrText xml:space="preserve"> PAGEREF _Toc1898 \h </w:instrText>
      </w:r>
      <w:r>
        <w:rPr>
          <w:color w:val="auto"/>
        </w:rPr>
        <w:fldChar w:fldCharType="separate"/>
      </w:r>
      <w:r>
        <w:rPr>
          <w:color w:val="auto"/>
        </w:rPr>
        <w:t>227</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_Toc11496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9 </w:t>
      </w:r>
      <w:r>
        <w:rPr>
          <w:rFonts w:hint="default"/>
          <w:b/>
          <w:bCs/>
          <w:color w:val="auto"/>
          <w:highlight w:val="none"/>
        </w:rPr>
        <w:t>环境管理与监测计划</w:t>
      </w:r>
      <w:r>
        <w:rPr>
          <w:b/>
          <w:bCs/>
          <w:color w:val="auto"/>
        </w:rPr>
        <w:tab/>
      </w:r>
      <w:r>
        <w:rPr>
          <w:b/>
          <w:bCs/>
          <w:color w:val="auto"/>
        </w:rPr>
        <w:fldChar w:fldCharType="begin"/>
      </w:r>
      <w:r>
        <w:rPr>
          <w:b/>
          <w:bCs/>
          <w:color w:val="auto"/>
        </w:rPr>
        <w:instrText xml:space="preserve"> PAGEREF _Toc11496 \h </w:instrText>
      </w:r>
      <w:r>
        <w:rPr>
          <w:b/>
          <w:bCs/>
          <w:color w:val="auto"/>
        </w:rPr>
        <w:fldChar w:fldCharType="separate"/>
      </w:r>
      <w:r>
        <w:rPr>
          <w:b/>
          <w:bCs/>
          <w:color w:val="auto"/>
        </w:rPr>
        <w:t>239</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_Toc19535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9.1 </w:t>
      </w:r>
      <w:r>
        <w:rPr>
          <w:rFonts w:hint="default"/>
          <w:color w:val="auto"/>
          <w:highlight w:val="none"/>
        </w:rPr>
        <w:t>环境管理计划</w:t>
      </w:r>
      <w:r>
        <w:rPr>
          <w:color w:val="auto"/>
        </w:rPr>
        <w:tab/>
      </w:r>
      <w:r>
        <w:rPr>
          <w:color w:val="auto"/>
        </w:rPr>
        <w:fldChar w:fldCharType="begin"/>
      </w:r>
      <w:r>
        <w:rPr>
          <w:color w:val="auto"/>
        </w:rPr>
        <w:instrText xml:space="preserve"> PAGEREF _Toc19535 \h </w:instrText>
      </w:r>
      <w:r>
        <w:rPr>
          <w:color w:val="auto"/>
        </w:rPr>
        <w:fldChar w:fldCharType="separate"/>
      </w:r>
      <w:r>
        <w:rPr>
          <w:color w:val="auto"/>
        </w:rPr>
        <w:t>239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_Toc29411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9.2 </w:t>
      </w:r>
      <w:r>
        <w:rPr>
          <w:rFonts w:hint="default"/>
          <w:color w:val="auto"/>
          <w:highlight w:val="none"/>
        </w:rPr>
        <w:t>环境监测计划</w:t>
      </w:r>
      <w:r>
        <w:rPr>
          <w:color w:val="auto"/>
        </w:rPr>
        <w:tab/>
      </w:r>
      <w:r>
        <w:rPr>
          <w:color w:val="auto"/>
        </w:rPr>
        <w:fldChar w:fldCharType="begin"/>
      </w:r>
      <w:r>
        <w:rPr>
          <w:color w:val="auto"/>
        </w:rPr>
        <w:instrText xml:space="preserve"> PAGEREF _Toc29411 \h </w:instrText>
      </w:r>
      <w:r>
        <w:rPr>
          <w:color w:val="auto"/>
        </w:rPr>
        <w:fldChar w:fldCharType="separate"/>
      </w:r>
      <w:r>
        <w:rPr>
          <w:color w:val="auto"/>
        </w:rPr>
        <w:t>245</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_Toc4988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9.3 </w:t>
      </w:r>
      <w:r>
        <w:rPr>
          <w:rFonts w:hint="default"/>
          <w:color w:val="auto"/>
          <w:highlight w:val="none"/>
        </w:rPr>
        <w:t>排污口规范化</w:t>
      </w:r>
      <w:r>
        <w:rPr>
          <w:color w:val="auto"/>
        </w:rPr>
        <w:tab/>
      </w:r>
      <w:r>
        <w:rPr>
          <w:color w:val="auto"/>
        </w:rPr>
        <w:fldChar w:fldCharType="begin"/>
      </w:r>
      <w:r>
        <w:rPr>
          <w:color w:val="auto"/>
        </w:rPr>
        <w:instrText xml:space="preserve"> PAGEREF _Toc4988 \h </w:instrText>
      </w:r>
      <w:r>
        <w:rPr>
          <w:color w:val="auto"/>
        </w:rPr>
        <w:fldChar w:fldCharType="separate"/>
      </w:r>
      <w:r>
        <w:rPr>
          <w:color w:val="auto"/>
        </w:rPr>
        <w:t>245</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_Toc19619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9.4 </w:t>
      </w:r>
      <w:r>
        <w:rPr>
          <w:rFonts w:hint="default"/>
          <w:color w:val="auto"/>
          <w:highlight w:val="none"/>
        </w:rPr>
        <w:t>建设项目环保验收</w:t>
      </w:r>
      <w:r>
        <w:rPr>
          <w:rFonts w:hint="eastAsia"/>
          <w:color w:val="auto"/>
          <w:highlight w:val="none"/>
          <w:lang w:eastAsia="zh-CN"/>
        </w:rPr>
        <w:t>“</w:t>
      </w:r>
      <w:r>
        <w:rPr>
          <w:rFonts w:hint="default"/>
          <w:color w:val="auto"/>
          <w:highlight w:val="none"/>
        </w:rPr>
        <w:t>三同时</w:t>
      </w:r>
      <w:r>
        <w:rPr>
          <w:rFonts w:hint="eastAsia"/>
          <w:color w:val="auto"/>
          <w:highlight w:val="none"/>
          <w:lang w:eastAsia="zh-CN"/>
        </w:rPr>
        <w:t>”</w:t>
      </w:r>
      <w:r>
        <w:rPr>
          <w:rFonts w:hint="default"/>
          <w:color w:val="auto"/>
          <w:highlight w:val="none"/>
        </w:rPr>
        <w:t>验收</w:t>
      </w:r>
      <w:r>
        <w:rPr>
          <w:color w:val="auto"/>
        </w:rPr>
        <w:tab/>
      </w:r>
      <w:r>
        <w:rPr>
          <w:color w:val="auto"/>
        </w:rPr>
        <w:fldChar w:fldCharType="begin"/>
      </w:r>
      <w:r>
        <w:rPr>
          <w:color w:val="auto"/>
        </w:rPr>
        <w:instrText xml:space="preserve"> PAGEREF _Toc19619 \h </w:instrText>
      </w:r>
      <w:r>
        <w:rPr>
          <w:color w:val="auto"/>
        </w:rPr>
        <w:fldChar w:fldCharType="separate"/>
      </w:r>
      <w:r>
        <w:rPr>
          <w:color w:val="auto"/>
        </w:rPr>
        <w:t>247</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_Toc2190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9.5 </w:t>
      </w:r>
      <w:r>
        <w:rPr>
          <w:rFonts w:hint="default"/>
          <w:color w:val="auto"/>
          <w:highlight w:val="none"/>
        </w:rPr>
        <w:t>污染物总量控制</w:t>
      </w:r>
      <w:r>
        <w:rPr>
          <w:color w:val="auto"/>
        </w:rPr>
        <w:tab/>
      </w:r>
      <w:r>
        <w:rPr>
          <w:color w:val="auto"/>
        </w:rPr>
        <w:fldChar w:fldCharType="begin"/>
      </w:r>
      <w:r>
        <w:rPr>
          <w:color w:val="auto"/>
        </w:rPr>
        <w:instrText xml:space="preserve"> PAGEREF _Toc2190 \h </w:instrText>
      </w:r>
      <w:r>
        <w:rPr>
          <w:color w:val="auto"/>
        </w:rPr>
        <w:fldChar w:fldCharType="separate"/>
      </w:r>
      <w:r>
        <w:rPr>
          <w:color w:val="auto"/>
        </w:rPr>
        <w:t>250</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_Toc13855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10 </w:t>
      </w:r>
      <w:r>
        <w:rPr>
          <w:rFonts w:hint="default"/>
          <w:b/>
          <w:bCs/>
          <w:color w:val="auto"/>
          <w:highlight w:val="none"/>
        </w:rPr>
        <w:t>政策规划相符性分析</w:t>
      </w:r>
      <w:r>
        <w:rPr>
          <w:b/>
          <w:bCs/>
          <w:color w:val="auto"/>
        </w:rPr>
        <w:tab/>
      </w:r>
      <w:r>
        <w:rPr>
          <w:b/>
          <w:bCs/>
          <w:color w:val="auto"/>
        </w:rPr>
        <w:fldChar w:fldCharType="begin"/>
      </w:r>
      <w:r>
        <w:rPr>
          <w:b/>
          <w:bCs/>
          <w:color w:val="auto"/>
        </w:rPr>
        <w:instrText xml:space="preserve"> PAGEREF _Toc13855 \h </w:instrText>
      </w:r>
      <w:r>
        <w:rPr>
          <w:b/>
          <w:bCs/>
          <w:color w:val="auto"/>
        </w:rPr>
        <w:fldChar w:fldCharType="separate"/>
      </w:r>
      <w:r>
        <w:rPr>
          <w:b/>
          <w:bCs/>
          <w:color w:val="auto"/>
        </w:rPr>
        <w:t>251</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_Toc802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10.1 </w:t>
      </w:r>
      <w:r>
        <w:rPr>
          <w:rFonts w:hint="default"/>
          <w:color w:val="auto"/>
          <w:highlight w:val="none"/>
        </w:rPr>
        <w:t>产业政策符合性分析</w:t>
      </w:r>
      <w:r>
        <w:rPr>
          <w:color w:val="auto"/>
        </w:rPr>
        <w:tab/>
      </w:r>
      <w:r>
        <w:rPr>
          <w:color w:val="auto"/>
        </w:rPr>
        <w:fldChar w:fldCharType="begin"/>
      </w:r>
      <w:r>
        <w:rPr>
          <w:color w:val="auto"/>
        </w:rPr>
        <w:instrText xml:space="preserve"> PAGEREF _Toc802 \h </w:instrText>
      </w:r>
      <w:r>
        <w:rPr>
          <w:color w:val="auto"/>
        </w:rPr>
        <w:fldChar w:fldCharType="separate"/>
      </w:r>
      <w:r>
        <w:rPr>
          <w:color w:val="auto"/>
        </w:rPr>
        <w:t>251</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_Toc28130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10.2 </w:t>
      </w:r>
      <w:r>
        <w:rPr>
          <w:rFonts w:hint="default"/>
          <w:color w:val="auto"/>
          <w:lang w:val="en-US" w:eastAsia="zh-CN"/>
        </w:rPr>
        <w:t>与相关规划</w:t>
      </w:r>
      <w:r>
        <w:rPr>
          <w:rFonts w:hint="default"/>
          <w:color w:val="auto"/>
        </w:rPr>
        <w:t>符合性分析</w:t>
      </w:r>
      <w:r>
        <w:rPr>
          <w:color w:val="auto"/>
        </w:rPr>
        <w:tab/>
      </w:r>
      <w:r>
        <w:rPr>
          <w:color w:val="auto"/>
        </w:rPr>
        <w:fldChar w:fldCharType="begin"/>
      </w:r>
      <w:r>
        <w:rPr>
          <w:color w:val="auto"/>
        </w:rPr>
        <w:instrText xml:space="preserve"> PAGEREF _Toc28130 \h </w:instrText>
      </w:r>
      <w:r>
        <w:rPr>
          <w:color w:val="auto"/>
        </w:rPr>
        <w:fldChar w:fldCharType="separate"/>
      </w:r>
      <w:r>
        <w:rPr>
          <w:color w:val="auto"/>
        </w:rPr>
        <w:t>255</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_Toc32635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10.3 </w:t>
      </w:r>
      <w:r>
        <w:rPr>
          <w:rFonts w:hint="default"/>
          <w:color w:val="auto"/>
        </w:rPr>
        <w:t>与</w:t>
      </w:r>
      <w:r>
        <w:rPr>
          <w:rFonts w:hint="eastAsia"/>
          <w:color w:val="auto"/>
          <w:lang w:eastAsia="zh-CN"/>
        </w:rPr>
        <w:t>“</w:t>
      </w:r>
      <w:r>
        <w:rPr>
          <w:rFonts w:hint="default"/>
          <w:color w:val="auto"/>
        </w:rPr>
        <w:t>三线一单</w:t>
      </w:r>
      <w:r>
        <w:rPr>
          <w:rFonts w:hint="eastAsia"/>
          <w:color w:val="auto"/>
          <w:lang w:eastAsia="zh-CN"/>
        </w:rPr>
        <w:t>”</w:t>
      </w:r>
      <w:r>
        <w:rPr>
          <w:rFonts w:hint="default"/>
          <w:color w:val="auto"/>
        </w:rPr>
        <w:t>符合性分析</w:t>
      </w:r>
      <w:r>
        <w:rPr>
          <w:color w:val="auto"/>
        </w:rPr>
        <w:tab/>
      </w:r>
      <w:r>
        <w:rPr>
          <w:color w:val="auto"/>
        </w:rPr>
        <w:fldChar w:fldCharType="begin"/>
      </w:r>
      <w:r>
        <w:rPr>
          <w:color w:val="auto"/>
        </w:rPr>
        <w:instrText xml:space="preserve"> PAGEREF _Toc32635 \h </w:instrText>
      </w:r>
      <w:r>
        <w:rPr>
          <w:color w:val="auto"/>
        </w:rPr>
        <w:fldChar w:fldCharType="separate"/>
      </w:r>
      <w:r>
        <w:rPr>
          <w:color w:val="auto"/>
        </w:rPr>
        <w:t>261</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_Toc16279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10.4 </w:t>
      </w:r>
      <w:r>
        <w:rPr>
          <w:rFonts w:hint="default"/>
          <w:color w:val="auto"/>
        </w:rPr>
        <w:t>环境管理政策符合性分析</w:t>
      </w:r>
      <w:r>
        <w:rPr>
          <w:color w:val="auto"/>
        </w:rPr>
        <w:tab/>
      </w:r>
      <w:r>
        <w:rPr>
          <w:color w:val="auto"/>
        </w:rPr>
        <w:fldChar w:fldCharType="begin"/>
      </w:r>
      <w:r>
        <w:rPr>
          <w:color w:val="auto"/>
        </w:rPr>
        <w:instrText xml:space="preserve"> PAGEREF _Toc16279 \h </w:instrText>
      </w:r>
      <w:r>
        <w:rPr>
          <w:color w:val="auto"/>
        </w:rPr>
        <w:fldChar w:fldCharType="separate"/>
      </w:r>
      <w:r>
        <w:rPr>
          <w:color w:val="auto"/>
        </w:rPr>
        <w:t>264</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_Toc8505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10.5 </w:t>
      </w:r>
      <w:r>
        <w:rPr>
          <w:rFonts w:hint="default" w:ascii="Times New Roman" w:hAnsi="Times New Roman" w:eastAsia="宋体" w:cs="Times New Roman"/>
          <w:color w:val="auto"/>
          <w:highlight w:val="none"/>
          <w:lang w:val="en-US" w:eastAsia="zh-CN"/>
        </w:rPr>
        <w:t>绿色矿山</w:t>
      </w:r>
      <w:r>
        <w:rPr>
          <w:rFonts w:hint="default" w:ascii="Times New Roman" w:hAnsi="Times New Roman" w:eastAsia="宋体" w:cs="Times New Roman"/>
          <w:color w:val="auto"/>
          <w:highlight w:val="none"/>
        </w:rPr>
        <w:t>政策符合性分析</w:t>
      </w:r>
      <w:r>
        <w:rPr>
          <w:color w:val="auto"/>
        </w:rPr>
        <w:tab/>
      </w:r>
      <w:r>
        <w:rPr>
          <w:color w:val="auto"/>
        </w:rPr>
        <w:fldChar w:fldCharType="begin"/>
      </w:r>
      <w:r>
        <w:rPr>
          <w:color w:val="auto"/>
        </w:rPr>
        <w:instrText xml:space="preserve"> PAGEREF _Toc8505 \h </w:instrText>
      </w:r>
      <w:r>
        <w:rPr>
          <w:color w:val="auto"/>
        </w:rPr>
        <w:fldChar w:fldCharType="separate"/>
      </w:r>
      <w:r>
        <w:rPr>
          <w:color w:val="auto"/>
        </w:rPr>
        <w:t>265</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_Toc21599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11 </w:t>
      </w:r>
      <w:r>
        <w:rPr>
          <w:rFonts w:hint="default"/>
          <w:b/>
          <w:bCs/>
          <w:color w:val="auto"/>
          <w:highlight w:val="none"/>
        </w:rPr>
        <w:t>环境影响经济损益分析</w:t>
      </w:r>
      <w:r>
        <w:rPr>
          <w:b/>
          <w:bCs/>
          <w:color w:val="auto"/>
        </w:rPr>
        <w:tab/>
      </w:r>
      <w:r>
        <w:rPr>
          <w:b/>
          <w:bCs/>
          <w:color w:val="auto"/>
        </w:rPr>
        <w:fldChar w:fldCharType="begin"/>
      </w:r>
      <w:r>
        <w:rPr>
          <w:b/>
          <w:bCs/>
          <w:color w:val="auto"/>
        </w:rPr>
        <w:instrText xml:space="preserve"> PAGEREF _Toc21599 \h </w:instrText>
      </w:r>
      <w:r>
        <w:rPr>
          <w:b/>
          <w:bCs/>
          <w:color w:val="auto"/>
        </w:rPr>
        <w:fldChar w:fldCharType="separate"/>
      </w:r>
      <w:r>
        <w:rPr>
          <w:b/>
          <w:bCs/>
          <w:color w:val="auto"/>
        </w:rPr>
        <w:t>269</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_Toc14587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11.1 </w:t>
      </w:r>
      <w:r>
        <w:rPr>
          <w:rFonts w:hint="default"/>
          <w:color w:val="auto"/>
          <w:highlight w:val="none"/>
        </w:rPr>
        <w:t>环保投资</w:t>
      </w:r>
      <w:r>
        <w:rPr>
          <w:color w:val="auto"/>
        </w:rPr>
        <w:tab/>
      </w:r>
      <w:r>
        <w:rPr>
          <w:color w:val="auto"/>
        </w:rPr>
        <w:fldChar w:fldCharType="begin"/>
      </w:r>
      <w:r>
        <w:rPr>
          <w:color w:val="auto"/>
        </w:rPr>
        <w:instrText xml:space="preserve"> PAGEREF _Toc14587 \h </w:instrText>
      </w:r>
      <w:r>
        <w:rPr>
          <w:color w:val="auto"/>
        </w:rPr>
        <w:fldChar w:fldCharType="separate"/>
      </w:r>
      <w:r>
        <w:rPr>
          <w:color w:val="auto"/>
        </w:rPr>
        <w:t>269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_Toc15985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11.2 </w:t>
      </w:r>
      <w:r>
        <w:rPr>
          <w:rFonts w:hint="default"/>
          <w:color w:val="auto"/>
          <w:highlight w:val="none"/>
        </w:rPr>
        <w:t>社会经济效益分析</w:t>
      </w:r>
      <w:r>
        <w:rPr>
          <w:color w:val="auto"/>
        </w:rPr>
        <w:tab/>
      </w:r>
      <w:r>
        <w:rPr>
          <w:color w:val="auto"/>
        </w:rPr>
        <w:fldChar w:fldCharType="begin"/>
      </w:r>
      <w:r>
        <w:rPr>
          <w:color w:val="auto"/>
        </w:rPr>
        <w:instrText xml:space="preserve"> PAGEREF _Toc15985 \h </w:instrText>
      </w:r>
      <w:r>
        <w:rPr>
          <w:color w:val="auto"/>
        </w:rPr>
        <w:fldChar w:fldCharType="separate"/>
      </w:r>
      <w:r>
        <w:rPr>
          <w:color w:val="auto"/>
        </w:rPr>
        <w:t>270</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_Toc19425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11.3 </w:t>
      </w:r>
      <w:r>
        <w:rPr>
          <w:rFonts w:hint="default"/>
          <w:color w:val="auto"/>
          <w:highlight w:val="none"/>
        </w:rPr>
        <w:t>环境经济损益分析</w:t>
      </w:r>
      <w:r>
        <w:rPr>
          <w:color w:val="auto"/>
        </w:rPr>
        <w:tab/>
      </w:r>
      <w:r>
        <w:rPr>
          <w:color w:val="auto"/>
        </w:rPr>
        <w:fldChar w:fldCharType="begin"/>
      </w:r>
      <w:r>
        <w:rPr>
          <w:color w:val="auto"/>
        </w:rPr>
        <w:instrText xml:space="preserve"> PAGEREF _Toc19425 \h </w:instrText>
      </w:r>
      <w:r>
        <w:rPr>
          <w:color w:val="auto"/>
        </w:rPr>
        <w:fldChar w:fldCharType="separate"/>
      </w:r>
      <w:r>
        <w:rPr>
          <w:color w:val="auto"/>
        </w:rPr>
        <w:t>271</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1"/>
        <w:tabs>
          <w:tab w:val="right" w:leader="dot" w:pos="9070"/>
        </w:tabs>
        <w:rPr>
          <w:b/>
          <w:bCs/>
          <w:color w:val="auto"/>
        </w:rPr>
      </w:pPr>
      <w:r>
        <w:rPr>
          <w:rFonts w:hint="default" w:ascii="Times New Roman" w:hAnsi="Times New Roman" w:eastAsia="宋体" w:cs="Times New Roman"/>
          <w:b/>
          <w:bCs/>
          <w:color w:val="auto"/>
          <w:szCs w:val="36"/>
          <w:highlight w:val="none"/>
        </w:rPr>
        <w:fldChar w:fldCharType="begin"/>
      </w:r>
      <w:r>
        <w:rPr>
          <w:rFonts w:hint="default" w:ascii="Times New Roman" w:hAnsi="Times New Roman" w:eastAsia="宋体" w:cs="Times New Roman"/>
          <w:b/>
          <w:bCs/>
          <w:color w:val="auto"/>
          <w:szCs w:val="36"/>
          <w:highlight w:val="none"/>
        </w:rPr>
        <w:instrText xml:space="preserve"> HYPERLINK \l _Toc25357 </w:instrText>
      </w:r>
      <w:r>
        <w:rPr>
          <w:rFonts w:hint="default" w:ascii="Times New Roman" w:hAnsi="Times New Roman" w:eastAsia="宋体" w:cs="Times New Roman"/>
          <w:b/>
          <w:bCs/>
          <w:color w:val="auto"/>
          <w:szCs w:val="36"/>
          <w:highlight w:val="none"/>
        </w:rPr>
        <w:fldChar w:fldCharType="separate"/>
      </w:r>
      <w:r>
        <w:rPr>
          <w:rFonts w:hint="default" w:ascii="Times New Roman" w:hAnsi="Times New Roman" w:eastAsia="宋体" w:cs="宋体"/>
          <w:b/>
          <w:bCs/>
          <w:color w:val="auto"/>
        </w:rPr>
        <w:t xml:space="preserve">12 </w:t>
      </w:r>
      <w:r>
        <w:rPr>
          <w:rFonts w:hint="default"/>
          <w:b/>
          <w:bCs/>
          <w:color w:val="auto"/>
          <w:highlight w:val="none"/>
        </w:rPr>
        <w:t>结论</w:t>
      </w:r>
      <w:r>
        <w:rPr>
          <w:b/>
          <w:bCs/>
          <w:color w:val="auto"/>
        </w:rPr>
        <w:tab/>
      </w:r>
      <w:r>
        <w:rPr>
          <w:b/>
          <w:bCs/>
          <w:color w:val="auto"/>
        </w:rPr>
        <w:fldChar w:fldCharType="begin"/>
      </w:r>
      <w:r>
        <w:rPr>
          <w:b/>
          <w:bCs/>
          <w:color w:val="auto"/>
        </w:rPr>
        <w:instrText xml:space="preserve"> PAGEREF _Toc25357 \h </w:instrText>
      </w:r>
      <w:r>
        <w:rPr>
          <w:b/>
          <w:bCs/>
          <w:color w:val="auto"/>
        </w:rPr>
        <w:fldChar w:fldCharType="separate"/>
      </w:r>
      <w:r>
        <w:rPr>
          <w:b/>
          <w:bCs/>
          <w:color w:val="auto"/>
        </w:rPr>
        <w:t>273</w:t>
      </w:r>
      <w:r>
        <w:rPr>
          <w:b/>
          <w:bCs/>
          <w:color w:val="auto"/>
        </w:rPr>
        <w:fldChar w:fldCharType="end"/>
      </w:r>
      <w:r>
        <w:rPr>
          <w:rFonts w:hint="default" w:ascii="Times New Roman" w:hAnsi="Times New Roman" w:eastAsia="宋体" w:cs="Times New Roman"/>
          <w:b/>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_Toc21573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12.1 </w:t>
      </w:r>
      <w:r>
        <w:rPr>
          <w:rFonts w:hint="default"/>
          <w:color w:val="auto"/>
          <w:highlight w:val="none"/>
        </w:rPr>
        <w:t>项目概况</w:t>
      </w:r>
      <w:r>
        <w:rPr>
          <w:color w:val="auto"/>
        </w:rPr>
        <w:tab/>
      </w:r>
      <w:r>
        <w:rPr>
          <w:color w:val="auto"/>
        </w:rPr>
        <w:fldChar w:fldCharType="begin"/>
      </w:r>
      <w:r>
        <w:rPr>
          <w:color w:val="auto"/>
        </w:rPr>
        <w:instrText xml:space="preserve"> PAGEREF _Toc21573 \h </w:instrText>
      </w:r>
      <w:r>
        <w:rPr>
          <w:color w:val="auto"/>
        </w:rPr>
        <w:fldChar w:fldCharType="separate"/>
      </w:r>
      <w:r>
        <w:rPr>
          <w:color w:val="auto"/>
        </w:rPr>
        <w:t>273</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_Toc15573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12.2 </w:t>
      </w:r>
      <w:r>
        <w:rPr>
          <w:rFonts w:hint="default"/>
          <w:color w:val="auto"/>
          <w:highlight w:val="none"/>
          <w:lang w:val="en-US" w:eastAsia="zh-CN"/>
        </w:rPr>
        <w:t>环境质量现状评价结论</w:t>
      </w:r>
      <w:r>
        <w:rPr>
          <w:color w:val="auto"/>
        </w:rPr>
        <w:tab/>
      </w:r>
      <w:r>
        <w:rPr>
          <w:color w:val="auto"/>
        </w:rPr>
        <w:fldChar w:fldCharType="begin"/>
      </w:r>
      <w:r>
        <w:rPr>
          <w:color w:val="auto"/>
        </w:rPr>
        <w:instrText xml:space="preserve"> PAGEREF _Toc15573 \h </w:instrText>
      </w:r>
      <w:r>
        <w:rPr>
          <w:color w:val="auto"/>
        </w:rPr>
        <w:fldChar w:fldCharType="separate"/>
      </w:r>
      <w:r>
        <w:rPr>
          <w:color w:val="auto"/>
        </w:rPr>
        <w:t>273</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_Toc27949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12.3 </w:t>
      </w:r>
      <w:r>
        <w:rPr>
          <w:rFonts w:hint="eastAsia"/>
          <w:color w:val="auto"/>
        </w:rPr>
        <w:t>环境影响评价</w:t>
      </w:r>
      <w:r>
        <w:rPr>
          <w:color w:val="auto"/>
        </w:rPr>
        <w:tab/>
      </w:r>
      <w:r>
        <w:rPr>
          <w:color w:val="auto"/>
        </w:rPr>
        <w:fldChar w:fldCharType="begin"/>
      </w:r>
      <w:r>
        <w:rPr>
          <w:color w:val="auto"/>
        </w:rPr>
        <w:instrText xml:space="preserve"> PAGEREF _Toc27949 \h </w:instrText>
      </w:r>
      <w:r>
        <w:rPr>
          <w:color w:val="auto"/>
        </w:rPr>
        <w:fldChar w:fldCharType="separate"/>
      </w:r>
      <w:r>
        <w:rPr>
          <w:color w:val="auto"/>
        </w:rPr>
        <w:t>274</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_Toc508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12.4 </w:t>
      </w:r>
      <w:r>
        <w:rPr>
          <w:rFonts w:hint="default"/>
          <w:color w:val="auto"/>
          <w:highlight w:val="none"/>
        </w:rPr>
        <w:t>污染防治及生态保护措施</w:t>
      </w:r>
      <w:r>
        <w:rPr>
          <w:color w:val="auto"/>
        </w:rPr>
        <w:tab/>
      </w:r>
      <w:r>
        <w:rPr>
          <w:color w:val="auto"/>
        </w:rPr>
        <w:fldChar w:fldCharType="begin"/>
      </w:r>
      <w:r>
        <w:rPr>
          <w:color w:val="auto"/>
        </w:rPr>
        <w:instrText xml:space="preserve"> PAGEREF _Toc508 \h </w:instrText>
      </w:r>
      <w:r>
        <w:rPr>
          <w:color w:val="auto"/>
        </w:rPr>
        <w:fldChar w:fldCharType="separate"/>
      </w:r>
      <w:r>
        <w:rPr>
          <w:color w:val="auto"/>
        </w:rPr>
        <w:t>276</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_Toc26169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12.5 </w:t>
      </w:r>
      <w:r>
        <w:rPr>
          <w:rFonts w:hint="default"/>
          <w:color w:val="auto"/>
          <w:highlight w:val="none"/>
        </w:rPr>
        <w:t>环境风险评价结论</w:t>
      </w:r>
      <w:r>
        <w:rPr>
          <w:color w:val="auto"/>
        </w:rPr>
        <w:tab/>
      </w:r>
      <w:r>
        <w:rPr>
          <w:color w:val="auto"/>
        </w:rPr>
        <w:fldChar w:fldCharType="begin"/>
      </w:r>
      <w:r>
        <w:rPr>
          <w:color w:val="auto"/>
        </w:rPr>
        <w:instrText xml:space="preserve"> PAGEREF _Toc26169 \h </w:instrText>
      </w:r>
      <w:r>
        <w:rPr>
          <w:color w:val="auto"/>
        </w:rPr>
        <w:fldChar w:fldCharType="separate"/>
      </w:r>
      <w:r>
        <w:rPr>
          <w:color w:val="auto"/>
        </w:rPr>
        <w:t>278</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_Toc21748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12.6 </w:t>
      </w:r>
      <w:r>
        <w:rPr>
          <w:rFonts w:hint="eastAsia"/>
          <w:color w:val="auto"/>
        </w:rPr>
        <w:t>产业政策、相关规划符合性</w:t>
      </w:r>
      <w:r>
        <w:rPr>
          <w:color w:val="auto"/>
        </w:rPr>
        <w:tab/>
      </w:r>
      <w:r>
        <w:rPr>
          <w:color w:val="auto"/>
        </w:rPr>
        <w:fldChar w:fldCharType="begin"/>
      </w:r>
      <w:r>
        <w:rPr>
          <w:color w:val="auto"/>
        </w:rPr>
        <w:instrText xml:space="preserve"> PAGEREF _Toc21748 \h </w:instrText>
      </w:r>
      <w:r>
        <w:rPr>
          <w:color w:val="auto"/>
        </w:rPr>
        <w:fldChar w:fldCharType="separate"/>
      </w:r>
      <w:r>
        <w:rPr>
          <w:color w:val="auto"/>
        </w:rPr>
        <w:t>279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_Toc27679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12.7 </w:t>
      </w:r>
      <w:r>
        <w:rPr>
          <w:rFonts w:hint="default"/>
          <w:color w:val="auto"/>
          <w:highlight w:val="none"/>
        </w:rPr>
        <w:t>环境影响经济损益分析</w:t>
      </w:r>
      <w:r>
        <w:rPr>
          <w:color w:val="auto"/>
        </w:rPr>
        <w:tab/>
      </w:r>
      <w:r>
        <w:rPr>
          <w:color w:val="auto"/>
        </w:rPr>
        <w:fldChar w:fldCharType="begin"/>
      </w:r>
      <w:r>
        <w:rPr>
          <w:color w:val="auto"/>
        </w:rPr>
        <w:instrText xml:space="preserve"> PAGEREF _Toc27679 \h </w:instrText>
      </w:r>
      <w:r>
        <w:rPr>
          <w:color w:val="auto"/>
        </w:rPr>
        <w:fldChar w:fldCharType="separate"/>
      </w:r>
      <w:r>
        <w:rPr>
          <w:color w:val="auto"/>
        </w:rPr>
        <w:t>279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_Toc7037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12.8 </w:t>
      </w:r>
      <w:r>
        <w:rPr>
          <w:rFonts w:hint="default"/>
          <w:color w:val="auto"/>
          <w:highlight w:val="none"/>
        </w:rPr>
        <w:t>总量控制</w:t>
      </w:r>
      <w:r>
        <w:rPr>
          <w:color w:val="auto"/>
        </w:rPr>
        <w:tab/>
      </w:r>
      <w:r>
        <w:rPr>
          <w:color w:val="auto"/>
        </w:rPr>
        <w:fldChar w:fldCharType="begin"/>
      </w:r>
      <w:r>
        <w:rPr>
          <w:color w:val="auto"/>
        </w:rPr>
        <w:instrText xml:space="preserve"> PAGEREF _Toc7037 \h </w:instrText>
      </w:r>
      <w:r>
        <w:rPr>
          <w:color w:val="auto"/>
        </w:rPr>
        <w:fldChar w:fldCharType="separate"/>
      </w:r>
      <w:r>
        <w:rPr>
          <w:color w:val="auto"/>
        </w:rPr>
        <w:t>279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_Toc4596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12.9 </w:t>
      </w:r>
      <w:r>
        <w:rPr>
          <w:rFonts w:hint="default"/>
          <w:color w:val="auto"/>
          <w:highlight w:val="none"/>
        </w:rPr>
        <w:t>公众意见采纳情况</w:t>
      </w:r>
      <w:r>
        <w:rPr>
          <w:color w:val="auto"/>
        </w:rPr>
        <w:tab/>
      </w:r>
      <w:r>
        <w:rPr>
          <w:color w:val="auto"/>
        </w:rPr>
        <w:fldChar w:fldCharType="begin"/>
      </w:r>
      <w:r>
        <w:rPr>
          <w:color w:val="auto"/>
        </w:rPr>
        <w:instrText xml:space="preserve"> PAGEREF _Toc4596 \h </w:instrText>
      </w:r>
      <w:r>
        <w:rPr>
          <w:color w:val="auto"/>
        </w:rPr>
        <w:fldChar w:fldCharType="separate"/>
      </w:r>
      <w:r>
        <w:rPr>
          <w:color w:val="auto"/>
        </w:rPr>
        <w:t>279</w:t>
      </w:r>
      <w:r>
        <w:rPr>
          <w:color w:val="auto"/>
        </w:rPr>
        <w:fldChar w:fldCharType="end"/>
      </w:r>
      <w:r>
        <w:rPr>
          <w:rFonts w:hint="default" w:ascii="Times New Roman" w:hAnsi="Times New Roman" w:eastAsia="宋体" w:cs="Times New Roman"/>
          <w:bCs/>
          <w:color w:val="auto"/>
          <w:szCs w:val="36"/>
          <w:highlight w:val="none"/>
        </w:rPr>
        <w:fldChar w:fldCharType="end"/>
      </w:r>
    </w:p>
    <w:p>
      <w:pPr>
        <w:pStyle w:val="37"/>
        <w:tabs>
          <w:tab w:val="right" w:leader="dot" w:pos="9070"/>
        </w:tabs>
        <w:rPr>
          <w:color w:val="auto"/>
        </w:rPr>
      </w:pPr>
      <w:r>
        <w:rPr>
          <w:rFonts w:hint="default" w:ascii="Times New Roman" w:hAnsi="Times New Roman" w:eastAsia="宋体" w:cs="Times New Roman"/>
          <w:bCs/>
          <w:color w:val="auto"/>
          <w:szCs w:val="36"/>
          <w:highlight w:val="none"/>
        </w:rPr>
        <w:fldChar w:fldCharType="begin"/>
      </w:r>
      <w:r>
        <w:rPr>
          <w:rFonts w:hint="default" w:ascii="Times New Roman" w:hAnsi="Times New Roman" w:eastAsia="宋体" w:cs="Times New Roman"/>
          <w:bCs/>
          <w:color w:val="auto"/>
          <w:szCs w:val="36"/>
          <w:highlight w:val="none"/>
        </w:rPr>
        <w:instrText xml:space="preserve"> HYPERLINK \l _Toc14153 </w:instrText>
      </w:r>
      <w:r>
        <w:rPr>
          <w:rFonts w:hint="default" w:ascii="Times New Roman" w:hAnsi="Times New Roman" w:eastAsia="宋体" w:cs="Times New Roman"/>
          <w:bCs/>
          <w:color w:val="auto"/>
          <w:szCs w:val="36"/>
          <w:highlight w:val="none"/>
        </w:rPr>
        <w:fldChar w:fldCharType="separate"/>
      </w:r>
      <w:r>
        <w:rPr>
          <w:rFonts w:hint="default" w:ascii="Times New Roman" w:hAnsi="Times New Roman" w:eastAsia="宋体" w:cs="宋体"/>
          <w:color w:val="auto"/>
          <w:szCs w:val="32"/>
        </w:rPr>
        <w:t xml:space="preserve">12.10 </w:t>
      </w:r>
      <w:r>
        <w:rPr>
          <w:rFonts w:hint="default"/>
          <w:color w:val="auto"/>
          <w:highlight w:val="none"/>
        </w:rPr>
        <w:t>评价综合结论</w:t>
      </w:r>
      <w:r>
        <w:rPr>
          <w:color w:val="auto"/>
        </w:rPr>
        <w:tab/>
      </w:r>
      <w:r>
        <w:rPr>
          <w:color w:val="auto"/>
        </w:rPr>
        <w:fldChar w:fldCharType="begin"/>
      </w:r>
      <w:r>
        <w:rPr>
          <w:color w:val="auto"/>
        </w:rPr>
        <w:instrText xml:space="preserve"> PAGEREF _Toc14153 \h </w:instrText>
      </w:r>
      <w:r>
        <w:rPr>
          <w:color w:val="auto"/>
        </w:rPr>
        <w:fldChar w:fldCharType="separate"/>
      </w:r>
      <w:r>
        <w:rPr>
          <w:color w:val="auto"/>
        </w:rPr>
        <w:t>280</w:t>
      </w:r>
      <w:r>
        <w:rPr>
          <w:color w:val="auto"/>
        </w:rPr>
        <w:fldChar w:fldCharType="end"/>
      </w:r>
      <w:r>
        <w:rPr>
          <w:rFonts w:hint="default" w:ascii="Times New Roman" w:hAnsi="Times New Roman" w:eastAsia="宋体" w:cs="Times New Roman"/>
          <w:bCs/>
          <w:color w:val="auto"/>
          <w:szCs w:val="36"/>
          <w:highlight w:val="none"/>
        </w:rPr>
        <w:fldChar w:fldCharType="end"/>
      </w:r>
    </w:p>
    <w:p>
      <w:pPr>
        <w:ind w:firstLine="480"/>
        <w:jc w:val="both"/>
        <w:rPr>
          <w:rFonts w:hint="default" w:ascii="Times New Roman" w:hAnsi="Times New Roman" w:eastAsia="宋体" w:cs="Times New Roman"/>
          <w:b/>
          <w:bCs/>
          <w:color w:val="auto"/>
          <w:highlight w:val="none"/>
        </w:rPr>
      </w:pPr>
      <w:r>
        <w:rPr>
          <w:rFonts w:hint="default" w:ascii="Times New Roman" w:hAnsi="Times New Roman" w:eastAsia="宋体" w:cs="Times New Roman"/>
          <w:bCs/>
          <w:color w:val="auto"/>
          <w:szCs w:val="36"/>
          <w:highlight w:val="none"/>
        </w:rPr>
        <w:fldChar w:fldCharType="end"/>
      </w:r>
      <w:r>
        <w:rPr>
          <w:rFonts w:hint="default" w:ascii="Times New Roman" w:hAnsi="Times New Roman" w:eastAsia="宋体" w:cs="Times New Roman"/>
          <w:b/>
          <w:bCs/>
          <w:color w:val="auto"/>
          <w:highlight w:val="none"/>
        </w:rPr>
        <w:t>附表：</w:t>
      </w:r>
    </w:p>
    <w:p>
      <w:pPr>
        <w:pStyle w:val="78"/>
        <w:keepNext w:val="0"/>
        <w:keepLines w:val="0"/>
        <w:pageBreakBefore w:val="0"/>
        <w:widowControl w:val="0"/>
        <w:kinsoku/>
        <w:wordWrap/>
        <w:overflowPunct/>
        <w:topLinePunct w:val="0"/>
        <w:autoSpaceDE/>
        <w:autoSpaceDN/>
        <w:bidi w:val="0"/>
        <w:adjustRightInd w:val="0"/>
        <w:snapToGrid w:val="0"/>
        <w:ind w:firstLine="976"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1、大气环境影响评价自查表</w:t>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eastAsia" w:cs="Times New Roman"/>
          <w:color w:val="auto"/>
          <w:highlight w:val="none"/>
          <w:lang w:val="en-US" w:eastAsia="zh-CN"/>
        </w:rPr>
        <w:t>2、</w:t>
      </w:r>
      <w:r>
        <w:rPr>
          <w:rFonts w:hint="default" w:ascii="Times New Roman" w:hAnsi="Times New Roman" w:eastAsia="宋体" w:cs="Times New Roman"/>
          <w:color w:val="auto"/>
          <w:highlight w:val="none"/>
        </w:rPr>
        <w:t>地表水环境影响评价自查表</w:t>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、环境风险评价自查标</w:t>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eastAsia" w:cs="Times New Roman"/>
          <w:color w:val="auto"/>
          <w:highlight w:val="none"/>
          <w:lang w:val="en-US" w:eastAsia="zh-CN"/>
        </w:rPr>
        <w:t>4</w:t>
      </w:r>
      <w:r>
        <w:rPr>
          <w:rFonts w:hint="default" w:ascii="Times New Roman" w:hAnsi="Times New Roman" w:eastAsia="宋体" w:cs="Times New Roman"/>
          <w:color w:val="auto"/>
          <w:highlight w:val="none"/>
        </w:rPr>
        <w:t>、土壤环境影响评价自查标</w:t>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、环境生态评价自查表</w:t>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6、环境噪声评价自查表</w:t>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eastAsia" w:cs="Times New Roman"/>
          <w:color w:val="auto"/>
          <w:highlight w:val="none"/>
          <w:lang w:val="en-US" w:eastAsia="zh-CN"/>
        </w:rPr>
        <w:t>7</w:t>
      </w:r>
      <w:r>
        <w:rPr>
          <w:rFonts w:hint="default" w:ascii="Times New Roman" w:hAnsi="Times New Roman" w:eastAsia="宋体" w:cs="Times New Roman"/>
          <w:color w:val="auto"/>
          <w:highlight w:val="none"/>
        </w:rPr>
        <w:t>、建设项目环评审批基础信息表</w:t>
      </w:r>
    </w:p>
    <w:p>
      <w:pPr>
        <w:ind w:firstLine="48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附</w:t>
      </w:r>
      <w:r>
        <w:rPr>
          <w:rFonts w:hint="default" w:ascii="Times New Roman" w:hAnsi="Times New Roman" w:eastAsia="宋体" w:cs="Times New Roman"/>
          <w:b/>
          <w:bCs/>
          <w:color w:val="auto"/>
          <w:highlight w:val="none"/>
          <w:lang w:val="en-US" w:eastAsia="zh-CN"/>
        </w:rPr>
        <w:t>件</w:t>
      </w:r>
      <w:r>
        <w:rPr>
          <w:rFonts w:hint="default" w:ascii="Times New Roman" w:hAnsi="Times New Roman" w:eastAsia="宋体" w:cs="Times New Roman"/>
          <w:b/>
          <w:bCs/>
          <w:color w:val="auto"/>
          <w:highlight w:val="none"/>
        </w:rPr>
        <w:t>：</w:t>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_Toc10707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附件1委托书</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_Toc29832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附件2采矿权延续期限补正通知书及采矿证许可证</w:t>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_Toc4001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附件3矿山地质环境治理恢复验收合格证</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_Toc26142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附件4</w:t>
      </w:r>
      <w:r>
        <w:rPr>
          <w:rFonts w:hint="default" w:ascii="Times New Roman" w:hAnsi="Times New Roman" w:eastAsia="宋体" w:cs="Times New Roman"/>
          <w:color w:val="auto"/>
          <w:highlight w:val="none"/>
        </w:rPr>
        <w:t>储量核实报告</w:t>
      </w:r>
      <w:r>
        <w:rPr>
          <w:rFonts w:hint="default" w:ascii="Times New Roman" w:hAnsi="Times New Roman" w:eastAsia="宋体" w:cs="Times New Roman"/>
          <w:color w:val="auto"/>
          <w:highlight w:val="none"/>
          <w:lang w:val="en-US" w:eastAsia="zh-CN"/>
        </w:rPr>
        <w:t>备案评审证明及评审意见书</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_Toc24314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附件5开发利用方案审查意见书</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_Toc25690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原有环评批复</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_Toc5521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w:t>
      </w:r>
      <w:r>
        <w:rPr>
          <w:rFonts w:hint="eastAsia" w:ascii="Times New Roman" w:hAnsi="Times New Roman" w:eastAsia="宋体" w:cs="Times New Roman"/>
          <w:color w:val="auto"/>
          <w:highlight w:val="none"/>
          <w:lang w:val="en-US" w:eastAsia="zh-CN"/>
        </w:rPr>
        <w:t>7环境检测</w:t>
      </w:r>
      <w:r>
        <w:rPr>
          <w:rFonts w:hint="default" w:ascii="Times New Roman" w:hAnsi="Times New Roman" w:eastAsia="宋体" w:cs="Times New Roman"/>
          <w:color w:val="auto"/>
          <w:highlight w:val="none"/>
          <w:lang w:val="en-US" w:eastAsia="zh-CN"/>
        </w:rPr>
        <w:t>报告</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_Toc19027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w:t>
      </w:r>
      <w:r>
        <w:rPr>
          <w:rFonts w:hint="eastAsia" w:ascii="Times New Roman" w:hAnsi="Times New Roman" w:eastAsia="宋体" w:cs="Times New Roman"/>
          <w:color w:val="auto"/>
          <w:highlight w:val="none"/>
          <w:lang w:val="en-US" w:eastAsia="zh-CN"/>
        </w:rPr>
        <w:t>8《岫岩满族自治县苏子沟镇大何家堡村钾矿山地质环境保护与土地复垦方案》评审意见</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_Toc28042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w:t>
      </w:r>
      <w:r>
        <w:rPr>
          <w:rFonts w:hint="eastAsia" w:ascii="Times New Roman" w:hAnsi="Times New Roman" w:eastAsia="宋体" w:cs="Times New Roman"/>
          <w:color w:val="auto"/>
          <w:highlight w:val="none"/>
          <w:lang w:val="en-US" w:eastAsia="zh-CN"/>
        </w:rPr>
        <w:t>9关于鞍山市申请调整部分生态公益林的批复</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_Toc12130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w:t>
      </w:r>
      <w:r>
        <w:rPr>
          <w:rFonts w:hint="eastAsia" w:ascii="Times New Roman" w:hAnsi="Times New Roman" w:eastAsia="宋体" w:cs="Times New Roman"/>
          <w:color w:val="auto"/>
          <w:highlight w:val="none"/>
          <w:lang w:val="en-US" w:eastAsia="zh-CN"/>
        </w:rPr>
        <w:t>10矿石成分检测报告</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keepNext w:val="0"/>
        <w:keepLines w:val="0"/>
        <w:pageBreakBefore w:val="0"/>
        <w:widowControl w:val="0"/>
        <w:kinsoku/>
        <w:wordWrap/>
        <w:overflowPunct/>
        <w:topLinePunct w:val="0"/>
        <w:autoSpaceDE/>
        <w:autoSpaceDN/>
        <w:bidi w:val="0"/>
        <w:adjustRightInd w:val="0"/>
        <w:snapToGrid w:val="0"/>
        <w:ind w:firstLine="960" w:firstLineChars="4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\l _Toc22415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lang w:val="en-US" w:eastAsia="zh-CN"/>
        </w:rPr>
        <w:t>附件</w:t>
      </w:r>
      <w:r>
        <w:rPr>
          <w:rFonts w:hint="eastAsia" w:ascii="Times New Roman" w:hAnsi="Times New Roman" w:eastAsia="宋体" w:cs="Times New Roman"/>
          <w:color w:val="auto"/>
          <w:highlight w:val="none"/>
          <w:lang w:val="en-US" w:eastAsia="zh-CN"/>
        </w:rPr>
        <w:t>11“三线一单”管控单位查询申请表</w:t>
      </w:r>
      <w:r>
        <w:rPr>
          <w:rFonts w:hint="default" w:ascii="Times New Roman" w:hAnsi="Times New Roman" w:eastAsia="宋体" w:cs="Times New Roman"/>
          <w:color w:val="auto"/>
          <w:highlight w:val="none"/>
        </w:rPr>
        <w:tab/>
      </w:r>
      <w:r>
        <w:rPr>
          <w:rFonts w:hint="default" w:ascii="Times New Roman" w:hAnsi="Times New Roman" w:eastAsia="宋体" w:cs="Times New Roman"/>
          <w:color w:val="auto"/>
          <w:highlight w:val="none"/>
        </w:rPr>
        <w:fldChar w:fldCharType="end"/>
      </w:r>
    </w:p>
    <w:p>
      <w:pPr>
        <w:pStyle w:val="78"/>
        <w:keepNext w:val="0"/>
        <w:keepLines w:val="0"/>
        <w:pageBreakBefore w:val="0"/>
        <w:widowControl w:val="0"/>
        <w:kinsoku/>
        <w:wordWrap/>
        <w:overflowPunct/>
        <w:topLinePunct w:val="0"/>
        <w:autoSpaceDE/>
        <w:autoSpaceDN/>
        <w:bidi w:val="0"/>
        <w:adjustRightInd w:val="0"/>
        <w:snapToGrid w:val="0"/>
        <w:ind w:firstLine="976" w:firstLineChars="400"/>
        <w:textAlignment w:val="auto"/>
        <w:rPr>
          <w:rFonts w:hint="default" w:ascii="Times New Roman" w:hAnsi="Times New Roman" w:eastAsia="宋体" w:cs="Times New Roman"/>
          <w:color w:val="auto"/>
          <w:highlight w:val="none"/>
        </w:rPr>
      </w:pPr>
    </w:p>
    <w:p>
      <w:pPr>
        <w:pStyle w:val="78"/>
        <w:keepNext w:val="0"/>
        <w:keepLines w:val="0"/>
        <w:pageBreakBefore w:val="0"/>
        <w:widowControl w:val="0"/>
        <w:kinsoku/>
        <w:wordWrap/>
        <w:overflowPunct/>
        <w:topLinePunct w:val="0"/>
        <w:autoSpaceDE/>
        <w:autoSpaceDN/>
        <w:bidi w:val="0"/>
        <w:adjustRightInd w:val="0"/>
        <w:snapToGrid w:val="0"/>
        <w:ind w:firstLine="976" w:firstLineChars="400"/>
        <w:textAlignment w:val="auto"/>
        <w:rPr>
          <w:rFonts w:hint="default" w:ascii="Times New Roman" w:hAnsi="Times New Roman" w:eastAsia="宋体" w:cs="Times New Roman"/>
          <w:color w:val="auto"/>
          <w:highlight w:val="none"/>
        </w:rPr>
        <w:sectPr>
          <w:headerReference r:id="rId13" w:type="default"/>
          <w:footerReference r:id="rId14" w:type="default"/>
          <w:pgSz w:w="11906" w:h="16838"/>
          <w:pgMar w:top="1588" w:right="1418" w:bottom="1418" w:left="1418" w:header="992" w:footer="992" w:gutter="0"/>
          <w:pgBorders>
            <w:top w:val="none" w:sz="0" w:space="0"/>
            <w:left w:val="none" w:sz="0" w:space="0"/>
            <w:bottom w:val="none" w:sz="0" w:space="0"/>
            <w:right w:val="none" w:sz="0" w:space="0"/>
          </w:pgBorders>
          <w:pgNumType w:fmt="upperRoman" w:start="1"/>
          <w:cols w:space="425" w:num="1"/>
          <w:docGrid w:linePitch="312" w:charSpace="0"/>
        </w:sectPr>
      </w:pPr>
    </w:p>
    <w:p>
      <w:pPr>
        <w:pStyle w:val="3"/>
        <w:rPr>
          <w:rFonts w:hint="default" w:ascii="Times New Roman" w:hAnsi="Times New Roman" w:eastAsia="宋体" w:cs="Times New Roman"/>
          <w:color w:val="auto"/>
          <w:highlight w:val="none"/>
        </w:rPr>
      </w:pPr>
      <w:bookmarkStart w:id="90" w:name="_Toc21571"/>
      <w:bookmarkStart w:id="91" w:name="_Toc15376166"/>
      <w:r>
        <w:rPr>
          <w:rFonts w:hint="default" w:ascii="Times New Roman" w:hAnsi="Times New Roman" w:eastAsia="宋体" w:cs="Times New Roman"/>
          <w:color w:val="auto"/>
          <w:highlight w:val="none"/>
        </w:rPr>
        <w:t>总则</w:t>
      </w:r>
      <w:bookmarkEnd w:id="90"/>
      <w:bookmarkEnd w:id="91"/>
    </w:p>
    <w:p>
      <w:pPr>
        <w:pStyle w:val="4"/>
        <w:spacing w:before="120" w:after="120"/>
        <w:ind w:left="0" w:leftChars="0" w:firstLineChars="0"/>
        <w:rPr>
          <w:rFonts w:hint="default" w:ascii="Times New Roman" w:hAnsi="Times New Roman" w:eastAsia="宋体" w:cs="Times New Roman"/>
          <w:color w:val="auto"/>
          <w:highlight w:val="none"/>
        </w:rPr>
      </w:pPr>
      <w:bookmarkStart w:id="92" w:name="_Toc15376167"/>
      <w:bookmarkStart w:id="93" w:name="_Toc2797"/>
      <w:r>
        <w:rPr>
          <w:rFonts w:hint="default" w:ascii="Times New Roman" w:hAnsi="Times New Roman" w:eastAsia="宋体" w:cs="Times New Roman"/>
          <w:color w:val="auto"/>
          <w:highlight w:val="none"/>
        </w:rPr>
        <w:t>编制依据</w:t>
      </w:r>
      <w:bookmarkEnd w:id="92"/>
      <w:bookmarkEnd w:id="93"/>
    </w:p>
    <w:p>
      <w:pPr>
        <w:pStyle w:val="5"/>
        <w:spacing w:before="120" w:after="120"/>
        <w:ind w:left="720" w:leftChars="0" w:firstLineChars="0"/>
        <w:rPr>
          <w:rFonts w:hint="default" w:ascii="Times New Roman" w:hAnsi="Times New Roman" w:eastAsia="宋体" w:cs="Times New Roman"/>
          <w:color w:val="auto"/>
          <w:highlight w:val="none"/>
        </w:rPr>
      </w:pPr>
      <w:bookmarkStart w:id="94" w:name="_Toc303671357"/>
      <w:bookmarkStart w:id="95" w:name="_Toc450826969"/>
      <w:bookmarkStart w:id="96" w:name="_Toc316410247"/>
      <w:bookmarkStart w:id="97" w:name="_Toc303671484"/>
      <w:r>
        <w:rPr>
          <w:rFonts w:hint="default" w:ascii="Times New Roman" w:hAnsi="Times New Roman" w:eastAsia="宋体" w:cs="Times New Roman"/>
          <w:color w:val="auto"/>
          <w:highlight w:val="none"/>
        </w:rPr>
        <w:t>国家相关法律法规</w:t>
      </w:r>
      <w:bookmarkEnd w:id="94"/>
      <w:bookmarkEnd w:id="95"/>
      <w:bookmarkEnd w:id="96"/>
      <w:bookmarkEnd w:id="97"/>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《中华人民共和国环境保护法》，2015.1.1；</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《中华人民共和国环境影响评价法》，2018.12.29；</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《中华人民共和国大气污染防治法》，2018.10.26；</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《中华人民共和国水污染防治法》，2018.1.1；</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《中华人民共和国环境噪声污染防治法》，2022.6.5；</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《中华人民共和国固体废物污染环境防治法》，</w:t>
      </w:r>
      <w:r>
        <w:rPr>
          <w:rFonts w:hint="default" w:ascii="Times New Roman" w:hAnsi="Times New Roman" w:eastAsia="宋体" w:cs="Times New Roman"/>
          <w:color w:val="auto"/>
          <w:highlight w:val="none"/>
          <w:lang w:val="en-US" w:eastAsia="zh-CN"/>
        </w:rPr>
        <w:t>2020.9.1</w:t>
      </w:r>
      <w:r>
        <w:rPr>
          <w:rFonts w:hint="default" w:ascii="Times New Roman" w:hAnsi="Times New Roman" w:eastAsia="宋体" w:cs="Times New Roman"/>
          <w:color w:val="auto"/>
          <w:highlight w:val="none"/>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《中华人民共和国土壤污染防治法》2019.1.1；</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《中华人民共和国水法》</w:t>
      </w:r>
      <w:r>
        <w:rPr>
          <w:rFonts w:hint="default" w:ascii="Times New Roman" w:hAnsi="Times New Roman" w:eastAsia="宋体" w:cs="Times New Roman"/>
          <w:color w:val="auto"/>
          <w:highlight w:val="none"/>
          <w:lang w:val="en-US" w:eastAsia="zh-CN"/>
        </w:rPr>
        <w:t>2013.07.02</w:t>
      </w:r>
      <w:r>
        <w:rPr>
          <w:rFonts w:hint="default" w:ascii="Times New Roman" w:hAnsi="Times New Roman" w:eastAsia="宋体" w:cs="Times New Roman"/>
          <w:color w:val="auto"/>
          <w:highlight w:val="none"/>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《中华人民共和国循环经济促进法》</w:t>
      </w:r>
      <w:r>
        <w:rPr>
          <w:rFonts w:hint="default" w:ascii="Times New Roman" w:hAnsi="Times New Roman" w:eastAsia="宋体" w:cs="Times New Roman"/>
          <w:color w:val="auto"/>
          <w:highlight w:val="none"/>
          <w:lang w:val="en-US" w:eastAsia="zh-CN"/>
        </w:rPr>
        <w:t>2018.10.26</w:t>
      </w:r>
      <w:r>
        <w:rPr>
          <w:rFonts w:hint="default" w:ascii="Times New Roman" w:hAnsi="Times New Roman" w:eastAsia="宋体" w:cs="Times New Roman"/>
          <w:color w:val="auto"/>
          <w:highlight w:val="none"/>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《中华人民共和国节约能源法》</w:t>
      </w:r>
      <w:r>
        <w:rPr>
          <w:rFonts w:hint="default" w:ascii="Times New Roman" w:hAnsi="Times New Roman" w:eastAsia="宋体" w:cs="Times New Roman"/>
          <w:color w:val="auto"/>
          <w:highlight w:val="none"/>
          <w:lang w:val="en-US" w:eastAsia="zh-CN"/>
        </w:rPr>
        <w:t>2018.10.26；</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《中华人民共和国矿产资源法》，2009.8.27；</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《中华人民共和国土地管理法》，2004.8.28；</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《建设项目环境保护管理条例》国务院国发682号令，2017.10.1；</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《危险化学品安全管理条例》国务院令第645号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2013.12.07；</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《土地复垦条例》，国务院第592号令，2011.3.5；</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《土地复垦条例实施办法》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2019年修正）；</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国务院关于</w:t>
      </w:r>
      <w:r>
        <w:rPr>
          <w:rFonts w:hint="default" w:ascii="Times New Roman" w:hAnsi="Times New Roman" w:eastAsia="宋体" w:cs="Times New Roman"/>
          <w:color w:val="auto"/>
          <w:highlight w:val="none"/>
        </w:rPr>
        <w:t>大气污染防治行动计划》国发[2013]37号，2013.9.10；</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国务院关于</w:t>
      </w:r>
      <w:r>
        <w:rPr>
          <w:rFonts w:hint="default" w:ascii="Times New Roman" w:hAnsi="Times New Roman" w:eastAsia="宋体" w:cs="Times New Roman"/>
          <w:color w:val="auto"/>
          <w:highlight w:val="none"/>
        </w:rPr>
        <w:t>水污染防治行动计划》国发[2015]17号，2015.4.16；</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国务院关于</w:t>
      </w:r>
      <w:r>
        <w:rPr>
          <w:rFonts w:hint="default" w:ascii="Times New Roman" w:hAnsi="Times New Roman" w:eastAsia="宋体" w:cs="Times New Roman"/>
          <w:color w:val="auto"/>
          <w:highlight w:val="none"/>
        </w:rPr>
        <w:t>土壤污染防治行动计划》国发[2016]31号，2016.5.28；</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《控制污染物排放许可制实施方案》国办发[2016]81号</w:t>
      </w:r>
      <w:r>
        <w:rPr>
          <w:rFonts w:hint="default" w:ascii="Times New Roman" w:hAnsi="Times New Roman" w:eastAsia="宋体" w:cs="Times New Roman"/>
          <w:color w:val="auto"/>
          <w:highlight w:val="none"/>
          <w:lang w:eastAsia="zh-CN"/>
        </w:rPr>
        <w:t>，2016.11.10；</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《建设项目环境影响评价分类管理名录》（部令第</w:t>
      </w:r>
      <w:r>
        <w:rPr>
          <w:rFonts w:hint="default" w:ascii="Times New Roman" w:hAnsi="Times New Roman" w:eastAsia="宋体" w:cs="Times New Roman"/>
          <w:color w:val="auto"/>
          <w:highlight w:val="none"/>
          <w:lang w:val="en-US" w:eastAsia="zh-CN"/>
        </w:rPr>
        <w:t>16</w:t>
      </w:r>
      <w:r>
        <w:rPr>
          <w:rFonts w:hint="default" w:ascii="Times New Roman" w:hAnsi="Times New Roman" w:eastAsia="宋体" w:cs="Times New Roman"/>
          <w:color w:val="auto"/>
          <w:highlight w:val="none"/>
        </w:rPr>
        <w:t>号），</w:t>
      </w:r>
      <w:r>
        <w:rPr>
          <w:rFonts w:hint="default" w:ascii="Times New Roman" w:hAnsi="Times New Roman" w:eastAsia="宋体" w:cs="Times New Roman"/>
          <w:color w:val="auto"/>
          <w:highlight w:val="none"/>
          <w:lang w:val="en-US" w:eastAsia="zh-CN"/>
        </w:rPr>
        <w:t>2021.1.1</w:t>
      </w:r>
      <w:r>
        <w:rPr>
          <w:rFonts w:hint="default" w:ascii="Times New Roman" w:hAnsi="Times New Roman" w:eastAsia="宋体" w:cs="Times New Roman"/>
          <w:color w:val="auto"/>
          <w:highlight w:val="none"/>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《国家危险废物名录》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2021年版</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（部令第</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号），</w:t>
      </w:r>
      <w:r>
        <w:rPr>
          <w:rFonts w:hint="default" w:ascii="Times New Roman" w:hAnsi="Times New Roman" w:eastAsia="宋体" w:cs="Times New Roman"/>
          <w:color w:val="auto"/>
          <w:highlight w:val="none"/>
          <w:lang w:val="en-US" w:eastAsia="zh-CN"/>
        </w:rPr>
        <w:t>2021.1.1</w:t>
      </w:r>
      <w:r>
        <w:rPr>
          <w:rFonts w:hint="default" w:ascii="Times New Roman" w:hAnsi="Times New Roman" w:eastAsia="宋体" w:cs="Times New Roman"/>
          <w:color w:val="auto"/>
          <w:highlight w:val="none"/>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《产业结构调整指导目录（201</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年本）》</w:t>
      </w:r>
      <w:r>
        <w:rPr>
          <w:rFonts w:hint="default" w:ascii="Times New Roman" w:hAnsi="Times New Roman" w:eastAsia="宋体" w:cs="Times New Roman"/>
          <w:color w:val="auto"/>
          <w:highlight w:val="none"/>
          <w:lang w:eastAsia="zh-CN"/>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《固定污染源排污许可分类管理名录（2019年版）》生态环境部令第11号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2019.12.20；</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《排污许可管理办法（试行）》环境保护部令第48号</w:t>
      </w:r>
      <w:r>
        <w:rPr>
          <w:rFonts w:hint="default" w:ascii="Times New Roman" w:hAnsi="Times New Roman" w:eastAsia="宋体" w:cs="Times New Roman"/>
          <w:color w:val="auto"/>
          <w:highlight w:val="none"/>
          <w:lang w:eastAsia="zh-CN"/>
        </w:rPr>
        <w:t>，2018.01.10；</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《环境影响评价公众参与暂行办法》（部令第4号），2019</w:t>
      </w:r>
      <w:r>
        <w:rPr>
          <w:rFonts w:hint="default" w:ascii="Times New Roman" w:hAnsi="Times New Roman" w:eastAsia="宋体" w:cs="Times New Roman"/>
          <w:color w:val="auto"/>
          <w:highlight w:val="none"/>
          <w:lang w:val="en-US" w:eastAsia="zh-CN"/>
        </w:rPr>
        <w:t>.1.1</w:t>
      </w:r>
      <w:r>
        <w:rPr>
          <w:rFonts w:hint="default" w:ascii="Times New Roman" w:hAnsi="Times New Roman" w:eastAsia="宋体" w:cs="Times New Roman"/>
          <w:color w:val="auto"/>
          <w:highlight w:val="none"/>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《突发环境事件应急管理办法》环境保护部令第34号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2015.06.05</w:t>
      </w:r>
      <w:r>
        <w:rPr>
          <w:rFonts w:hint="default" w:ascii="Times New Roman" w:hAnsi="Times New Roman" w:eastAsia="宋体" w:cs="Times New Roman"/>
          <w:color w:val="auto"/>
          <w:highlight w:val="none"/>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《企事业单位环境信息公开办法》环境保护部令第31号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2015.01.01；</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《建设项目竣工环境保护验收暂行办法》国环规环评[2017]4号，2017.11.20；</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《关于发布&lt;建设项目危险废物环境影响评价指南&gt;的公告》环境保护部公告2017年第43号，2017.10.1；</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《关于进一步加强环境影响评价管理防范环境风险的通知》环发[2012]77号，2012.07.03；</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《关于切实加强风险防范严格环境影响评价管理的通知》环发[2012]98号</w:t>
      </w:r>
      <w:r>
        <w:rPr>
          <w:rFonts w:hint="default" w:ascii="Times New Roman" w:hAnsi="Times New Roman" w:eastAsia="宋体" w:cs="Times New Roman"/>
          <w:color w:val="auto"/>
          <w:highlight w:val="none"/>
          <w:lang w:eastAsia="zh-CN"/>
        </w:rPr>
        <w:t>；</w:t>
      </w:r>
    </w:p>
    <w:p>
      <w:pPr>
        <w:numPr>
          <w:ilvl w:val="0"/>
          <w:numId w:val="3"/>
        </w:num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《关于发布&lt;环境空气细颗粒物污染综合防治技术政策&gt;的公告》环保部公告2013年第59号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2013.09.13</w:t>
      </w:r>
      <w:r>
        <w:rPr>
          <w:rFonts w:hint="default" w:ascii="Times New Roman" w:hAnsi="Times New Roman" w:eastAsia="宋体" w:cs="Times New Roman"/>
          <w:color w:val="auto"/>
          <w:highlight w:val="none"/>
          <w:lang w:eastAsia="zh-CN"/>
        </w:rPr>
        <w:t>；</w:t>
      </w:r>
    </w:p>
    <w:p>
      <w:pPr>
        <w:numPr>
          <w:ilvl w:val="0"/>
          <w:numId w:val="3"/>
        </w:num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关于发布《建设项目竣工环境保护验收技术指南污染影响类》的公告生态环境部公告2018年第9号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2018.05.16</w:t>
      </w:r>
      <w:r>
        <w:rPr>
          <w:rFonts w:hint="default" w:ascii="Times New Roman" w:hAnsi="Times New Roman" w:eastAsia="宋体" w:cs="Times New Roman"/>
          <w:color w:val="auto"/>
          <w:highlight w:val="none"/>
          <w:lang w:eastAsia="zh-CN"/>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《关于做好环境影响评价制度与排污许可制衔接相关工作的通知》办环评[2017]84号）；</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《关于强化建设项目环境影响评价事中事后监管的实施意见》（环环评[2018]11号）；</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关于印发《2019年全国大气污染防治工作要点》的通知（环办大气[2019]16号）；</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《关于印发地下水污染防治实施方案的通知》（环土壤[2019]25号）</w:t>
      </w:r>
      <w:r>
        <w:rPr>
          <w:rFonts w:hint="default" w:ascii="Times New Roman" w:hAnsi="Times New Roman" w:eastAsia="宋体" w:cs="Times New Roman"/>
          <w:color w:val="auto"/>
          <w:highlight w:val="none"/>
          <w:lang w:eastAsia="zh-CN"/>
        </w:rPr>
        <w:t>；</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《矿山生态环境保护与污染防治技术政策》，环发[2005]109号，2005.9.7；</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《国务院关于全面整顿和规范矿山资源开发秩序的通知》，国务院国发[2005]28号文，2005.8.18；</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《工况用地土壤环境管理办法（试行）》（生态环境部令第3号）2018.08.01</w:t>
      </w:r>
    </w:p>
    <w:p>
      <w:pPr>
        <w:numPr>
          <w:ilvl w:val="0"/>
          <w:numId w:val="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《关于加快建设绿色矿山的实施意见》（国土资规〔2017〕4号）2017年3月22日</w:t>
      </w:r>
      <w:r>
        <w:rPr>
          <w:rFonts w:hint="default" w:ascii="Times New Roman" w:hAnsi="Times New Roman" w:eastAsia="宋体" w:cs="Times New Roman"/>
          <w:color w:val="auto"/>
          <w:highlight w:val="none"/>
          <w:lang w:eastAsia="zh-CN"/>
        </w:rPr>
        <w:t>。</w:t>
      </w:r>
    </w:p>
    <w:p>
      <w:pPr>
        <w:pStyle w:val="5"/>
        <w:spacing w:before="120" w:after="120"/>
        <w:ind w:left="720" w:leftChars="0" w:firstLineChars="0"/>
        <w:rPr>
          <w:rFonts w:hint="default" w:ascii="Times New Roman" w:hAnsi="Times New Roman" w:eastAsia="宋体" w:cs="Times New Roman"/>
          <w:color w:val="auto"/>
          <w:highlight w:val="none"/>
        </w:rPr>
      </w:pPr>
      <w:bookmarkStart w:id="98" w:name="_Toc450826970"/>
      <w:r>
        <w:rPr>
          <w:rFonts w:hint="default" w:ascii="Times New Roman" w:hAnsi="Times New Roman" w:eastAsia="宋体" w:cs="Times New Roman"/>
          <w:color w:val="auto"/>
          <w:highlight w:val="none"/>
        </w:rPr>
        <w:t>地方性相关法律法规</w:t>
      </w:r>
      <w:bookmarkEnd w:id="98"/>
    </w:p>
    <w:p>
      <w:pPr>
        <w:numPr>
          <w:ilvl w:val="0"/>
          <w:numId w:val="4"/>
        </w:numPr>
        <w:ind w:firstLine="480" w:firstLineChars="0"/>
        <w:rPr>
          <w:rFonts w:hint="default" w:ascii="Times New Roman" w:hAnsi="Times New Roman" w:eastAsia="宋体" w:cs="Times New Roman"/>
          <w:color w:val="auto"/>
          <w:highlight w:val="none"/>
        </w:rPr>
      </w:pPr>
      <w:bookmarkStart w:id="99" w:name="_Toc303671485"/>
      <w:bookmarkStart w:id="100" w:name="_Toc450826971"/>
      <w:bookmarkStart w:id="101" w:name="_Toc202324014"/>
      <w:bookmarkStart w:id="102" w:name="_Toc213731889"/>
      <w:bookmarkStart w:id="103" w:name="_Toc224304162"/>
      <w:bookmarkStart w:id="104" w:name="_Toc316410248"/>
      <w:bookmarkStart w:id="105" w:name="_Toc303671358"/>
      <w:bookmarkStart w:id="106" w:name="_Toc201641892"/>
      <w:r>
        <w:rPr>
          <w:rFonts w:hint="default" w:ascii="Times New Roman" w:hAnsi="Times New Roman" w:eastAsia="宋体" w:cs="Times New Roman"/>
          <w:color w:val="auto"/>
          <w:highlight w:val="none"/>
        </w:rPr>
        <w:t>《辽宁省环境保护条例》，2022年4月21日修正；</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《辽宁省固体废物污染环境防治办法》（2017年修正），2017.11.16；</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《辽宁省大气污染防治条例》，2017.8.1；</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《辽宁省大气污染防治工作方案的通知》，辽政发〔2014〕8号，2014.3.13；</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辽宁省人民政府关于印发《辽宁省打赢蓝天保卫战三年行动方案（2018—2020年）的通知》（辽政发〔2018〕31号）；</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《辽宁省自然保护区名录》，2015；</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辽宁省环保厅关于《贯彻执行环保部建设项目主要污染物排放总量指标审核及管理暂行办法》的通知（辽环发[2015]17号）；</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《辽宁省地下水资源保护条例》（2014年9月修正）；</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《辽宁省水污染防治条例》，2019年2月1日起实施；</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《辽宁省水污染防治工作方案的通知》，辽政发〔2015〕79号，2015.12.31；</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《辽宁省禁止提取地下水规定》（辽宁省人民政府第255号令，2011年3月）；</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《辽宁省土壤污染防治工作方案的通知》，辽政发〔2016〕58号，2016.8.24</w:t>
      </w:r>
      <w:r>
        <w:rPr>
          <w:rFonts w:hint="default" w:ascii="Times New Roman" w:hAnsi="Times New Roman" w:eastAsia="宋体" w:cs="Times New Roman"/>
          <w:color w:val="auto"/>
          <w:highlight w:val="none"/>
          <w:lang w:val="en-US" w:eastAsia="zh-CN"/>
        </w:rPr>
        <w:t>;</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辽宁省突发环境事件应急预案备案行业目录（试行）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辽环综函</w:t>
      </w:r>
      <w:r>
        <w:rPr>
          <w:rFonts w:hint="default" w:ascii="Times New Roman" w:hAnsi="Times New Roman" w:eastAsia="宋体" w:cs="Times New Roman"/>
          <w:color w:val="auto"/>
          <w:highlight w:val="none"/>
        </w:rPr>
        <w:t>〔20</w:t>
      </w:r>
      <w:r>
        <w:rPr>
          <w:rFonts w:hint="default"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192</w:t>
      </w:r>
      <w:r>
        <w:rPr>
          <w:rFonts w:hint="default" w:ascii="Times New Roman" w:hAnsi="Times New Roman" w:eastAsia="宋体" w:cs="Times New Roman"/>
          <w:color w:val="auto"/>
          <w:highlight w:val="none"/>
        </w:rPr>
        <w:t>号，20</w:t>
      </w:r>
      <w:r>
        <w:rPr>
          <w:rFonts w:hint="default" w:ascii="Times New Roman" w:hAnsi="Times New Roman" w:eastAsia="宋体" w:cs="Times New Roman"/>
          <w:color w:val="auto"/>
          <w:highlight w:val="none"/>
          <w:lang w:val="en-US" w:eastAsia="zh-CN"/>
        </w:rPr>
        <w:t>20.4</w:t>
      </w: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2；</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kern w:val="0"/>
          <w:highlight w:val="none"/>
        </w:rPr>
        <w:t>《中共辽宁省委辽宁省人民政府关于深入贯彻落实新发展理念全面实施非煤矿山综合治理的意见》辽委发[2018]49</w:t>
      </w:r>
      <w:r>
        <w:rPr>
          <w:rFonts w:hint="default" w:ascii="Times New Roman" w:hAnsi="Times New Roman" w:eastAsia="宋体" w:cs="Times New Roman"/>
          <w:bCs/>
          <w:color w:val="auto"/>
          <w:kern w:val="0"/>
          <w:highlight w:val="none"/>
          <w:lang w:eastAsia="zh-CN"/>
        </w:rPr>
        <w:t>，</w:t>
      </w:r>
      <w:r>
        <w:rPr>
          <w:rFonts w:hint="default" w:ascii="Times New Roman" w:hAnsi="Times New Roman" w:eastAsia="宋体" w:cs="Times New Roman"/>
          <w:bCs/>
          <w:color w:val="auto"/>
          <w:kern w:val="0"/>
          <w:highlight w:val="none"/>
        </w:rPr>
        <w:t>2018年10月1日</w:t>
      </w:r>
      <w:r>
        <w:rPr>
          <w:rFonts w:hint="default" w:ascii="Times New Roman" w:hAnsi="Times New Roman" w:eastAsia="宋体" w:cs="Times New Roman"/>
          <w:bCs/>
          <w:color w:val="auto"/>
          <w:kern w:val="0"/>
          <w:highlight w:val="none"/>
          <w:lang w:eastAsia="zh-CN"/>
        </w:rPr>
        <w:t>；</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辽宁省矿山综合治理条例</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2019年</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月1日起实施；</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《鞍山市人民政府关于印发鞍山市大气污染防治行动计划实施细则的通知》，鞍政发[2015]17号；</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《鞍山市人民政府关于印发鞍山市水污染防治工作方案的通知》，鞍政发[2016]28号；</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《鞍山市人民政府关于印发鞍山市土壤污染防治工作方案的通知》，鞍政发[2017]6号</w:t>
      </w:r>
      <w:r>
        <w:rPr>
          <w:rFonts w:hint="default" w:ascii="Times New Roman" w:hAnsi="Times New Roman" w:eastAsia="宋体" w:cs="Times New Roman"/>
          <w:color w:val="auto"/>
          <w:highlight w:val="none"/>
          <w:lang w:eastAsia="zh-CN"/>
        </w:rPr>
        <w:t>；</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《鞍山市大气污染防治条例》鞍山市第十六届人民代表大会常务委员会〔十六届〕第六号，2020.1.1；</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《鞍山市扬尘污染防治条例》</w:t>
      </w:r>
      <w:r>
        <w:rPr>
          <w:rFonts w:hint="default" w:ascii="Times New Roman" w:hAnsi="Times New Roman" w:eastAsia="宋体" w:cs="Times New Roman"/>
          <w:i w:val="0"/>
          <w:caps w:val="0"/>
          <w:color w:val="auto"/>
          <w:spacing w:val="0"/>
          <w:sz w:val="24"/>
          <w:szCs w:val="24"/>
          <w:highlight w:val="none"/>
          <w:shd w:val="clear" w:fill="FFFFFF"/>
        </w:rPr>
        <w:t>鞍山市第十六届人民代表大会常务委员会</w:t>
      </w:r>
      <w:r>
        <w:rPr>
          <w:rFonts w:hint="default" w:ascii="Times New Roman" w:hAnsi="Times New Roman" w:eastAsia="宋体" w:cs="Times New Roman"/>
          <w:color w:val="auto"/>
          <w:highlight w:val="none"/>
          <w:lang w:val="en-US" w:eastAsia="zh-CN"/>
        </w:rPr>
        <w:t>，2019.6.1；</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《鞍山市大气污染防治条例》（2020年1月1日施行）</w:t>
      </w:r>
      <w:r>
        <w:rPr>
          <w:rFonts w:hint="eastAsia" w:cs="Times New Roman"/>
          <w:color w:val="auto"/>
          <w:highlight w:val="none"/>
          <w:lang w:eastAsia="zh-CN"/>
        </w:rPr>
        <w:t>；</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关于印发《辽宁省深入打好污染防治攻坚战实施方案》的通知（中共辽宁省委辽宁省政府，2022年5月16日）</w:t>
      </w:r>
      <w:r>
        <w:rPr>
          <w:rFonts w:hint="eastAsia" w:cs="Times New Roman"/>
          <w:color w:val="auto"/>
          <w:highlight w:val="none"/>
          <w:lang w:eastAsia="zh-CN"/>
        </w:rPr>
        <w:t>；</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辽宁省人民政府办公厅关于印发《辽宁省绿色矿山建设三年行动方案（2022—2024年）》的通知（2022年4月13日）</w:t>
      </w:r>
      <w:r>
        <w:rPr>
          <w:rFonts w:hint="eastAsia" w:cs="Times New Roman"/>
          <w:color w:val="auto"/>
          <w:highlight w:val="none"/>
          <w:lang w:eastAsia="zh-CN"/>
        </w:rPr>
        <w:t>；</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《鞍山市生态环境局关于印发&lt;生态环境准入清单( 2021年版）&gt;的通知》（鞍环发( 2021)6号）；</w:t>
      </w:r>
    </w:p>
    <w:p>
      <w:pPr>
        <w:numPr>
          <w:ilvl w:val="0"/>
          <w:numId w:val="4"/>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《鞍山市人民政府关于实施“三线一单”生态环境分区管控的意见》（鞍政发[2021]号）。</w:t>
      </w:r>
    </w:p>
    <w:p>
      <w:pPr>
        <w:pStyle w:val="5"/>
        <w:spacing w:before="120" w:after="120"/>
        <w:ind w:left="720" w:leftChars="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相关规划</w:t>
      </w:r>
      <w:bookmarkEnd w:id="99"/>
      <w:bookmarkEnd w:id="100"/>
      <w:bookmarkEnd w:id="101"/>
      <w:bookmarkEnd w:id="102"/>
      <w:bookmarkEnd w:id="103"/>
      <w:bookmarkEnd w:id="104"/>
      <w:bookmarkEnd w:id="105"/>
      <w:bookmarkEnd w:id="106"/>
    </w:p>
    <w:p>
      <w:pPr>
        <w:numPr>
          <w:ilvl w:val="0"/>
          <w:numId w:val="5"/>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关于发布&lt;辽宁省</w:t>
      </w:r>
      <w:r>
        <w:rPr>
          <w:rFonts w:hint="eastAsia" w:cs="Times New Roman"/>
          <w:color w:val="auto"/>
          <w:highlight w:val="none"/>
          <w:lang w:eastAsia="zh-CN"/>
        </w:rPr>
        <w:t>“</w:t>
      </w:r>
      <w:r>
        <w:rPr>
          <w:rFonts w:hint="default" w:ascii="Times New Roman" w:hAnsi="Times New Roman" w:eastAsia="宋体" w:cs="Times New Roman"/>
          <w:color w:val="auto"/>
          <w:highlight w:val="none"/>
        </w:rPr>
        <w:t>十四五</w:t>
      </w:r>
      <w:r>
        <w:rPr>
          <w:rFonts w:hint="eastAsia" w:cs="Times New Roman"/>
          <w:color w:val="auto"/>
          <w:highlight w:val="none"/>
          <w:lang w:eastAsia="zh-CN"/>
        </w:rPr>
        <w:t>”</w:t>
      </w:r>
      <w:r>
        <w:rPr>
          <w:rFonts w:hint="default" w:ascii="Times New Roman" w:hAnsi="Times New Roman" w:eastAsia="宋体" w:cs="Times New Roman"/>
          <w:color w:val="auto"/>
          <w:highlight w:val="none"/>
        </w:rPr>
        <w:t>生态环境保护规划&gt;的通知》辽政办发〔2022〕16号；</w:t>
      </w:r>
    </w:p>
    <w:p>
      <w:pPr>
        <w:numPr>
          <w:ilvl w:val="0"/>
          <w:numId w:val="5"/>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《辽宁省矿产资源总体规划（2016-2020）》；</w:t>
      </w:r>
    </w:p>
    <w:p>
      <w:pPr>
        <w:numPr>
          <w:ilvl w:val="0"/>
          <w:numId w:val="5"/>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《辽宁省矿产资源总体规划（2016-2020）环境影响报告书》（环审[2017]110号）；</w:t>
      </w:r>
    </w:p>
    <w:p>
      <w:pPr>
        <w:numPr>
          <w:ilvl w:val="0"/>
          <w:numId w:val="5"/>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《辽宁省土地利用总体规划（2006-2020年）》；</w:t>
      </w:r>
    </w:p>
    <w:p>
      <w:pPr>
        <w:numPr>
          <w:ilvl w:val="0"/>
          <w:numId w:val="5"/>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《全国地下水污染防治规划（2011-2020年）》；</w:t>
      </w:r>
    </w:p>
    <w:p>
      <w:pPr>
        <w:numPr>
          <w:ilvl w:val="0"/>
          <w:numId w:val="5"/>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《鞍山市矿产资源总体规划（2016-2020年）》；</w:t>
      </w:r>
    </w:p>
    <w:p>
      <w:pPr>
        <w:numPr>
          <w:ilvl w:val="0"/>
          <w:numId w:val="5"/>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《岫岩满族自治县矿产资源总体规划（2016-2020年）》。</w:t>
      </w:r>
    </w:p>
    <w:p>
      <w:pPr>
        <w:pStyle w:val="5"/>
        <w:spacing w:before="120" w:after="120"/>
        <w:ind w:left="720" w:leftChars="0" w:firstLineChars="0"/>
        <w:rPr>
          <w:rFonts w:hint="default" w:ascii="Times New Roman" w:hAnsi="Times New Roman" w:eastAsia="宋体" w:cs="Times New Roman"/>
          <w:color w:val="auto"/>
          <w:highlight w:val="none"/>
        </w:rPr>
      </w:pPr>
      <w:bookmarkStart w:id="107" w:name="_Toc450826972"/>
      <w:bookmarkStart w:id="108" w:name="_Toc316410249"/>
      <w:bookmarkStart w:id="109" w:name="_Toc202324015"/>
      <w:bookmarkStart w:id="110" w:name="_Toc303671359"/>
      <w:bookmarkStart w:id="111" w:name="_Toc224304163"/>
      <w:bookmarkStart w:id="112" w:name="_Toc184000853"/>
      <w:bookmarkStart w:id="113" w:name="_Toc213731890"/>
      <w:bookmarkStart w:id="114" w:name="_Toc152323854"/>
      <w:bookmarkStart w:id="115" w:name="_Toc201641893"/>
      <w:bookmarkStart w:id="116" w:name="_Toc303671486"/>
      <w:r>
        <w:rPr>
          <w:rFonts w:hint="default" w:ascii="Times New Roman" w:hAnsi="Times New Roman" w:eastAsia="宋体" w:cs="Times New Roman"/>
          <w:color w:val="auto"/>
          <w:highlight w:val="none"/>
        </w:rPr>
        <w:t>技术规范</w:t>
      </w:r>
      <w:bookmarkEnd w:id="107"/>
      <w:bookmarkEnd w:id="108"/>
      <w:bookmarkEnd w:id="109"/>
      <w:bookmarkEnd w:id="110"/>
      <w:bookmarkEnd w:id="111"/>
      <w:bookmarkEnd w:id="112"/>
      <w:bookmarkEnd w:id="113"/>
      <w:bookmarkEnd w:id="114"/>
      <w:bookmarkEnd w:id="115"/>
      <w:bookmarkEnd w:id="116"/>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《建设项目环境影响评价技术导则</w:t>
      </w:r>
      <w:r>
        <w:rPr>
          <w:rFonts w:hint="eastAsia" w:cs="Times New Roman"/>
          <w:color w:val="auto"/>
          <w:highlight w:val="none"/>
          <w:lang w:eastAsia="zh-CN"/>
        </w:rPr>
        <w:t>—</w:t>
      </w:r>
      <w:r>
        <w:rPr>
          <w:rFonts w:hint="default" w:ascii="Times New Roman" w:hAnsi="Times New Roman" w:eastAsia="宋体" w:cs="Times New Roman"/>
          <w:color w:val="auto"/>
          <w:highlight w:val="none"/>
        </w:rPr>
        <w:t>总纲》（HJ2.1-2016）；</w:t>
      </w:r>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w:t>
      </w:r>
      <w:r>
        <w:rPr>
          <w:rFonts w:hint="eastAsia" w:cs="Times New Roman"/>
          <w:color w:val="auto"/>
          <w:highlight w:val="none"/>
          <w:lang w:eastAsia="zh-CN"/>
        </w:rPr>
        <w:t>—</w:t>
      </w:r>
      <w:r>
        <w:rPr>
          <w:rFonts w:hint="default" w:ascii="Times New Roman" w:hAnsi="Times New Roman" w:eastAsia="宋体" w:cs="Times New Roman"/>
          <w:color w:val="auto"/>
          <w:highlight w:val="none"/>
        </w:rPr>
        <w:t>大气环境》（HJ2.2-2018）；</w:t>
      </w:r>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w:t>
      </w:r>
      <w:r>
        <w:rPr>
          <w:rFonts w:hint="eastAsia" w:cs="Times New Roman"/>
          <w:color w:val="auto"/>
          <w:highlight w:val="none"/>
          <w:lang w:eastAsia="zh-CN"/>
        </w:rPr>
        <w:t>—</w:t>
      </w:r>
      <w:r>
        <w:rPr>
          <w:rFonts w:hint="default" w:ascii="Times New Roman" w:hAnsi="Times New Roman" w:eastAsia="宋体" w:cs="Times New Roman"/>
          <w:color w:val="auto"/>
          <w:highlight w:val="none"/>
        </w:rPr>
        <w:t>地表水环境》（HJ2.3-2018）；</w:t>
      </w:r>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w:t>
      </w:r>
      <w:r>
        <w:rPr>
          <w:rFonts w:hint="eastAsia" w:cs="Times New Roman"/>
          <w:color w:val="auto"/>
          <w:highlight w:val="none"/>
          <w:lang w:eastAsia="zh-CN"/>
        </w:rPr>
        <w:t>—</w:t>
      </w:r>
      <w:r>
        <w:rPr>
          <w:rFonts w:hint="default" w:ascii="Times New Roman" w:hAnsi="Times New Roman" w:eastAsia="宋体" w:cs="Times New Roman"/>
          <w:color w:val="auto"/>
          <w:highlight w:val="none"/>
        </w:rPr>
        <w:t>地下水环境》（HJ610-2016）；</w:t>
      </w:r>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w:t>
      </w:r>
      <w:r>
        <w:rPr>
          <w:rFonts w:hint="eastAsia" w:cs="Times New Roman"/>
          <w:color w:val="auto"/>
          <w:highlight w:val="none"/>
          <w:lang w:eastAsia="zh-CN"/>
        </w:rPr>
        <w:t>—</w:t>
      </w:r>
      <w:r>
        <w:rPr>
          <w:rFonts w:hint="default" w:ascii="Times New Roman" w:hAnsi="Times New Roman" w:eastAsia="宋体" w:cs="Times New Roman"/>
          <w:color w:val="auto"/>
          <w:highlight w:val="none"/>
        </w:rPr>
        <w:t>声环境》（HJ2.4-20</w:t>
      </w:r>
      <w:r>
        <w:rPr>
          <w:rFonts w:hint="default" w:ascii="Times New Roman" w:hAnsi="Times New Roman" w:eastAsia="宋体" w:cs="Times New Roman"/>
          <w:color w:val="auto"/>
          <w:highlight w:val="none"/>
          <w:lang w:val="en-US" w:eastAsia="zh-CN"/>
        </w:rPr>
        <w:t>21</w:t>
      </w:r>
      <w:r>
        <w:rPr>
          <w:rFonts w:hint="default" w:ascii="Times New Roman" w:hAnsi="Times New Roman" w:eastAsia="宋体" w:cs="Times New Roman"/>
          <w:color w:val="auto"/>
          <w:highlight w:val="none"/>
        </w:rPr>
        <w:t>）；</w:t>
      </w:r>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w:t>
      </w:r>
      <w:r>
        <w:rPr>
          <w:rFonts w:hint="eastAsia" w:cs="Times New Roman"/>
          <w:color w:val="auto"/>
          <w:highlight w:val="none"/>
          <w:lang w:eastAsia="zh-CN"/>
        </w:rPr>
        <w:t>—</w:t>
      </w:r>
      <w:r>
        <w:rPr>
          <w:rFonts w:hint="default" w:ascii="Times New Roman" w:hAnsi="Times New Roman" w:eastAsia="宋体" w:cs="Times New Roman"/>
          <w:color w:val="auto"/>
          <w:highlight w:val="none"/>
        </w:rPr>
        <w:t>生态影响》（HJ19-20</w:t>
      </w:r>
      <w:r>
        <w:rPr>
          <w:rFonts w:hint="default"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rPr>
        <w:t>）；</w:t>
      </w:r>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《建设项目环境风险评价技术导则》</w:t>
      </w:r>
      <w:bookmarkStart w:id="117" w:name="OLE_LINK7"/>
      <w:bookmarkStart w:id="118" w:name="OLE_LINK8"/>
      <w:r>
        <w:rPr>
          <w:rFonts w:hint="default" w:ascii="Times New Roman" w:hAnsi="Times New Roman" w:eastAsia="宋体" w:cs="Times New Roman"/>
          <w:color w:val="auto"/>
          <w:highlight w:val="none"/>
        </w:rPr>
        <w:t>（HJ169-20</w:t>
      </w:r>
      <w:bookmarkEnd w:id="117"/>
      <w:bookmarkEnd w:id="118"/>
      <w:r>
        <w:rPr>
          <w:rFonts w:hint="default" w:ascii="Times New Roman" w:hAnsi="Times New Roman" w:eastAsia="宋体" w:cs="Times New Roman"/>
          <w:color w:val="auto"/>
          <w:highlight w:val="none"/>
        </w:rPr>
        <w:t>18）；</w:t>
      </w:r>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w:t>
      </w:r>
      <w:r>
        <w:rPr>
          <w:rFonts w:hint="eastAsia" w:cs="Times New Roman"/>
          <w:color w:val="auto"/>
          <w:highlight w:val="none"/>
          <w:lang w:eastAsia="zh-CN"/>
        </w:rPr>
        <w:t>—</w:t>
      </w:r>
      <w:r>
        <w:rPr>
          <w:rFonts w:hint="default" w:ascii="Times New Roman" w:hAnsi="Times New Roman" w:eastAsia="宋体" w:cs="Times New Roman"/>
          <w:color w:val="auto"/>
          <w:highlight w:val="none"/>
        </w:rPr>
        <w:t>土壤环境》HJ964-2018；</w:t>
      </w:r>
    </w:p>
    <w:p>
      <w:pPr>
        <w:numPr>
          <w:ilvl w:val="0"/>
          <w:numId w:val="6"/>
        </w:num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《矿山生态环境保护与恢复治理技术规范》（试行）HJ651-2013；</w:t>
      </w:r>
    </w:p>
    <w:p>
      <w:pPr>
        <w:numPr>
          <w:ilvl w:val="0"/>
          <w:numId w:val="6"/>
        </w:numPr>
        <w:ind w:firstLine="480" w:firstLineChars="0"/>
        <w:rPr>
          <w:rFonts w:hint="default" w:ascii="Times New Roman" w:hAnsi="Times New Roman" w:eastAsia="宋体" w:cs="Times New Roman"/>
          <w:snapToGrid w:val="0"/>
          <w:color w:val="auto"/>
          <w:highlight w:val="none"/>
        </w:rPr>
      </w:pPr>
      <w:bookmarkStart w:id="119" w:name="_Toc224304164"/>
      <w:bookmarkStart w:id="120" w:name="_Toc450826973"/>
      <w:bookmarkStart w:id="121" w:name="_Toc303671360"/>
      <w:bookmarkStart w:id="122" w:name="_Toc213731891"/>
      <w:bookmarkStart w:id="123" w:name="_Toc303671487"/>
      <w:bookmarkStart w:id="124" w:name="_Toc316410250"/>
      <w:r>
        <w:rPr>
          <w:rFonts w:hint="default" w:ascii="Times New Roman" w:hAnsi="Times New Roman" w:eastAsia="宋体" w:cs="Times New Roman"/>
          <w:snapToGrid w:val="0"/>
          <w:color w:val="auto"/>
          <w:highlight w:val="none"/>
        </w:rPr>
        <w:t>《固体废物鉴别标准通则》（GB34330-2017）；</w:t>
      </w:r>
    </w:p>
    <w:p>
      <w:pPr>
        <w:numPr>
          <w:ilvl w:val="0"/>
          <w:numId w:val="6"/>
        </w:numPr>
        <w:ind w:firstLine="480" w:firstLineChars="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《排污单位自行监测技术指南总则》（HJ819-2017</w:t>
      </w:r>
      <w:r>
        <w:rPr>
          <w:rFonts w:hint="default" w:ascii="Times New Roman" w:hAnsi="Times New Roman" w:eastAsia="宋体" w:cs="Times New Roman"/>
          <w:snapToGrid w:val="0"/>
          <w:color w:val="auto"/>
          <w:highlight w:val="none"/>
          <w:lang w:eastAsia="zh-CN"/>
        </w:rPr>
        <w:t>）；</w:t>
      </w:r>
    </w:p>
    <w:p>
      <w:pPr>
        <w:numPr>
          <w:ilvl w:val="0"/>
          <w:numId w:val="6"/>
        </w:numPr>
        <w:ind w:firstLine="480" w:firstLineChars="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lang w:eastAsia="zh-CN"/>
        </w:rPr>
        <w:t>《非金属矿行业绿色矿山建设规范》（DZ/T0312-2018）；</w:t>
      </w:r>
    </w:p>
    <w:p>
      <w:pPr>
        <w:numPr>
          <w:ilvl w:val="0"/>
          <w:numId w:val="6"/>
        </w:numPr>
        <w:ind w:firstLine="480" w:firstLineChars="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lang w:eastAsia="zh-CN"/>
        </w:rPr>
        <w:t>《一般工业固体废物贮存</w:t>
      </w:r>
      <w:r>
        <w:rPr>
          <w:rFonts w:hint="default" w:ascii="Times New Roman" w:hAnsi="Times New Roman" w:eastAsia="宋体" w:cs="Times New Roman"/>
          <w:snapToGrid w:val="0"/>
          <w:color w:val="auto"/>
          <w:highlight w:val="none"/>
          <w:lang w:val="en-US" w:eastAsia="zh-CN"/>
        </w:rPr>
        <w:t>和填埋</w:t>
      </w:r>
      <w:r>
        <w:rPr>
          <w:rFonts w:hint="default" w:ascii="Times New Roman" w:hAnsi="Times New Roman" w:eastAsia="宋体" w:cs="Times New Roman"/>
          <w:snapToGrid w:val="0"/>
          <w:color w:val="auto"/>
          <w:highlight w:val="none"/>
          <w:lang w:eastAsia="zh-CN"/>
        </w:rPr>
        <w:t>污染控制标准》（GB18599-20</w:t>
      </w:r>
      <w:r>
        <w:rPr>
          <w:rFonts w:hint="default" w:ascii="Times New Roman" w:hAnsi="Times New Roman" w:eastAsia="宋体" w:cs="Times New Roman"/>
          <w:snapToGrid w:val="0"/>
          <w:color w:val="auto"/>
          <w:highlight w:val="none"/>
          <w:lang w:val="en-US" w:eastAsia="zh-CN"/>
        </w:rPr>
        <w:t>20</w:t>
      </w:r>
      <w:r>
        <w:rPr>
          <w:rFonts w:hint="default" w:ascii="Times New Roman" w:hAnsi="Times New Roman" w:eastAsia="宋体" w:cs="Times New Roman"/>
          <w:snapToGrid w:val="0"/>
          <w:color w:val="auto"/>
          <w:highlight w:val="none"/>
          <w:lang w:eastAsia="zh-CN"/>
        </w:rPr>
        <w:t>）</w:t>
      </w:r>
      <w:r>
        <w:rPr>
          <w:rFonts w:hint="eastAsia" w:cs="Times New Roman"/>
          <w:snapToGrid w:val="0"/>
          <w:color w:val="auto"/>
          <w:highlight w:val="none"/>
          <w:lang w:eastAsia="zh-CN"/>
        </w:rPr>
        <w:t>；</w:t>
      </w:r>
    </w:p>
    <w:p>
      <w:pPr>
        <w:bidi w:val="0"/>
        <w:rPr>
          <w:rFonts w:hint="eastAsia"/>
          <w:color w:val="auto"/>
        </w:rPr>
      </w:pPr>
      <w:r>
        <w:rPr>
          <w:rFonts w:hint="eastAsia"/>
          <w:color w:val="auto"/>
        </w:rPr>
        <w:t>（</w:t>
      </w:r>
      <w:r>
        <w:rPr>
          <w:rFonts w:hint="eastAsia"/>
          <w:color w:val="auto"/>
          <w:lang w:val="en-US" w:eastAsia="zh-CN"/>
        </w:rPr>
        <w:t>14</w:t>
      </w:r>
      <w:r>
        <w:rPr>
          <w:rFonts w:hint="eastAsia"/>
          <w:color w:val="auto"/>
        </w:rPr>
        <w:t>）《生态环境状况评价技术规范》（HJ192-2015）；</w:t>
      </w:r>
    </w:p>
    <w:p>
      <w:pPr>
        <w:bidi w:val="0"/>
        <w:rPr>
          <w:rFonts w:hint="default"/>
          <w:color w:val="auto"/>
          <w:lang w:eastAsia="zh-CN"/>
        </w:rPr>
      </w:pPr>
      <w:r>
        <w:rPr>
          <w:rFonts w:hint="default"/>
          <w:color w:val="auto"/>
          <w:lang w:eastAsia="zh-CN"/>
        </w:rPr>
        <w:t>（1</w:t>
      </w:r>
      <w:r>
        <w:rPr>
          <w:rFonts w:hint="eastAsia"/>
          <w:color w:val="auto"/>
          <w:lang w:val="en-US" w:eastAsia="zh-CN"/>
        </w:rPr>
        <w:t>5</w:t>
      </w:r>
      <w:r>
        <w:rPr>
          <w:rFonts w:hint="default"/>
          <w:color w:val="auto"/>
          <w:lang w:eastAsia="zh-CN"/>
        </w:rPr>
        <w:t>）《建设项目危险废物环境影响评价指南》环境保护部公告2017年第43号，2017.10.1；</w:t>
      </w:r>
    </w:p>
    <w:p>
      <w:pPr>
        <w:bidi w:val="0"/>
        <w:rPr>
          <w:rFonts w:hint="default"/>
          <w:color w:val="auto"/>
          <w:lang w:eastAsia="zh-CN"/>
        </w:rPr>
      </w:pPr>
      <w:r>
        <w:rPr>
          <w:rFonts w:hint="default"/>
          <w:color w:val="auto"/>
          <w:lang w:eastAsia="zh-CN"/>
        </w:rPr>
        <w:t>（1</w:t>
      </w:r>
      <w:r>
        <w:rPr>
          <w:rFonts w:hint="eastAsia"/>
          <w:color w:val="auto"/>
          <w:lang w:val="en-US" w:eastAsia="zh-CN"/>
        </w:rPr>
        <w:t>6</w:t>
      </w:r>
      <w:r>
        <w:rPr>
          <w:rFonts w:hint="default"/>
          <w:color w:val="auto"/>
          <w:lang w:eastAsia="zh-CN"/>
        </w:rPr>
        <w:t>）《国家危险废物名录》（2021年1月1日起实施）；</w:t>
      </w:r>
    </w:p>
    <w:p>
      <w:pPr>
        <w:bidi w:val="0"/>
        <w:rPr>
          <w:rFonts w:hint="default"/>
          <w:color w:val="auto"/>
          <w:lang w:eastAsia="zh-CN"/>
        </w:rPr>
      </w:pPr>
      <w:r>
        <w:rPr>
          <w:rFonts w:hint="default"/>
          <w:color w:val="auto"/>
          <w:lang w:eastAsia="zh-CN"/>
        </w:rPr>
        <w:t>（1</w:t>
      </w:r>
      <w:r>
        <w:rPr>
          <w:rFonts w:hint="eastAsia"/>
          <w:color w:val="auto"/>
          <w:lang w:val="en-US" w:eastAsia="zh-CN"/>
        </w:rPr>
        <w:t>7</w:t>
      </w:r>
      <w:r>
        <w:rPr>
          <w:rFonts w:hint="default"/>
          <w:color w:val="auto"/>
          <w:lang w:eastAsia="zh-CN"/>
        </w:rPr>
        <w:t>）《排污许可证申请与核发技术规范总则》（HJ942—2018）；</w:t>
      </w:r>
    </w:p>
    <w:p>
      <w:pPr>
        <w:bidi w:val="0"/>
        <w:rPr>
          <w:rFonts w:hint="default"/>
          <w:color w:val="auto"/>
          <w:lang w:eastAsia="zh-CN"/>
        </w:rPr>
      </w:pPr>
      <w:r>
        <w:rPr>
          <w:rFonts w:hint="default"/>
          <w:color w:val="auto"/>
          <w:lang w:eastAsia="zh-CN"/>
        </w:rPr>
        <w:t>（1</w:t>
      </w:r>
      <w:r>
        <w:rPr>
          <w:rFonts w:hint="eastAsia"/>
          <w:color w:val="auto"/>
          <w:lang w:val="en-US" w:eastAsia="zh-CN"/>
        </w:rPr>
        <w:t>8</w:t>
      </w:r>
      <w:r>
        <w:rPr>
          <w:rFonts w:hint="default"/>
          <w:color w:val="auto"/>
          <w:lang w:eastAsia="zh-CN"/>
        </w:rPr>
        <w:t>）《污染源源强核算技术指南准则》（HJ884-2018）。</w:t>
      </w:r>
    </w:p>
    <w:p>
      <w:pPr>
        <w:pStyle w:val="5"/>
        <w:spacing w:before="120" w:after="120"/>
        <w:ind w:left="720" w:leftChars="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主要技术文件</w:t>
      </w:r>
      <w:bookmarkEnd w:id="119"/>
      <w:bookmarkEnd w:id="120"/>
      <w:bookmarkEnd w:id="121"/>
      <w:bookmarkEnd w:id="122"/>
      <w:bookmarkEnd w:id="123"/>
      <w:bookmarkEnd w:id="124"/>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（1）《岫岩满族自治县苏子沟镇大何家堡村钾长石矿矿产资源开发利用方案》，沈阳正道工程设计咨询有限公司，</w:t>
      </w:r>
      <w:r>
        <w:rPr>
          <w:rFonts w:hint="default" w:ascii="Times New Roman" w:hAnsi="Times New Roman" w:eastAsia="宋体" w:cs="Times New Roman"/>
          <w:color w:val="auto"/>
          <w:highlight w:val="none"/>
          <w:lang w:val="en-US" w:eastAsia="zh-CN"/>
        </w:rPr>
        <w:t>2021.10</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）建设单位提供的其他技术资料。</w:t>
      </w:r>
    </w:p>
    <w:p>
      <w:pPr>
        <w:pStyle w:val="4"/>
        <w:spacing w:before="120" w:after="120"/>
        <w:ind w:left="0" w:leftChars="0" w:firstLineChars="0"/>
        <w:rPr>
          <w:rFonts w:hint="default" w:ascii="Times New Roman" w:hAnsi="Times New Roman" w:eastAsia="宋体" w:cs="Times New Roman"/>
          <w:color w:val="auto"/>
          <w:highlight w:val="none"/>
        </w:rPr>
      </w:pPr>
      <w:bookmarkStart w:id="125" w:name="_Toc9389"/>
      <w:r>
        <w:rPr>
          <w:rFonts w:hint="default" w:ascii="Times New Roman" w:hAnsi="Times New Roman" w:eastAsia="宋体" w:cs="Times New Roman"/>
          <w:color w:val="auto"/>
          <w:highlight w:val="none"/>
        </w:rPr>
        <w:t>评价</w:t>
      </w:r>
      <w:r>
        <w:rPr>
          <w:rFonts w:hint="default" w:ascii="Times New Roman" w:hAnsi="Times New Roman" w:eastAsia="宋体" w:cs="Times New Roman"/>
          <w:color w:val="auto"/>
          <w:highlight w:val="none"/>
          <w:lang w:val="en-US" w:eastAsia="zh-CN"/>
        </w:rPr>
        <w:t>内容和重点</w:t>
      </w:r>
      <w:bookmarkEnd w:id="125"/>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本次评价内容的重点为生态环境影响评价、地下水环境影响评价及资源综合利用，通过本次评价回答以下几个问题：</w:t>
      </w:r>
    </w:p>
    <w:p>
      <w:pPr>
        <w:numPr>
          <w:ilvl w:val="0"/>
          <w:numId w:val="7"/>
        </w:numPr>
        <w:bidi w:val="0"/>
        <w:ind w:left="-2" w:leftChars="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根据历史遗留</w:t>
      </w:r>
      <w:r>
        <w:rPr>
          <w:rFonts w:hint="default" w:ascii="Times New Roman" w:hAnsi="Times New Roman" w:eastAsia="宋体" w:cs="Times New Roman"/>
          <w:color w:val="auto"/>
          <w:highlight w:val="none"/>
          <w:lang w:val="en-US" w:eastAsia="zh-CN"/>
        </w:rPr>
        <w:t>露天采坑</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排岩场分布及</w:t>
      </w:r>
      <w:r>
        <w:rPr>
          <w:rFonts w:hint="default" w:ascii="Times New Roman" w:hAnsi="Times New Roman" w:eastAsia="宋体" w:cs="Times New Roman"/>
          <w:color w:val="auto"/>
          <w:highlight w:val="none"/>
        </w:rPr>
        <w:t>影响现状，结合</w:t>
      </w:r>
      <w:r>
        <w:rPr>
          <w:rFonts w:hint="default" w:ascii="Times New Roman" w:hAnsi="Times New Roman" w:eastAsia="宋体" w:cs="Times New Roman"/>
          <w:color w:val="auto"/>
          <w:highlight w:val="none"/>
          <w:lang w:val="en-US" w:eastAsia="zh-CN"/>
        </w:rPr>
        <w:t>现有</w:t>
      </w:r>
      <w:r>
        <w:rPr>
          <w:rFonts w:hint="default" w:ascii="Times New Roman" w:hAnsi="Times New Roman" w:eastAsia="宋体" w:cs="Times New Roman"/>
          <w:color w:val="auto"/>
          <w:highlight w:val="none"/>
        </w:rPr>
        <w:t>开采方案，评价</w:t>
      </w: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露天开采挖损、排土占地对现有生态破坏的恢复治理及生态环境的破坏程度，提出生态环境恢复重建方案；</w:t>
      </w:r>
    </w:p>
    <w:p>
      <w:pPr>
        <w:numPr>
          <w:ilvl w:val="0"/>
          <w:numId w:val="7"/>
        </w:numPr>
        <w:bidi w:val="0"/>
        <w:ind w:left="-2" w:leftChars="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分析露天</w:t>
      </w:r>
      <w:r>
        <w:rPr>
          <w:rFonts w:hint="eastAsia" w:cs="Times New Roman"/>
          <w:color w:val="auto"/>
          <w:highlight w:val="none"/>
          <w:lang w:val="en-US" w:eastAsia="zh-CN"/>
        </w:rPr>
        <w:t>开采及地下开采</w:t>
      </w:r>
      <w:r>
        <w:rPr>
          <w:rFonts w:hint="default" w:ascii="Times New Roman" w:hAnsi="Times New Roman" w:eastAsia="宋体" w:cs="Times New Roman"/>
          <w:color w:val="auto"/>
          <w:highlight w:val="none"/>
        </w:rPr>
        <w:t>地表沉陷引起的生态破坏</w:t>
      </w:r>
      <w:r>
        <w:rPr>
          <w:rFonts w:hint="eastAsia" w:cs="Times New Roman"/>
          <w:color w:val="auto"/>
          <w:highlight w:val="none"/>
          <w:lang w:val="en-US" w:eastAsia="zh-CN"/>
        </w:rPr>
        <w:t>对生态环境的影响，并提出生态恢复综合整治计划的可行性；</w:t>
      </w:r>
      <w:r>
        <w:rPr>
          <w:rFonts w:hint="default" w:ascii="Times New Roman" w:hAnsi="Times New Roman" w:eastAsia="宋体" w:cs="Times New Roman"/>
          <w:color w:val="auto"/>
          <w:highlight w:val="none"/>
          <w:lang w:val="en-US" w:eastAsia="zh-CN"/>
        </w:rPr>
        <w:t>长石</w:t>
      </w:r>
      <w:r>
        <w:rPr>
          <w:rFonts w:hint="default" w:ascii="Times New Roman" w:hAnsi="Times New Roman" w:eastAsia="宋体" w:cs="Times New Roman"/>
          <w:color w:val="auto"/>
          <w:highlight w:val="none"/>
        </w:rPr>
        <w:t>开采对</w:t>
      </w:r>
      <w:r>
        <w:rPr>
          <w:rFonts w:hint="default" w:ascii="Times New Roman" w:hAnsi="Times New Roman" w:eastAsia="宋体" w:cs="Times New Roman"/>
          <w:color w:val="auto"/>
          <w:highlight w:val="none"/>
          <w:lang w:val="en-US" w:eastAsia="zh-CN"/>
        </w:rPr>
        <w:t>矿区</w:t>
      </w:r>
      <w:r>
        <w:rPr>
          <w:rFonts w:hint="default" w:ascii="Times New Roman" w:hAnsi="Times New Roman" w:eastAsia="宋体" w:cs="Times New Roman"/>
          <w:color w:val="auto"/>
          <w:highlight w:val="none"/>
        </w:rPr>
        <w:t>范围内地下水各含水层的环境影响，并提出相应的资源保护措施和</w:t>
      </w:r>
      <w:r>
        <w:rPr>
          <w:rFonts w:hint="default" w:ascii="Times New Roman" w:hAnsi="Times New Roman" w:eastAsia="宋体" w:cs="Times New Roman"/>
          <w:color w:val="auto"/>
          <w:highlight w:val="none"/>
          <w:lang w:val="en-US" w:eastAsia="zh-CN"/>
        </w:rPr>
        <w:t>矿井涌水</w:t>
      </w:r>
      <w:r>
        <w:rPr>
          <w:rFonts w:hint="default" w:ascii="Times New Roman" w:hAnsi="Times New Roman" w:eastAsia="宋体" w:cs="Times New Roman"/>
          <w:color w:val="auto"/>
          <w:highlight w:val="none"/>
        </w:rPr>
        <w:t>综合利用方案；</w:t>
      </w:r>
    </w:p>
    <w:p>
      <w:pPr>
        <w:numPr>
          <w:ilvl w:val="0"/>
          <w:numId w:val="7"/>
        </w:numPr>
        <w:bidi w:val="0"/>
        <w:ind w:left="-2" w:leftChars="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对项目建设和生产过程中各类污染物的排放对周围大气、水、土壤、声环境的影响进行预测和评价，对设计提出的各项污染防治措施及综合利用方案进行可行性论证，并进行优化。</w:t>
      </w:r>
    </w:p>
    <w:p>
      <w:pPr>
        <w:pStyle w:val="4"/>
        <w:spacing w:before="120" w:after="120"/>
        <w:ind w:left="0" w:leftChars="0" w:firstLineChars="0"/>
        <w:rPr>
          <w:rFonts w:hint="default" w:ascii="Times New Roman" w:hAnsi="Times New Roman" w:eastAsia="宋体" w:cs="Times New Roman"/>
          <w:color w:val="auto"/>
          <w:highlight w:val="none"/>
        </w:rPr>
      </w:pPr>
      <w:bookmarkStart w:id="126" w:name="_Toc15376169"/>
      <w:bookmarkStart w:id="127" w:name="_Toc21032"/>
      <w:r>
        <w:rPr>
          <w:rFonts w:hint="default" w:ascii="Times New Roman" w:hAnsi="Times New Roman" w:eastAsia="宋体" w:cs="Times New Roman"/>
          <w:color w:val="auto"/>
          <w:highlight w:val="none"/>
        </w:rPr>
        <w:t>环境影响识别及评价因子筛选</w:t>
      </w:r>
      <w:bookmarkEnd w:id="126"/>
      <w:bookmarkEnd w:id="127"/>
    </w:p>
    <w:p>
      <w:pPr>
        <w:pStyle w:val="5"/>
        <w:bidi w:val="0"/>
        <w:rPr>
          <w:rFonts w:hint="default"/>
          <w:color w:val="auto"/>
        </w:rPr>
      </w:pPr>
      <w:r>
        <w:rPr>
          <w:rFonts w:hint="default"/>
          <w:color w:val="auto"/>
        </w:rPr>
        <w:t>环境影响识别</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确定本项目的主要环境影响并突出评级重点，根据建设项目的性质、内容及规模，采用矩阵识别法对项目产生的环境影响因素进行识别，结果见表1</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3-1。</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表1.3-1建设项目环境影响识别</w:t>
      </w:r>
    </w:p>
    <w:tbl>
      <w:tblPr>
        <w:tblStyle w:val="4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218"/>
        <w:gridCol w:w="521"/>
        <w:gridCol w:w="519"/>
        <w:gridCol w:w="519"/>
        <w:gridCol w:w="525"/>
        <w:gridCol w:w="519"/>
        <w:gridCol w:w="518"/>
        <w:gridCol w:w="519"/>
        <w:gridCol w:w="591"/>
        <w:gridCol w:w="596"/>
        <w:gridCol w:w="538"/>
        <w:gridCol w:w="550"/>
        <w:gridCol w:w="592"/>
        <w:gridCol w:w="6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5" w:hRule="exact"/>
          <w:jc w:val="center"/>
        </w:trPr>
        <w:tc>
          <w:tcPr>
            <w:tcW w:w="1087" w:type="pct"/>
            <w:gridSpan w:val="2"/>
            <w:vMerge w:val="restart"/>
            <w:tcBorders>
              <w:tl2br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影响行为</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环境要素</w:t>
            </w:r>
          </w:p>
        </w:tc>
        <w:tc>
          <w:tcPr>
            <w:tcW w:w="1144"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基建期</w:t>
            </w:r>
          </w:p>
        </w:tc>
        <w:tc>
          <w:tcPr>
            <w:tcW w:w="2102" w:type="pct"/>
            <w:gridSpan w:val="7"/>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营运期</w:t>
            </w:r>
          </w:p>
        </w:tc>
        <w:tc>
          <w:tcPr>
            <w:tcW w:w="666"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退役期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1" w:hRule="exact"/>
          <w:jc w:val="center"/>
        </w:trPr>
        <w:tc>
          <w:tcPr>
            <w:tcW w:w="1087"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场地开拓</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道路修建</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厂房建设</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员工生活</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矿石开采</w:t>
            </w:r>
          </w:p>
        </w:tc>
        <w:tc>
          <w:tcPr>
            <w:tcW w:w="2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井下排风</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运输</w:t>
            </w:r>
          </w:p>
        </w:tc>
        <w:tc>
          <w:tcPr>
            <w:tcW w:w="3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涌水抽排</w:t>
            </w:r>
          </w:p>
        </w:tc>
        <w:tc>
          <w:tcPr>
            <w:tcW w:w="3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险</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w:t>
            </w: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置</w:t>
            </w:r>
          </w:p>
        </w:tc>
        <w:tc>
          <w:tcPr>
            <w:tcW w:w="2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员工生活</w:t>
            </w:r>
          </w:p>
        </w:tc>
        <w:tc>
          <w:tcPr>
            <w:tcW w:w="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采坑及裸地</w:t>
            </w:r>
          </w:p>
        </w:tc>
        <w:tc>
          <w:tcPr>
            <w:tcW w:w="3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exact"/>
          <w:jc w:val="center"/>
        </w:trPr>
        <w:tc>
          <w:tcPr>
            <w:tcW w:w="41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自然环境</w:t>
            </w:r>
          </w:p>
        </w:tc>
        <w:tc>
          <w:tcPr>
            <w:tcW w:w="6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3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exact"/>
          <w:jc w:val="center"/>
        </w:trPr>
        <w:tc>
          <w:tcPr>
            <w:tcW w:w="4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6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exact"/>
          <w:jc w:val="center"/>
        </w:trPr>
        <w:tc>
          <w:tcPr>
            <w:tcW w:w="4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6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3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exact"/>
          <w:jc w:val="center"/>
        </w:trPr>
        <w:tc>
          <w:tcPr>
            <w:tcW w:w="4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6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3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exact"/>
          <w:jc w:val="center"/>
        </w:trPr>
        <w:tc>
          <w:tcPr>
            <w:tcW w:w="4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6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生态环境</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3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exact"/>
          <w:jc w:val="center"/>
        </w:trPr>
        <w:tc>
          <w:tcPr>
            <w:tcW w:w="41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6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28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8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2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3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34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r>
    </w:tbl>
    <w:p>
      <w:pPr>
        <w:spacing w:line="240" w:lineRule="atLeast"/>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注：表中数字代表影响程度，空格代表基本无影响，1代表轻微影响，2代表中等影响，3代表影响较大。</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代表不利影响；</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代表有利影响。</w:t>
      </w:r>
    </w:p>
    <w:p>
      <w:pPr>
        <w:ind w:firstLine="480"/>
        <w:rPr>
          <w:rFonts w:hint="default" w:ascii="Times New Roman" w:hAnsi="Times New Roman" w:eastAsia="宋体" w:cs="Times New Roman"/>
          <w:color w:val="auto"/>
          <w:highlight w:val="none"/>
        </w:rPr>
      </w:pP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由表1</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3-1可见，</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、运营期的环境影响主要是对生态、地下水和大气的影响，对地表水、噪声不会产生明显影响。项目退役后，随着复垦工程的实施，本工程对自然环境的影响会逐步得到恢复。</w:t>
      </w:r>
    </w:p>
    <w:p>
      <w:pPr>
        <w:pStyle w:val="5"/>
        <w:bidi w:val="0"/>
        <w:rPr>
          <w:rFonts w:hint="default"/>
          <w:color w:val="auto"/>
        </w:rPr>
      </w:pPr>
      <w:r>
        <w:rPr>
          <w:rFonts w:hint="default"/>
          <w:color w:val="auto"/>
        </w:rPr>
        <w:t>评价因子筛选</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根据环境影响因素、污染物特征以及项目所在地的环境特点，确定各环境要素的评价因子见表1.3-2。</w:t>
      </w:r>
    </w:p>
    <w:p>
      <w:pPr>
        <w:autoSpaceDE w:val="0"/>
        <w:autoSpaceDN w:val="0"/>
        <w:spacing w:before="120" w:beforeLines="50" w:line="240" w:lineRule="atLeast"/>
        <w:ind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sz w:val="21"/>
          <w:szCs w:val="21"/>
          <w:highlight w:val="none"/>
        </w:rPr>
        <w:t>表1.3-2评价因子筛选一览表</w:t>
      </w:r>
    </w:p>
    <w:tbl>
      <w:tblPr>
        <w:tblStyle w:val="45"/>
        <w:tblW w:w="850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951"/>
        <w:gridCol w:w="1297"/>
        <w:gridCol w:w="62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环境要素</w:t>
            </w: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评价类型</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restar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z w:val="21"/>
                <w:szCs w:val="21"/>
                <w:highlight w:val="none"/>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continue"/>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restar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w:t>
            </w: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悬浮物、pH、硫化物、氯化物、石油类、氨氮、COD</w:t>
            </w:r>
            <w:r>
              <w:rPr>
                <w:rFonts w:hint="default" w:ascii="Times New Roman" w:hAnsi="Times New Roman" w:eastAsia="宋体" w:cs="Times New Roman"/>
                <w:color w:val="auto"/>
                <w:sz w:val="21"/>
                <w:szCs w:val="21"/>
                <w:highlight w:val="none"/>
                <w:lang w:val="en-US" w:eastAsia="zh-CN"/>
              </w:rPr>
              <w:t>c</w:t>
            </w:r>
            <w:r>
              <w:rPr>
                <w:rFonts w:hint="default" w:ascii="Times New Roman" w:hAnsi="Times New Roman" w:eastAsia="宋体" w:cs="Times New Roman"/>
                <w:color w:val="auto"/>
                <w:sz w:val="21"/>
                <w:szCs w:val="21"/>
                <w:highlight w:val="none"/>
              </w:rPr>
              <w:t>r、BOD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rPr>
              <w:t>、铁、铜、铅、</w:t>
            </w:r>
            <w:r>
              <w:rPr>
                <w:rFonts w:hint="default" w:ascii="Times New Roman" w:hAnsi="Times New Roman" w:eastAsia="宋体" w:cs="Times New Roman"/>
                <w:color w:val="auto"/>
                <w:sz w:val="21"/>
                <w:szCs w:val="21"/>
                <w:highlight w:val="none"/>
                <w:lang w:val="en-US" w:eastAsia="zh-CN"/>
              </w:rPr>
              <w:t>锌</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镉</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汞</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砷</w:t>
            </w:r>
            <w:r>
              <w:rPr>
                <w:rFonts w:hint="default" w:ascii="Times New Roman" w:hAnsi="Times New Roman" w:eastAsia="宋体" w:cs="Times New Roman"/>
                <w:color w:val="auto"/>
                <w:sz w:val="21"/>
                <w:szCs w:val="21"/>
                <w:highlight w:val="none"/>
              </w:rPr>
              <w:t>、氟化物、硝酸盐氮、亚硝酸盐氮、六价</w:t>
            </w:r>
            <w:r>
              <w:rPr>
                <w:rFonts w:hint="default" w:ascii="Times New Roman" w:hAnsi="Times New Roman" w:eastAsia="宋体" w:cs="Times New Roman"/>
                <w:color w:val="auto"/>
                <w:sz w:val="21"/>
                <w:szCs w:val="21"/>
                <w:highlight w:val="none"/>
                <w:lang w:val="en-US" w:eastAsia="zh-CN"/>
              </w:rPr>
              <w:t>铬</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continue"/>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restar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pH、氨氮、硝酸盐、亚硝酸盐、挥发性酚类、氰化物、砷、汞、铬（六价）、总硬度、铅、氟、镉、铁、锰、溶解性固体、硫酸盐、氯化物、总大肠杆菌、细菌总数、K</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、Ca</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、Mg</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、CO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、HCO</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、Cl</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4</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、锌、硫化物、悬浮物、耗氧量</w:t>
            </w:r>
            <w:r>
              <w:rPr>
                <w:rFonts w:hint="default" w:ascii="Times New Roman" w:hAnsi="Times New Roman" w:eastAsia="宋体" w:cs="Times New Roman"/>
                <w:color w:val="auto"/>
                <w:sz w:val="21"/>
                <w:szCs w:val="21"/>
                <w:highlight w:val="none"/>
                <w:lang w:eastAsia="zh-CN"/>
              </w:rPr>
              <w:t>、地下水水位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continue"/>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锰、COD、石油类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restar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6257" w:type="dxa"/>
            <w:vMerge w:val="restar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w:t>
            </w:r>
            <w:r>
              <w:rPr>
                <w:rFonts w:hint="default" w:ascii="Times New Roman" w:hAnsi="Times New Roman" w:eastAsia="宋体" w:cs="Times New Roman"/>
                <w:color w:val="auto"/>
                <w:sz w:val="21"/>
                <w:szCs w:val="21"/>
                <w:highlight w:val="none"/>
                <w:lang w:val="en-US" w:eastAsia="zh-CN"/>
              </w:rPr>
              <w:t>连续</w:t>
            </w:r>
            <w:r>
              <w:rPr>
                <w:rFonts w:hint="default" w:ascii="Times New Roman" w:hAnsi="Times New Roman" w:eastAsia="宋体" w:cs="Times New Roman"/>
                <w:color w:val="auto"/>
                <w:sz w:val="21"/>
                <w:szCs w:val="21"/>
                <w:highlight w:val="none"/>
              </w:rPr>
              <w:t>A声级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continue"/>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6257" w:type="dxa"/>
            <w:vMerge w:val="continue"/>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restar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土壤环境</w:t>
            </w: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铜、砷、铅、铬（六价）、镉、镍、汞、锌、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r>
              <w:rPr>
                <w:rFonts w:hint="default" w:ascii="Times New Roman" w:hAnsi="Times New Roman" w:eastAsia="宋体" w:cs="Times New Roman"/>
                <w:color w:val="auto"/>
                <w:sz w:val="21"/>
                <w:szCs w:val="21"/>
                <w:highlight w:val="none"/>
                <w:lang w:eastAsia="zh-CN"/>
              </w:rPr>
              <w:t>、pH及含盐量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continue"/>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625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restar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生态环境</w:t>
            </w: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6257" w:type="dxa"/>
            <w:tcBorders>
              <w:tl2br w:val="nil"/>
              <w:tr2bl w:val="nil"/>
            </w:tcBorders>
            <w:vAlign w:val="center"/>
          </w:tcPr>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1）土地利用：土地利用构成、分布、面积等；</w:t>
            </w:r>
          </w:p>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2）植被：包括植被类型、分布、生长情况等；</w:t>
            </w:r>
          </w:p>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3）动物：评价区主要野生动物种类、珍稀物种及分布情况等；</w:t>
            </w:r>
          </w:p>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4）土壤：土壤类型、分布情况等；</w:t>
            </w:r>
          </w:p>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5）土壤侵蚀：土壤侵蚀类型、侵蚀程度、侵蚀模数等；</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jc w:val="center"/>
        </w:trPr>
        <w:tc>
          <w:tcPr>
            <w:tcW w:w="951" w:type="dxa"/>
            <w:vMerge w:val="continue"/>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97" w:type="dxa"/>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影响评价</w:t>
            </w:r>
          </w:p>
        </w:tc>
        <w:tc>
          <w:tcPr>
            <w:tcW w:w="6257" w:type="dxa"/>
            <w:tcBorders>
              <w:tl2br w:val="nil"/>
              <w:tr2bl w:val="nil"/>
            </w:tcBorders>
            <w:vAlign w:val="center"/>
          </w:tcPr>
          <w:p>
            <w:pPr>
              <w:numPr>
                <w:ilvl w:val="0"/>
                <w:numId w:val="8"/>
              </w:num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土地利用；</w:t>
            </w:r>
          </w:p>
          <w:p>
            <w:pPr>
              <w:numPr>
                <w:ilvl w:val="0"/>
                <w:numId w:val="8"/>
              </w:num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植被类型及盖度情况；</w:t>
            </w:r>
          </w:p>
          <w:p>
            <w:pPr>
              <w:numPr>
                <w:ilvl w:val="0"/>
                <w:numId w:val="8"/>
              </w:num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土壤侵蚀情况。</w:t>
            </w:r>
          </w:p>
        </w:tc>
      </w:tr>
    </w:tbl>
    <w:p>
      <w:pPr>
        <w:pStyle w:val="4"/>
        <w:spacing w:before="120" w:after="120"/>
        <w:ind w:left="0" w:leftChars="0" w:firstLineChars="0"/>
        <w:rPr>
          <w:rFonts w:hint="default" w:ascii="Times New Roman" w:hAnsi="Times New Roman" w:eastAsia="宋体" w:cs="Times New Roman"/>
          <w:color w:val="auto"/>
          <w:highlight w:val="none"/>
        </w:rPr>
      </w:pPr>
      <w:bookmarkStart w:id="128" w:name="_Toc15376170"/>
      <w:bookmarkStart w:id="129" w:name="_Toc32180"/>
      <w:r>
        <w:rPr>
          <w:rFonts w:hint="default" w:ascii="Times New Roman" w:hAnsi="Times New Roman" w:eastAsia="宋体" w:cs="Times New Roman"/>
          <w:color w:val="auto"/>
          <w:highlight w:val="none"/>
        </w:rPr>
        <w:t>环境功能区与评价标准</w:t>
      </w:r>
      <w:bookmarkEnd w:id="128"/>
      <w:bookmarkEnd w:id="129"/>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环境功能区划</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（1）地表水环境功能区划</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本项目评价区周边有</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一条地表水，根据《辽宁省主要水系地表水环境功能区划》，</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为II类水体。</w:t>
      </w:r>
    </w:p>
    <w:p>
      <w:pPr>
        <w:pStyle w:val="282"/>
        <w:spacing w:line="360" w:lineRule="auto"/>
        <w:ind w:firstLine="480" w:firstLineChars="200"/>
        <w:rPr>
          <w:rFonts w:hint="default" w:ascii="Times New Roman" w:hAnsi="Times New Roman" w:eastAsia="宋体" w:cs="Times New Roman"/>
          <w:color w:val="auto"/>
          <w:kern w:val="2"/>
          <w:sz w:val="24"/>
          <w:szCs w:val="20"/>
          <w:highlight w:val="none"/>
        </w:rPr>
      </w:pPr>
      <w:r>
        <w:rPr>
          <w:rFonts w:hint="default" w:ascii="Times New Roman" w:hAnsi="Times New Roman" w:eastAsia="宋体" w:cs="Times New Roman"/>
          <w:color w:val="auto"/>
          <w:kern w:val="2"/>
          <w:sz w:val="24"/>
          <w:szCs w:val="20"/>
          <w:highlight w:val="none"/>
        </w:rPr>
        <w:t>（2）地下水环境功能区划</w:t>
      </w:r>
    </w:p>
    <w:p>
      <w:pPr>
        <w:pStyle w:val="282"/>
        <w:spacing w:line="360" w:lineRule="auto"/>
        <w:ind w:firstLine="480" w:firstLineChars="200"/>
        <w:rPr>
          <w:rFonts w:hint="default" w:ascii="Times New Roman" w:hAnsi="Times New Roman" w:eastAsia="宋体" w:cs="Times New Roman"/>
          <w:color w:val="auto"/>
          <w:kern w:val="2"/>
          <w:sz w:val="24"/>
          <w:szCs w:val="20"/>
          <w:highlight w:val="none"/>
        </w:rPr>
      </w:pPr>
      <w:r>
        <w:rPr>
          <w:rFonts w:hint="default" w:ascii="Times New Roman" w:hAnsi="Times New Roman" w:eastAsia="宋体" w:cs="Times New Roman"/>
          <w:color w:val="auto"/>
          <w:kern w:val="2"/>
          <w:sz w:val="24"/>
          <w:szCs w:val="20"/>
          <w:highlight w:val="none"/>
        </w:rPr>
        <w:t>该区域未进行地下水环境功能区划。根据《地下水质量标准》（GB/T14848-2017）的分类要求，以人体健康基准值为依据，项目所在区的地下水执行Ⅲ类标准。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（3）大气环境功能区划</w:t>
      </w:r>
    </w:p>
    <w:p>
      <w:pPr>
        <w:pStyle w:val="74"/>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根据《环境空气质量功能区划分原则与技术方法》（HJ14-1996）和《环境空气质量标准》（GB3095-2012）中环境空气质量功能区的分类，</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rPr>
        <w:t>矿区范围位于环境空气二类功能区。</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（3）声环境功能区划</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位于农村</w:t>
      </w:r>
      <w:r>
        <w:rPr>
          <w:rFonts w:hint="default"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rPr>
        <w:t>《声环境质量标准》（GB3096-2008）</w:t>
      </w:r>
      <w:r>
        <w:rPr>
          <w:rFonts w:hint="default" w:ascii="Times New Roman" w:hAnsi="Times New Roman" w:eastAsia="宋体" w:cs="Times New Roman"/>
          <w:color w:val="auto"/>
          <w:highlight w:val="none"/>
          <w:lang w:val="en-US" w:eastAsia="zh-CN"/>
        </w:rPr>
        <w:t>中</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7.2乡村声环境功能确定：村庄原则上执行1类声功能区要求</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，因此本项目声环境功能区为1类。</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（4）生态功能区划</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本项目位于《辽宁省生态功能区划》划分的</w:t>
      </w:r>
      <w:r>
        <w:rPr>
          <w:rFonts w:hint="eastAsia" w:cs="Times New Roman"/>
          <w:color w:val="auto"/>
          <w:highlight w:val="none"/>
          <w:lang w:eastAsia="zh-CN"/>
        </w:rPr>
        <w:t>“</w:t>
      </w:r>
      <w:r>
        <w:rPr>
          <w:rFonts w:hint="default" w:ascii="Times New Roman" w:hAnsi="Times New Roman" w:eastAsia="宋体" w:cs="Times New Roman"/>
          <w:color w:val="auto"/>
          <w:highlight w:val="none"/>
        </w:rPr>
        <w:t>Ⅰ辽东山地丘陵温带湿润、半湿润生态区</w:t>
      </w:r>
      <w:r>
        <w:rPr>
          <w:rFonts w:hint="eastAsia" w:cs="Times New Roman"/>
          <w:color w:val="auto"/>
          <w:highlight w:val="none"/>
          <w:lang w:eastAsia="zh-CN"/>
        </w:rPr>
        <w:t>”</w:t>
      </w:r>
      <w:r>
        <w:rPr>
          <w:rFonts w:hint="default" w:ascii="Times New Roman" w:hAnsi="Times New Roman" w:eastAsia="宋体" w:cs="Times New Roman"/>
          <w:color w:val="auto"/>
          <w:highlight w:val="none"/>
        </w:rPr>
        <w:t>中</w:t>
      </w:r>
      <w:r>
        <w:rPr>
          <w:rFonts w:hint="eastAsia" w:cs="Times New Roman"/>
          <w:color w:val="auto"/>
          <w:highlight w:val="none"/>
          <w:lang w:eastAsia="zh-CN"/>
        </w:rPr>
        <w:t>“</w:t>
      </w:r>
      <w:r>
        <w:rPr>
          <w:rFonts w:hint="default" w:ascii="Times New Roman" w:hAnsi="Times New Roman" w:eastAsia="宋体" w:cs="Times New Roman"/>
          <w:color w:val="auto"/>
          <w:highlight w:val="none"/>
        </w:rPr>
        <w:t>Ⅰ1辽东山地针阔混交林生态亚区</w:t>
      </w:r>
      <w:r>
        <w:rPr>
          <w:rFonts w:hint="eastAsia" w:cs="Times New Roman"/>
          <w:color w:val="auto"/>
          <w:highlight w:val="none"/>
          <w:lang w:eastAsia="zh-CN"/>
        </w:rPr>
        <w:t>”</w:t>
      </w:r>
      <w:r>
        <w:rPr>
          <w:rFonts w:hint="default" w:ascii="Times New Roman" w:hAnsi="Times New Roman" w:eastAsia="宋体" w:cs="Times New Roman"/>
          <w:color w:val="auto"/>
          <w:highlight w:val="none"/>
        </w:rPr>
        <w:t>的</w:t>
      </w:r>
      <w:r>
        <w:rPr>
          <w:rFonts w:hint="eastAsia" w:cs="Times New Roman"/>
          <w:color w:val="auto"/>
          <w:highlight w:val="none"/>
          <w:lang w:eastAsia="zh-CN"/>
        </w:rPr>
        <w:t>“</w:t>
      </w:r>
      <w:r>
        <w:rPr>
          <w:rFonts w:hint="default" w:ascii="Times New Roman" w:hAnsi="Times New Roman" w:eastAsia="宋体" w:cs="Times New Roman"/>
          <w:color w:val="auto"/>
          <w:highlight w:val="none"/>
        </w:rPr>
        <w:t>Ⅰ1-4宽甸—凤城—岫岩泥石流防治与水源涵养生态功能区</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环境质量标准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（1）环境空气质量标准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评价区属于二类功能区，区内环境空气执行国家《环境空气质量标准》（GB3095-2012）二级标准，具体标准值见表1.4-</w:t>
      </w:r>
      <w:bookmarkStart w:id="130" w:name="_Toc4433"/>
      <w:bookmarkStart w:id="131" w:name="_Toc29866"/>
      <w:r>
        <w:rPr>
          <w:rFonts w:hint="default" w:ascii="Times New Roman" w:hAnsi="Times New Roman" w:eastAsia="宋体" w:cs="Times New Roman"/>
          <w:color w:val="auto"/>
          <w:highlight w:val="none"/>
        </w:rPr>
        <w:t>1。</w:t>
      </w:r>
    </w:p>
    <w:bookmarkEnd w:id="130"/>
    <w:bookmarkEnd w:id="131"/>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vertAlign w:val="superscript"/>
        </w:rPr>
      </w:pPr>
      <w:r>
        <w:rPr>
          <w:rFonts w:hint="default" w:ascii="Times New Roman" w:hAnsi="Times New Roman" w:eastAsia="宋体" w:cs="Times New Roman"/>
          <w:b/>
          <w:color w:val="auto"/>
          <w:sz w:val="21"/>
          <w:szCs w:val="21"/>
          <w:highlight w:val="none"/>
        </w:rPr>
        <w:t>表1.4-1环境空气质量二级标准单位：μg/m</w:t>
      </w:r>
      <w:r>
        <w:rPr>
          <w:rFonts w:hint="default" w:ascii="Times New Roman" w:hAnsi="Times New Roman" w:eastAsia="宋体" w:cs="Times New Roman"/>
          <w:b/>
          <w:color w:val="auto"/>
          <w:sz w:val="21"/>
          <w:szCs w:val="21"/>
          <w:highlight w:val="none"/>
          <w:vertAlign w:val="superscript"/>
        </w:rPr>
        <w:t>3</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1070"/>
        <w:gridCol w:w="1512"/>
        <w:gridCol w:w="2719"/>
        <w:gridCol w:w="21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889" w:type="pct"/>
            <w:vMerge w:val="restar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标准号</w:t>
            </w:r>
          </w:p>
        </w:tc>
        <w:tc>
          <w:tcPr>
            <w:tcW w:w="587" w:type="pct"/>
            <w:vMerge w:val="restar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污染物名称</w:t>
            </w:r>
          </w:p>
        </w:tc>
        <w:tc>
          <w:tcPr>
            <w:tcW w:w="3523" w:type="pct"/>
            <w:gridSpan w:val="3"/>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889" w:type="pct"/>
            <w:vMerge w:val="continue"/>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p>
        </w:tc>
        <w:tc>
          <w:tcPr>
            <w:tcW w:w="587" w:type="pct"/>
            <w:vMerge w:val="continue"/>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p>
        </w:tc>
        <w:tc>
          <w:tcPr>
            <w:tcW w:w="83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小时平均</w:t>
            </w:r>
          </w:p>
        </w:tc>
        <w:tc>
          <w:tcPr>
            <w:tcW w:w="1492"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日平均</w:t>
            </w:r>
          </w:p>
        </w:tc>
        <w:tc>
          <w:tcPr>
            <w:tcW w:w="120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年均值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889" w:type="pct"/>
            <w:vMerge w:val="restar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GB3095-2012</w:t>
            </w:r>
            <w:r>
              <w:rPr>
                <w:rFonts w:hint="default" w:ascii="Times New Roman" w:hAnsi="Times New Roman" w:eastAsia="宋体" w:cs="Times New Roman"/>
                <w:bCs/>
                <w:color w:val="auto"/>
                <w:sz w:val="21"/>
                <w:szCs w:val="21"/>
                <w:highlight w:val="none"/>
              </w:rPr>
              <w:t>二级</w:t>
            </w:r>
          </w:p>
        </w:tc>
        <w:tc>
          <w:tcPr>
            <w:tcW w:w="587"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NO</w:t>
            </w:r>
            <w:r>
              <w:rPr>
                <w:rFonts w:hint="default" w:ascii="Times New Roman" w:hAnsi="Times New Roman" w:eastAsia="宋体" w:cs="Times New Roman"/>
                <w:bCs/>
                <w:color w:val="auto"/>
                <w:sz w:val="21"/>
                <w:szCs w:val="21"/>
                <w:highlight w:val="none"/>
                <w:vertAlign w:val="subscript"/>
              </w:rPr>
              <w:t>2</w:t>
            </w:r>
          </w:p>
        </w:tc>
        <w:tc>
          <w:tcPr>
            <w:tcW w:w="83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200</w:t>
            </w:r>
          </w:p>
        </w:tc>
        <w:tc>
          <w:tcPr>
            <w:tcW w:w="1492"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80</w:t>
            </w:r>
          </w:p>
        </w:tc>
        <w:tc>
          <w:tcPr>
            <w:tcW w:w="120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889" w:type="pct"/>
            <w:vMerge w:val="continue"/>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p>
        </w:tc>
        <w:tc>
          <w:tcPr>
            <w:tcW w:w="587"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SO</w:t>
            </w:r>
            <w:r>
              <w:rPr>
                <w:rFonts w:hint="default" w:ascii="Times New Roman" w:hAnsi="Times New Roman" w:eastAsia="宋体" w:cs="Times New Roman"/>
                <w:bCs/>
                <w:color w:val="auto"/>
                <w:sz w:val="21"/>
                <w:szCs w:val="21"/>
                <w:highlight w:val="none"/>
                <w:vertAlign w:val="subscript"/>
              </w:rPr>
              <w:t>2</w:t>
            </w:r>
          </w:p>
        </w:tc>
        <w:tc>
          <w:tcPr>
            <w:tcW w:w="83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500</w:t>
            </w:r>
          </w:p>
        </w:tc>
        <w:tc>
          <w:tcPr>
            <w:tcW w:w="1492"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150</w:t>
            </w:r>
          </w:p>
        </w:tc>
        <w:tc>
          <w:tcPr>
            <w:tcW w:w="120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889" w:type="pct"/>
            <w:vMerge w:val="continue"/>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p>
        </w:tc>
        <w:tc>
          <w:tcPr>
            <w:tcW w:w="587"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PM</w:t>
            </w:r>
            <w:r>
              <w:rPr>
                <w:rFonts w:hint="default" w:ascii="Times New Roman" w:hAnsi="Times New Roman" w:eastAsia="宋体" w:cs="Times New Roman"/>
                <w:bCs/>
                <w:color w:val="auto"/>
                <w:sz w:val="21"/>
                <w:szCs w:val="21"/>
                <w:highlight w:val="none"/>
                <w:vertAlign w:val="subscript"/>
              </w:rPr>
              <w:t>10</w:t>
            </w:r>
          </w:p>
        </w:tc>
        <w:tc>
          <w:tcPr>
            <w:tcW w:w="83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c>
          <w:tcPr>
            <w:tcW w:w="1492"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150</w:t>
            </w:r>
          </w:p>
        </w:tc>
        <w:tc>
          <w:tcPr>
            <w:tcW w:w="120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2" w:hRule="atLeast"/>
          <w:jc w:val="center"/>
        </w:trPr>
        <w:tc>
          <w:tcPr>
            <w:tcW w:w="889" w:type="pct"/>
            <w:vMerge w:val="continue"/>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p>
        </w:tc>
        <w:tc>
          <w:tcPr>
            <w:tcW w:w="587"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PM</w:t>
            </w:r>
            <w:r>
              <w:rPr>
                <w:rFonts w:hint="default" w:ascii="Times New Roman" w:hAnsi="Times New Roman" w:eastAsia="宋体" w:cs="Times New Roman"/>
                <w:bCs/>
                <w:color w:val="auto"/>
                <w:sz w:val="21"/>
                <w:szCs w:val="21"/>
                <w:highlight w:val="none"/>
                <w:vertAlign w:val="subscript"/>
              </w:rPr>
              <w:t>2.5</w:t>
            </w:r>
          </w:p>
        </w:tc>
        <w:tc>
          <w:tcPr>
            <w:tcW w:w="83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c>
          <w:tcPr>
            <w:tcW w:w="1492"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75</w:t>
            </w:r>
          </w:p>
        </w:tc>
        <w:tc>
          <w:tcPr>
            <w:tcW w:w="120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889" w:type="pct"/>
            <w:vMerge w:val="continue"/>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p>
        </w:tc>
        <w:tc>
          <w:tcPr>
            <w:tcW w:w="587"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CO</w:t>
            </w:r>
          </w:p>
        </w:tc>
        <w:tc>
          <w:tcPr>
            <w:tcW w:w="83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10000</w:t>
            </w:r>
          </w:p>
        </w:tc>
        <w:tc>
          <w:tcPr>
            <w:tcW w:w="1492"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4000</w:t>
            </w:r>
          </w:p>
        </w:tc>
        <w:tc>
          <w:tcPr>
            <w:tcW w:w="120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889" w:type="pct"/>
            <w:vMerge w:val="continue"/>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p>
        </w:tc>
        <w:tc>
          <w:tcPr>
            <w:tcW w:w="587"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O</w:t>
            </w:r>
            <w:r>
              <w:rPr>
                <w:rFonts w:hint="default" w:ascii="Times New Roman" w:hAnsi="Times New Roman" w:eastAsia="宋体" w:cs="Times New Roman"/>
                <w:bCs/>
                <w:color w:val="auto"/>
                <w:sz w:val="21"/>
                <w:szCs w:val="21"/>
                <w:highlight w:val="none"/>
                <w:vertAlign w:val="subscript"/>
              </w:rPr>
              <w:t>3</w:t>
            </w:r>
          </w:p>
        </w:tc>
        <w:tc>
          <w:tcPr>
            <w:tcW w:w="83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200</w:t>
            </w:r>
          </w:p>
        </w:tc>
        <w:tc>
          <w:tcPr>
            <w:tcW w:w="1492"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160（日最大8小时平均）</w:t>
            </w:r>
          </w:p>
        </w:tc>
        <w:tc>
          <w:tcPr>
            <w:tcW w:w="120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889" w:type="pct"/>
            <w:vMerge w:val="continue"/>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p>
        </w:tc>
        <w:tc>
          <w:tcPr>
            <w:tcW w:w="587"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TSP</w:t>
            </w:r>
          </w:p>
        </w:tc>
        <w:tc>
          <w:tcPr>
            <w:tcW w:w="83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p>
        </w:tc>
        <w:tc>
          <w:tcPr>
            <w:tcW w:w="1492"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3</w:t>
            </w:r>
            <w:r>
              <w:rPr>
                <w:rFonts w:hint="default" w:ascii="Times New Roman" w:hAnsi="Times New Roman" w:eastAsia="宋体" w:cs="Times New Roman"/>
                <w:bCs/>
                <w:color w:val="auto"/>
                <w:sz w:val="21"/>
                <w:szCs w:val="21"/>
                <w:highlight w:val="none"/>
              </w:rPr>
              <w:t>00</w:t>
            </w:r>
          </w:p>
        </w:tc>
        <w:tc>
          <w:tcPr>
            <w:tcW w:w="1200" w:type="pct"/>
            <w:vAlign w:val="center"/>
          </w:tcPr>
          <w:p>
            <w:pPr>
              <w:spacing w:line="260" w:lineRule="exac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200</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（2）地表水</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牤牛河水环境质量</w:t>
      </w:r>
      <w:r>
        <w:rPr>
          <w:rFonts w:hint="default" w:ascii="Times New Roman" w:hAnsi="Times New Roman" w:eastAsia="宋体" w:cs="Times New Roman"/>
          <w:color w:val="auto"/>
          <w:highlight w:val="none"/>
        </w:rPr>
        <w:t>执行《地表水环境质量标准》（GB3838-2002）中Ⅱ类标准，标准限值见表1.4-2。</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表1.4-2地表水环境质量标准单位：除pH外，mg/L</w:t>
      </w:r>
    </w:p>
    <w:tbl>
      <w:tblPr>
        <w:tblStyle w:val="45"/>
        <w:tblW w:w="4997"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497"/>
        <w:gridCol w:w="1528"/>
        <w:gridCol w:w="1112"/>
        <w:gridCol w:w="1147"/>
        <w:gridCol w:w="1111"/>
        <w:gridCol w:w="1366"/>
        <w:gridCol w:w="135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1"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w:t>
            </w:r>
          </w:p>
        </w:tc>
        <w:tc>
          <w:tcPr>
            <w:tcW w:w="838"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pH</w:t>
            </w:r>
          </w:p>
        </w:tc>
        <w:tc>
          <w:tcPr>
            <w:tcW w:w="61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CODcr</w:t>
            </w:r>
          </w:p>
        </w:tc>
        <w:tc>
          <w:tcPr>
            <w:tcW w:w="62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NH</w:t>
            </w:r>
            <w:r>
              <w:rPr>
                <w:rFonts w:hint="default" w:ascii="Times New Roman" w:hAnsi="Times New Roman" w:eastAsia="宋体" w:cs="Times New Roman"/>
                <w:bCs/>
                <w:color w:val="auto"/>
                <w:sz w:val="21"/>
                <w:szCs w:val="21"/>
                <w:highlight w:val="none"/>
                <w:vertAlign w:val="subscript"/>
              </w:rPr>
              <w:t>3</w:t>
            </w:r>
            <w:r>
              <w:rPr>
                <w:rFonts w:hint="default" w:ascii="Times New Roman" w:hAnsi="Times New Roman" w:eastAsia="宋体" w:cs="Times New Roman"/>
                <w:bCs/>
                <w:color w:val="auto"/>
                <w:sz w:val="21"/>
                <w:szCs w:val="21"/>
                <w:highlight w:val="none"/>
              </w:rPr>
              <w:t>-N</w:t>
            </w:r>
          </w:p>
        </w:tc>
        <w:tc>
          <w:tcPr>
            <w:tcW w:w="60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氯</w:t>
            </w:r>
            <w:r>
              <w:rPr>
                <w:rFonts w:hint="default" w:ascii="Times New Roman" w:hAnsi="Times New Roman" w:eastAsia="宋体" w:cs="Times New Roman"/>
                <w:bCs/>
                <w:color w:val="auto"/>
                <w:sz w:val="21"/>
                <w:szCs w:val="21"/>
                <w:highlight w:val="none"/>
              </w:rPr>
              <w:t>化物</w:t>
            </w:r>
          </w:p>
        </w:tc>
        <w:tc>
          <w:tcPr>
            <w:tcW w:w="74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BOD</w:t>
            </w:r>
            <w:r>
              <w:rPr>
                <w:rFonts w:hint="default" w:ascii="Times New Roman" w:hAnsi="Times New Roman" w:eastAsia="宋体" w:cs="Times New Roman"/>
                <w:bCs/>
                <w:color w:val="auto"/>
                <w:sz w:val="21"/>
                <w:szCs w:val="21"/>
                <w:highlight w:val="none"/>
                <w:vertAlign w:val="subscript"/>
              </w:rPr>
              <w:t>5</w:t>
            </w:r>
          </w:p>
        </w:tc>
        <w:tc>
          <w:tcPr>
            <w:tcW w:w="74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石油类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1"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标准限值</w:t>
            </w:r>
          </w:p>
        </w:tc>
        <w:tc>
          <w:tcPr>
            <w:tcW w:w="838"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6~9</w:t>
            </w:r>
          </w:p>
        </w:tc>
        <w:tc>
          <w:tcPr>
            <w:tcW w:w="61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≤15</w:t>
            </w:r>
          </w:p>
        </w:tc>
        <w:tc>
          <w:tcPr>
            <w:tcW w:w="62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≤0.5</w:t>
            </w:r>
          </w:p>
        </w:tc>
        <w:tc>
          <w:tcPr>
            <w:tcW w:w="60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bCs/>
                <w:color w:val="auto"/>
                <w:sz w:val="21"/>
                <w:szCs w:val="21"/>
                <w:highlight w:val="none"/>
                <w:lang w:val="en-US" w:eastAsia="zh-CN"/>
              </w:rPr>
              <w:t>250</w:t>
            </w:r>
          </w:p>
        </w:tc>
        <w:tc>
          <w:tcPr>
            <w:tcW w:w="74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w:t>
            </w:r>
          </w:p>
        </w:tc>
        <w:tc>
          <w:tcPr>
            <w:tcW w:w="74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1"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w:t>
            </w:r>
          </w:p>
        </w:tc>
        <w:tc>
          <w:tcPr>
            <w:tcW w:w="838"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锌</w:t>
            </w:r>
          </w:p>
        </w:tc>
        <w:tc>
          <w:tcPr>
            <w:tcW w:w="61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六价铬</w:t>
            </w:r>
          </w:p>
        </w:tc>
        <w:tc>
          <w:tcPr>
            <w:tcW w:w="62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铅</w:t>
            </w:r>
          </w:p>
        </w:tc>
        <w:tc>
          <w:tcPr>
            <w:tcW w:w="60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镉</w:t>
            </w:r>
          </w:p>
        </w:tc>
        <w:tc>
          <w:tcPr>
            <w:tcW w:w="74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汞</w:t>
            </w:r>
          </w:p>
        </w:tc>
        <w:tc>
          <w:tcPr>
            <w:tcW w:w="74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砷</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1"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标准限值</w:t>
            </w:r>
          </w:p>
        </w:tc>
        <w:tc>
          <w:tcPr>
            <w:tcW w:w="838"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≤1.0</w:t>
            </w:r>
          </w:p>
        </w:tc>
        <w:tc>
          <w:tcPr>
            <w:tcW w:w="61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≤0.05</w:t>
            </w:r>
          </w:p>
        </w:tc>
        <w:tc>
          <w:tcPr>
            <w:tcW w:w="62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≤0.01</w:t>
            </w:r>
          </w:p>
        </w:tc>
        <w:tc>
          <w:tcPr>
            <w:tcW w:w="60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≤0.005</w:t>
            </w:r>
          </w:p>
        </w:tc>
        <w:tc>
          <w:tcPr>
            <w:tcW w:w="74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≤0.00005</w:t>
            </w:r>
          </w:p>
        </w:tc>
        <w:tc>
          <w:tcPr>
            <w:tcW w:w="74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≤0.</w:t>
            </w:r>
            <w:r>
              <w:rPr>
                <w:rFonts w:hint="default" w:ascii="Times New Roman" w:hAnsi="Times New Roman" w:eastAsia="宋体" w:cs="Times New Roman"/>
                <w:bCs/>
                <w:color w:val="auto"/>
                <w:sz w:val="21"/>
                <w:szCs w:val="21"/>
                <w:highlight w:val="none"/>
                <w:lang w:val="en-US" w:eastAsia="zh-CN"/>
              </w:rPr>
              <w:t>05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1"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w:t>
            </w:r>
          </w:p>
        </w:tc>
        <w:tc>
          <w:tcPr>
            <w:tcW w:w="838"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铁</w:t>
            </w:r>
          </w:p>
        </w:tc>
        <w:tc>
          <w:tcPr>
            <w:tcW w:w="61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氟化物</w:t>
            </w:r>
          </w:p>
        </w:tc>
        <w:tc>
          <w:tcPr>
            <w:tcW w:w="62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硫化物</w:t>
            </w:r>
          </w:p>
        </w:tc>
        <w:tc>
          <w:tcPr>
            <w:tcW w:w="60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铜</w:t>
            </w:r>
          </w:p>
        </w:tc>
        <w:tc>
          <w:tcPr>
            <w:tcW w:w="74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硝酸盐氮</w:t>
            </w:r>
          </w:p>
        </w:tc>
        <w:tc>
          <w:tcPr>
            <w:tcW w:w="74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1"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标准限值</w:t>
            </w:r>
          </w:p>
        </w:tc>
        <w:tc>
          <w:tcPr>
            <w:tcW w:w="838"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rPr>
              <w:t>≤0.</w:t>
            </w:r>
            <w:r>
              <w:rPr>
                <w:rFonts w:hint="default" w:ascii="Times New Roman" w:hAnsi="Times New Roman" w:eastAsia="宋体" w:cs="Times New Roman"/>
                <w:bCs/>
                <w:color w:val="auto"/>
                <w:sz w:val="21"/>
                <w:szCs w:val="21"/>
                <w:highlight w:val="none"/>
                <w:lang w:val="en-US" w:eastAsia="zh-CN"/>
              </w:rPr>
              <w:t>3</w:t>
            </w:r>
          </w:p>
        </w:tc>
        <w:tc>
          <w:tcPr>
            <w:tcW w:w="61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bCs/>
                <w:color w:val="auto"/>
                <w:sz w:val="21"/>
                <w:szCs w:val="21"/>
                <w:highlight w:val="none"/>
                <w:lang w:val="en-US" w:eastAsia="zh-CN"/>
              </w:rPr>
              <w:t>1.0</w:t>
            </w:r>
          </w:p>
        </w:tc>
        <w:tc>
          <w:tcPr>
            <w:tcW w:w="62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≤0.1</w:t>
            </w:r>
          </w:p>
        </w:tc>
        <w:tc>
          <w:tcPr>
            <w:tcW w:w="60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≤1.0</w:t>
            </w:r>
          </w:p>
        </w:tc>
        <w:tc>
          <w:tcPr>
            <w:tcW w:w="749"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bCs/>
                <w:color w:val="auto"/>
                <w:sz w:val="21"/>
                <w:szCs w:val="21"/>
                <w:highlight w:val="none"/>
                <w:lang w:val="en-US" w:eastAsia="zh-CN"/>
              </w:rPr>
              <w:t>10</w:t>
            </w:r>
          </w:p>
        </w:tc>
        <w:tc>
          <w:tcPr>
            <w:tcW w:w="740" w:type="pc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（3）地下水环境</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本项目区域位于农村地区，附近居民以此地下水为饮用水，地下水质量执行《地下水质量标准》（GB/T14848-2017）Ⅲ类标准；具体标准值见表1.4-3。</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表1.4-3地下水质量标准单位：除pH和微生物指标外，mg/L</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264"/>
        <w:gridCol w:w="1679"/>
        <w:gridCol w:w="2048"/>
        <w:gridCol w:w="1010"/>
        <w:gridCol w:w="1263"/>
        <w:gridCol w:w="925"/>
        <w:gridCol w:w="109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4"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w:t>
            </w:r>
          </w:p>
        </w:tc>
        <w:tc>
          <w:tcPr>
            <w:tcW w:w="167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pH</w:t>
            </w:r>
          </w:p>
        </w:tc>
        <w:tc>
          <w:tcPr>
            <w:tcW w:w="204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总硬度</w:t>
            </w:r>
          </w:p>
        </w:tc>
        <w:tc>
          <w:tcPr>
            <w:tcW w:w="1010"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硫酸盐</w:t>
            </w:r>
          </w:p>
        </w:tc>
        <w:tc>
          <w:tcPr>
            <w:tcW w:w="1263"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氯化物</w:t>
            </w:r>
          </w:p>
        </w:tc>
        <w:tc>
          <w:tcPr>
            <w:tcW w:w="92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耗氧量</w:t>
            </w:r>
          </w:p>
        </w:tc>
        <w:tc>
          <w:tcPr>
            <w:tcW w:w="1097"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硝酸盐</w:t>
            </w:r>
            <w:r>
              <w:rPr>
                <w:rFonts w:hint="default" w:ascii="Times New Roman" w:hAnsi="Times New Roman" w:eastAsia="宋体" w:cs="Times New Roman"/>
                <w:color w:val="auto"/>
                <w:sz w:val="21"/>
                <w:szCs w:val="21"/>
                <w:highlight w:val="none"/>
                <w:lang w:val="en-US" w:eastAsia="zh-CN"/>
              </w:rPr>
              <w:t>氮</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4"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标准限值</w:t>
            </w:r>
          </w:p>
        </w:tc>
        <w:tc>
          <w:tcPr>
            <w:tcW w:w="167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6.5~8.5</w:t>
            </w:r>
          </w:p>
        </w:tc>
        <w:tc>
          <w:tcPr>
            <w:tcW w:w="204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≤450</w:t>
            </w:r>
          </w:p>
        </w:tc>
        <w:tc>
          <w:tcPr>
            <w:tcW w:w="1010"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≤250</w:t>
            </w:r>
          </w:p>
        </w:tc>
        <w:tc>
          <w:tcPr>
            <w:tcW w:w="1263"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≤250</w:t>
            </w:r>
          </w:p>
        </w:tc>
        <w:tc>
          <w:tcPr>
            <w:tcW w:w="92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≤3.0</w:t>
            </w:r>
          </w:p>
        </w:tc>
        <w:tc>
          <w:tcPr>
            <w:tcW w:w="1097"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4"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w:t>
            </w:r>
          </w:p>
        </w:tc>
        <w:tc>
          <w:tcPr>
            <w:tcW w:w="167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rPr>
              <w:t>亚硝酸盐</w:t>
            </w:r>
            <w:r>
              <w:rPr>
                <w:rFonts w:hint="default" w:ascii="Times New Roman" w:hAnsi="Times New Roman" w:eastAsia="宋体" w:cs="Times New Roman"/>
                <w:color w:val="auto"/>
                <w:sz w:val="21"/>
                <w:szCs w:val="21"/>
                <w:highlight w:val="none"/>
                <w:lang w:val="en-US" w:eastAsia="zh-CN"/>
              </w:rPr>
              <w:t>氮</w:t>
            </w:r>
          </w:p>
        </w:tc>
        <w:tc>
          <w:tcPr>
            <w:tcW w:w="204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氨氮</w:t>
            </w:r>
          </w:p>
        </w:tc>
        <w:tc>
          <w:tcPr>
            <w:tcW w:w="1010"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锰</w:t>
            </w:r>
          </w:p>
        </w:tc>
        <w:tc>
          <w:tcPr>
            <w:tcW w:w="1263"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挥发性酚</w:t>
            </w:r>
          </w:p>
        </w:tc>
        <w:tc>
          <w:tcPr>
            <w:tcW w:w="92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氰化物</w:t>
            </w:r>
          </w:p>
        </w:tc>
        <w:tc>
          <w:tcPr>
            <w:tcW w:w="1097"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砷</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4"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标准限值</w:t>
            </w:r>
          </w:p>
        </w:tc>
        <w:tc>
          <w:tcPr>
            <w:tcW w:w="167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≤1.0</w:t>
            </w:r>
          </w:p>
        </w:tc>
        <w:tc>
          <w:tcPr>
            <w:tcW w:w="204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≤0.5</w:t>
            </w:r>
          </w:p>
        </w:tc>
        <w:tc>
          <w:tcPr>
            <w:tcW w:w="1010"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≤0.1</w:t>
            </w:r>
          </w:p>
        </w:tc>
        <w:tc>
          <w:tcPr>
            <w:tcW w:w="1263"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≤0.002</w:t>
            </w:r>
          </w:p>
        </w:tc>
        <w:tc>
          <w:tcPr>
            <w:tcW w:w="92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≤0.05</w:t>
            </w:r>
          </w:p>
        </w:tc>
        <w:tc>
          <w:tcPr>
            <w:tcW w:w="1097"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≤0.01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4"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w:t>
            </w:r>
          </w:p>
        </w:tc>
        <w:tc>
          <w:tcPr>
            <w:tcW w:w="167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汞</w:t>
            </w:r>
          </w:p>
        </w:tc>
        <w:tc>
          <w:tcPr>
            <w:tcW w:w="204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六价铬</w:t>
            </w:r>
          </w:p>
        </w:tc>
        <w:tc>
          <w:tcPr>
            <w:tcW w:w="1010"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铅</w:t>
            </w:r>
          </w:p>
        </w:tc>
        <w:tc>
          <w:tcPr>
            <w:tcW w:w="1263"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氟化物</w:t>
            </w:r>
          </w:p>
        </w:tc>
        <w:tc>
          <w:tcPr>
            <w:tcW w:w="92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镉</w:t>
            </w:r>
          </w:p>
        </w:tc>
        <w:tc>
          <w:tcPr>
            <w:tcW w:w="1097"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铁</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4"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标准限值</w:t>
            </w:r>
          </w:p>
        </w:tc>
        <w:tc>
          <w:tcPr>
            <w:tcW w:w="167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≤0.001</w:t>
            </w:r>
          </w:p>
        </w:tc>
        <w:tc>
          <w:tcPr>
            <w:tcW w:w="204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≤0.05</w:t>
            </w:r>
          </w:p>
        </w:tc>
        <w:tc>
          <w:tcPr>
            <w:tcW w:w="1010"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≤0.01</w:t>
            </w:r>
          </w:p>
        </w:tc>
        <w:tc>
          <w:tcPr>
            <w:tcW w:w="1263"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≤1.0</w:t>
            </w:r>
          </w:p>
        </w:tc>
        <w:tc>
          <w:tcPr>
            <w:tcW w:w="92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≤0.005</w:t>
            </w:r>
          </w:p>
        </w:tc>
        <w:tc>
          <w:tcPr>
            <w:tcW w:w="1097"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≤0.3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4"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污染物</w:t>
            </w:r>
          </w:p>
        </w:tc>
        <w:tc>
          <w:tcPr>
            <w:tcW w:w="167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菌落总数</w:t>
            </w:r>
          </w:p>
        </w:tc>
        <w:tc>
          <w:tcPr>
            <w:tcW w:w="204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总大肠杆菌</w:t>
            </w:r>
          </w:p>
        </w:tc>
        <w:tc>
          <w:tcPr>
            <w:tcW w:w="1010"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锌</w:t>
            </w:r>
          </w:p>
        </w:tc>
        <w:tc>
          <w:tcPr>
            <w:tcW w:w="1263"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硫化物</w:t>
            </w:r>
          </w:p>
        </w:tc>
        <w:tc>
          <w:tcPr>
            <w:tcW w:w="2022" w:type="dxa"/>
            <w:gridSpan w:val="2"/>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溶解性总固体</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264"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标准限值</w:t>
            </w:r>
          </w:p>
        </w:tc>
        <w:tc>
          <w:tcPr>
            <w:tcW w:w="167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rPr>
              <w:t>100CFU/mL</w:t>
            </w:r>
          </w:p>
        </w:tc>
        <w:tc>
          <w:tcPr>
            <w:tcW w:w="204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rPr>
              <w:t>3.0MPN/100mL</w:t>
            </w:r>
          </w:p>
        </w:tc>
        <w:tc>
          <w:tcPr>
            <w:tcW w:w="1010"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≤1.0</w:t>
            </w:r>
          </w:p>
        </w:tc>
        <w:tc>
          <w:tcPr>
            <w:tcW w:w="1263"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≤0.02</w:t>
            </w:r>
          </w:p>
        </w:tc>
        <w:tc>
          <w:tcPr>
            <w:tcW w:w="2022" w:type="dxa"/>
            <w:gridSpan w:val="2"/>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bCs/>
                <w:color w:val="auto"/>
                <w:sz w:val="21"/>
                <w:szCs w:val="21"/>
                <w:highlight w:val="none"/>
                <w:lang w:val="en-US" w:eastAsia="zh-CN"/>
              </w:rPr>
              <w:t>1000</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（4）声环境质量标准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建设项目</w:t>
      </w:r>
      <w:r>
        <w:rPr>
          <w:rFonts w:hint="eastAsia" w:cs="Times New Roman"/>
          <w:color w:val="auto"/>
          <w:highlight w:val="none"/>
          <w:lang w:val="en-US" w:eastAsia="zh-CN"/>
        </w:rPr>
        <w:t>所在区域</w:t>
      </w:r>
      <w:r>
        <w:rPr>
          <w:rFonts w:hint="default" w:ascii="Times New Roman" w:hAnsi="Times New Roman" w:eastAsia="宋体" w:cs="Times New Roman"/>
          <w:color w:val="auto"/>
          <w:highlight w:val="none"/>
          <w:lang w:val="en-US" w:eastAsia="zh-CN"/>
        </w:rPr>
        <w:t>执行</w:t>
      </w:r>
      <w:r>
        <w:rPr>
          <w:rFonts w:hint="default" w:ascii="Times New Roman" w:hAnsi="Times New Roman" w:eastAsia="宋体" w:cs="Times New Roman"/>
          <w:color w:val="auto"/>
          <w:highlight w:val="none"/>
        </w:rPr>
        <w:t>声环境质量执行《声环境质量标准》（GB3096-2008）</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类声环境功能区要求，标准值详见表1.4-</w:t>
      </w:r>
      <w:bookmarkStart w:id="132" w:name="_Toc2428"/>
      <w:bookmarkStart w:id="133" w:name="_Toc799"/>
      <w:r>
        <w:rPr>
          <w:rFonts w:hint="default" w:ascii="Times New Roman" w:hAnsi="Times New Roman" w:eastAsia="宋体" w:cs="Times New Roman"/>
          <w:color w:val="auto"/>
          <w:highlight w:val="none"/>
        </w:rPr>
        <w:t>4。</w:t>
      </w:r>
    </w:p>
    <w:p>
      <w:pPr>
        <w:spacing w:before="120" w:beforeLines="50" w:line="240" w:lineRule="atLeast"/>
        <w:ind w:firstLine="422"/>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1"/>
          <w:szCs w:val="21"/>
          <w:highlight w:val="none"/>
        </w:rPr>
        <w:t>表1.4-4声环境质量标准</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530"/>
        <w:gridCol w:w="1807"/>
        <w:gridCol w:w="1809"/>
        <w:gridCol w:w="2070"/>
        <w:gridCol w:w="207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53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昼间</w:t>
            </w:r>
          </w:p>
        </w:tc>
        <w:tc>
          <w:tcPr>
            <w:tcW w:w="180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夜间</w:t>
            </w:r>
          </w:p>
        </w:tc>
        <w:tc>
          <w:tcPr>
            <w:tcW w:w="180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414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标准类别</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153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55</w:t>
            </w:r>
          </w:p>
        </w:tc>
        <w:tc>
          <w:tcPr>
            <w:tcW w:w="180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w:t>
            </w:r>
          </w:p>
        </w:tc>
        <w:tc>
          <w:tcPr>
            <w:tcW w:w="180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dB（A）</w:t>
            </w:r>
          </w:p>
        </w:tc>
        <w:tc>
          <w:tcPr>
            <w:tcW w:w="207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1类</w:t>
            </w:r>
          </w:p>
        </w:tc>
        <w:tc>
          <w:tcPr>
            <w:tcW w:w="2070" w:type="dxa"/>
            <w:vAlign w:val="center"/>
          </w:tcPr>
          <w:p>
            <w:pPr>
              <w:pStyle w:val="104"/>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矿界及</w:t>
            </w:r>
            <w:r>
              <w:rPr>
                <w:rFonts w:hint="default" w:ascii="Times New Roman" w:hAnsi="Times New Roman" w:eastAsia="宋体" w:cs="Times New Roman"/>
                <w:color w:val="auto"/>
                <w:highlight w:val="none"/>
                <w:lang w:val="en-US" w:eastAsia="zh-CN"/>
              </w:rPr>
              <w:t>周边居民区</w:t>
            </w:r>
          </w:p>
        </w:tc>
      </w:tr>
      <w:bookmarkEnd w:id="132"/>
      <w:bookmarkEnd w:id="133"/>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（5）土壤环境</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该区域土壤环境执行分别执行《土壤环境质量建设用地土壤污染风险管控标准》（GB36600-2018））中第二类用地标准要求以及《土壤环境质量农用地土壤污染风险管控标准》（GB15618-2018））中表1标准要求。</w:t>
      </w:r>
    </w:p>
    <w:p>
      <w:pPr>
        <w:pStyle w:val="61"/>
        <w:spacing w:line="240" w:lineRule="auto"/>
        <w:ind w:firstLine="0" w:firstLineChars="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表1.4-5建设用地土壤污染风险管控标准</w:t>
      </w:r>
    </w:p>
    <w:tbl>
      <w:tblPr>
        <w:tblStyle w:val="45"/>
        <w:tblW w:w="910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69"/>
        <w:gridCol w:w="2010"/>
        <w:gridCol w:w="1447"/>
        <w:gridCol w:w="1140"/>
        <w:gridCol w:w="1139"/>
        <w:gridCol w:w="1139"/>
        <w:gridCol w:w="16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vMerge w:val="restart"/>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序号</w:t>
            </w:r>
          </w:p>
        </w:tc>
        <w:tc>
          <w:tcPr>
            <w:tcW w:w="2010" w:type="dxa"/>
            <w:vMerge w:val="restart"/>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污染物名称</w:t>
            </w:r>
          </w:p>
        </w:tc>
        <w:tc>
          <w:tcPr>
            <w:tcW w:w="1447" w:type="dxa"/>
            <w:vMerge w:val="restart"/>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单位</w:t>
            </w:r>
          </w:p>
        </w:tc>
        <w:tc>
          <w:tcPr>
            <w:tcW w:w="2279" w:type="dxa"/>
            <w:gridSpan w:val="2"/>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筛选值</w:t>
            </w:r>
          </w:p>
        </w:tc>
        <w:tc>
          <w:tcPr>
            <w:tcW w:w="2797" w:type="dxa"/>
            <w:gridSpan w:val="2"/>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管制值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vMerge w:val="continue"/>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2010" w:type="dxa"/>
            <w:vMerge w:val="continue"/>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1447" w:type="dxa"/>
            <w:vMerge w:val="continue"/>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p>
        </w:tc>
        <w:tc>
          <w:tcPr>
            <w:tcW w:w="1140"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第一类用地</w:t>
            </w:r>
          </w:p>
        </w:tc>
        <w:tc>
          <w:tcPr>
            <w:tcW w:w="113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第二类用地</w:t>
            </w:r>
          </w:p>
        </w:tc>
        <w:tc>
          <w:tcPr>
            <w:tcW w:w="113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第一类用地</w:t>
            </w:r>
          </w:p>
        </w:tc>
        <w:tc>
          <w:tcPr>
            <w:tcW w:w="1658"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第二类用地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9102" w:type="dxa"/>
            <w:gridSpan w:val="7"/>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重金属和无机物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镉</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113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47</w:t>
            </w:r>
          </w:p>
        </w:tc>
        <w:tc>
          <w:tcPr>
            <w:tcW w:w="1658"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铬</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5.7</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铜</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2000</w:t>
            </w:r>
          </w:p>
        </w:tc>
        <w:tc>
          <w:tcPr>
            <w:tcW w:w="113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18000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8000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铅</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400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800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汞</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38</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33</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镍</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900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9102" w:type="dxa"/>
            <w:gridSpan w:val="7"/>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挥发性有机物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四氯化碳</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0.9</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2.8</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氯仿</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0.3</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0.9</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氯甲烷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37</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21</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1,1-二氯乙烷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1,2-二氯乙烷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0.52</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13</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1,1-二氯乙烯</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顺-1,2-二氯丙烷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596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反-1,2-二氯丙烷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54</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31</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16</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二氯甲烷</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94</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616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17</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1,2-二氯丙烷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18</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1,1,1,2-四氯乙烷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26</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19</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1,1,2,2-四氯乙烷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6.8</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四氯乙烯</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53</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34</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21</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1,1,1-三氯乙烷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701</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840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840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22</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1,1,2-三氯乙烷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2.8</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23</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三氯乙烯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0.7</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2.8</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24</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1,2,3-三氯丙烷</w:t>
            </w:r>
          </w:p>
        </w:tc>
        <w:tc>
          <w:tcPr>
            <w:tcW w:w="1447"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0.05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25</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氯乙烯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0.12</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0.43</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26</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27</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氯苯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68</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270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28</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1,2-二氯苯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560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560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560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29</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1,4-二氯苯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56</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30</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乙苯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7.2</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28</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72</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31</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苯乙烯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1290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1290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1290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32</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甲苯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1200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1200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33</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间二甲苯+对二甲苯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163</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570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34</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邻二甲苯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222</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640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640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9102" w:type="dxa"/>
            <w:gridSpan w:val="7"/>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半挥发性有机物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35</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硝基苯</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34</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190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36</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苯胺</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92</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260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211</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663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37</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2-氯酚</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250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2256</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38</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苯并[a]蒽</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39</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苯并[a]芘</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0.55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40</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苯并[b]荧蒽</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41</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苯并[k]荧蒽</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151</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42</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䓛</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490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1293</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4900</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43</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二苯并[a，h]蒽</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0.55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44</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茚并[1,2,3-cd]芘</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c>
          <w:tcPr>
            <w:tcW w:w="569"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45</w:t>
            </w:r>
          </w:p>
        </w:tc>
        <w:tc>
          <w:tcPr>
            <w:tcW w:w="201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萘</w:t>
            </w:r>
          </w:p>
        </w:tc>
        <w:tc>
          <w:tcPr>
            <w:tcW w:w="1447" w:type="dxa"/>
            <w:tcBorders>
              <w:tl2br w:val="nil"/>
              <w:tr2bl w:val="nil"/>
            </w:tcBorders>
            <w:shd w:val="clear" w:color="auto" w:fill="auto"/>
            <w:noWrap/>
            <w:tcMar>
              <w:top w:w="15" w:type="dxa"/>
              <w:left w:w="15" w:type="dxa"/>
              <w:right w:w="15" w:type="dxa"/>
            </w:tcMar>
            <w:vAlign w:val="center"/>
          </w:tcPr>
          <w:p>
            <w:pPr>
              <w:widowControl/>
              <w:spacing w:line="240" w:lineRule="auto"/>
              <w:ind w:firstLine="0" w:firstLineChars="0"/>
              <w:jc w:val="center"/>
              <w:textAlignment w:val="bottom"/>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mg/kg</w:t>
            </w:r>
          </w:p>
        </w:tc>
        <w:tc>
          <w:tcPr>
            <w:tcW w:w="1140"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25</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70</w:t>
            </w:r>
          </w:p>
        </w:tc>
        <w:tc>
          <w:tcPr>
            <w:tcW w:w="1139"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255</w:t>
            </w:r>
          </w:p>
        </w:tc>
        <w:tc>
          <w:tcPr>
            <w:tcW w:w="1658" w:type="dxa"/>
            <w:tcBorders>
              <w:tl2br w:val="nil"/>
              <w:tr2bl w:val="nil"/>
            </w:tcBorders>
            <w:shd w:val="clear" w:color="auto" w:fill="auto"/>
            <w:tcMar>
              <w:top w:w="15" w:type="dxa"/>
              <w:left w:w="15" w:type="dxa"/>
              <w:right w:w="15" w:type="dxa"/>
            </w:tcMar>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700</w:t>
            </w:r>
          </w:p>
        </w:tc>
      </w:tr>
    </w:tbl>
    <w:p>
      <w:pPr>
        <w:pStyle w:val="61"/>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0" w:firstLineChars="0"/>
        <w:jc w:val="center"/>
        <w:textAlignment w:val="auto"/>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表</w:t>
      </w:r>
      <w:r>
        <w:rPr>
          <w:rFonts w:hint="eastAsia" w:ascii="Times New Roman" w:hAnsi="Times New Roman" w:eastAsia="宋体" w:cs="Times New Roman"/>
          <w:b/>
          <w:bCs w:val="0"/>
          <w:color w:val="auto"/>
          <w:kern w:val="2"/>
          <w:sz w:val="21"/>
          <w:szCs w:val="21"/>
          <w:highlight w:val="none"/>
          <w:lang w:val="en-US" w:eastAsia="zh-CN"/>
        </w:rPr>
        <w:t>1.4-6</w:t>
      </w:r>
      <w:r>
        <w:rPr>
          <w:rFonts w:hint="default" w:ascii="Times New Roman" w:hAnsi="Times New Roman" w:eastAsia="宋体" w:cs="Times New Roman"/>
          <w:b/>
          <w:bCs w:val="0"/>
          <w:color w:val="auto"/>
          <w:kern w:val="2"/>
          <w:sz w:val="21"/>
          <w:szCs w:val="21"/>
          <w:highlight w:val="none"/>
        </w:rPr>
        <w:t>农用地土壤污染风险筛选值</w:t>
      </w:r>
      <w:r>
        <w:rPr>
          <w:rFonts w:hint="default" w:ascii="Times New Roman" w:hAnsi="Times New Roman" w:eastAsia="宋体" w:cs="Times New Roman"/>
          <w:b/>
          <w:bCs w:val="0"/>
          <w:color w:val="auto"/>
          <w:kern w:val="2"/>
          <w:sz w:val="21"/>
          <w:szCs w:val="21"/>
          <w:highlight w:val="none"/>
          <w:lang w:val="en-US" w:eastAsia="zh-CN"/>
        </w:rPr>
        <w:t xml:space="preserve"> </w:t>
      </w:r>
      <w:r>
        <w:rPr>
          <w:rFonts w:hint="default" w:ascii="Times New Roman" w:hAnsi="Times New Roman" w:eastAsia="宋体" w:cs="Times New Roman"/>
          <w:b/>
          <w:bCs w:val="0"/>
          <w:color w:val="auto"/>
          <w:kern w:val="2"/>
          <w:sz w:val="21"/>
          <w:szCs w:val="21"/>
          <w:highlight w:val="none"/>
        </w:rPr>
        <w:t>单位：mg/kg</w:t>
      </w:r>
    </w:p>
    <w:tbl>
      <w:tblPr>
        <w:tblStyle w:val="45"/>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166"/>
        <w:gridCol w:w="1075"/>
        <w:gridCol w:w="998"/>
        <w:gridCol w:w="1413"/>
        <w:gridCol w:w="1413"/>
        <w:gridCol w:w="1413"/>
        <w:gridCol w:w="14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exact"/>
        </w:trPr>
        <w:tc>
          <w:tcPr>
            <w:tcW w:w="655"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序号</w:t>
            </w:r>
          </w:p>
        </w:tc>
        <w:tc>
          <w:tcPr>
            <w:tcW w:w="1165" w:type="pct"/>
            <w:gridSpan w:val="2"/>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污染物项目</w:t>
            </w:r>
          </w:p>
        </w:tc>
        <w:tc>
          <w:tcPr>
            <w:tcW w:w="3178" w:type="pct"/>
            <w:gridSpan w:val="4"/>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风险筛选值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exact"/>
        </w:trPr>
        <w:tc>
          <w:tcPr>
            <w:tcW w:w="655"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p>
        </w:tc>
        <w:tc>
          <w:tcPr>
            <w:tcW w:w="1165" w:type="pct"/>
            <w:gridSpan w:val="2"/>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rPr>
              <w:t>pH</w:t>
            </w:r>
            <w:r>
              <w:rPr>
                <w:rFonts w:hint="eastAsia" w:ascii="Times New Roman" w:hAnsi="Times New Roman" w:eastAsia="宋体" w:cs="Times New Roman"/>
                <w:color w:val="auto"/>
                <w:kern w:val="0"/>
                <w:sz w:val="21"/>
                <w:szCs w:val="21"/>
                <w:highlight w:val="none"/>
                <w:lang w:val="en-US" w:eastAsia="zh-CN"/>
              </w:rPr>
              <w:t>≤5.5</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5.5＜</w:t>
            </w:r>
            <w:r>
              <w:rPr>
                <w:rFonts w:hint="default" w:ascii="Times New Roman" w:hAnsi="Times New Roman" w:eastAsia="宋体" w:cs="Times New Roman"/>
                <w:color w:val="auto"/>
                <w:kern w:val="0"/>
                <w:sz w:val="21"/>
                <w:szCs w:val="21"/>
                <w:highlight w:val="none"/>
              </w:rPr>
              <w:t>pH</w:t>
            </w:r>
            <w:r>
              <w:rPr>
                <w:rFonts w:hint="eastAsia" w:ascii="Times New Roman" w:hAnsi="Times New Roman" w:eastAsia="宋体" w:cs="Times New Roman"/>
                <w:color w:val="auto"/>
                <w:kern w:val="0"/>
                <w:sz w:val="21"/>
                <w:szCs w:val="21"/>
                <w:highlight w:val="none"/>
                <w:lang w:val="en-US" w:eastAsia="zh-CN"/>
              </w:rPr>
              <w:t>≤6.5</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6.5＜</w:t>
            </w:r>
            <w:r>
              <w:rPr>
                <w:rFonts w:hint="default" w:ascii="Times New Roman" w:hAnsi="Times New Roman" w:eastAsia="宋体" w:cs="Times New Roman"/>
                <w:color w:val="auto"/>
                <w:kern w:val="0"/>
                <w:sz w:val="21"/>
                <w:szCs w:val="21"/>
                <w:highlight w:val="none"/>
              </w:rPr>
              <w:t>pH</w:t>
            </w:r>
            <w:r>
              <w:rPr>
                <w:rFonts w:hint="eastAsia" w:ascii="Times New Roman" w:hAnsi="Times New Roman" w:eastAsia="宋体" w:cs="Times New Roman"/>
                <w:color w:val="auto"/>
                <w:kern w:val="0"/>
                <w:sz w:val="21"/>
                <w:szCs w:val="21"/>
                <w:highlight w:val="none"/>
                <w:lang w:val="en-US" w:eastAsia="zh-CN"/>
              </w:rPr>
              <w:t>≤7.5</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pH&gt;7.5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1" w:hRule="exact"/>
        </w:trPr>
        <w:tc>
          <w:tcPr>
            <w:tcW w:w="655"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604"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镉</w:t>
            </w:r>
          </w:p>
        </w:tc>
        <w:tc>
          <w:tcPr>
            <w:tcW w:w="561" w:type="pct"/>
            <w:tcBorders>
              <w:tl2br w:val="nil"/>
              <w:tr2bl w:val="nil"/>
            </w:tcBorders>
            <w:noWrap w:val="0"/>
            <w:vAlign w:val="center"/>
          </w:tcPr>
          <w:p>
            <w:pPr>
              <w:widowControl/>
              <w:spacing w:line="240" w:lineRule="auto"/>
              <w:ind w:firstLine="0" w:firstLineChars="0"/>
              <w:jc w:val="center"/>
              <w:textAlignment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水田</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0.3</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0.4</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0.6</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31" w:hRule="exact"/>
        </w:trPr>
        <w:tc>
          <w:tcPr>
            <w:tcW w:w="655"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p>
        </w:tc>
        <w:tc>
          <w:tcPr>
            <w:tcW w:w="604"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0.3</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0.3</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0.3</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w:t>
            </w:r>
          </w:p>
        </w:tc>
        <w:tc>
          <w:tcPr>
            <w:tcW w:w="604"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汞</w:t>
            </w: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水田</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0.5</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0.5</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0.6</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p>
        </w:tc>
        <w:tc>
          <w:tcPr>
            <w:tcW w:w="604"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1.3</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1.8</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2.4</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3</w:t>
            </w:r>
          </w:p>
        </w:tc>
        <w:tc>
          <w:tcPr>
            <w:tcW w:w="604"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砷</w:t>
            </w: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水田</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p>
        </w:tc>
        <w:tc>
          <w:tcPr>
            <w:tcW w:w="604"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40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w:t>
            </w:r>
          </w:p>
        </w:tc>
        <w:tc>
          <w:tcPr>
            <w:tcW w:w="604"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铅</w:t>
            </w: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水田</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80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100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140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p>
        </w:tc>
        <w:tc>
          <w:tcPr>
            <w:tcW w:w="604"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90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120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w:t>
            </w:r>
          </w:p>
        </w:tc>
        <w:tc>
          <w:tcPr>
            <w:tcW w:w="604"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铬</w:t>
            </w: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水田</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300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350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p>
        </w:tc>
        <w:tc>
          <w:tcPr>
            <w:tcW w:w="604"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6</w:t>
            </w:r>
          </w:p>
        </w:tc>
        <w:tc>
          <w:tcPr>
            <w:tcW w:w="604" w:type="pct"/>
            <w:vMerge w:val="restar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铜</w:t>
            </w: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水田</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150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cs="Times New Roman"/>
                <w:color w:val="auto"/>
                <w:kern w:val="0"/>
                <w:sz w:val="21"/>
                <w:szCs w:val="21"/>
                <w:highlight w:val="none"/>
                <w:lang w:val="en-US" w:eastAsia="zh-CN"/>
              </w:rPr>
            </w:pPr>
          </w:p>
        </w:tc>
        <w:tc>
          <w:tcPr>
            <w:tcW w:w="604" w:type="pct"/>
            <w:vMerge w:val="continue"/>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p>
        </w:tc>
        <w:tc>
          <w:tcPr>
            <w:tcW w:w="561"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其他</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100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2" w:hRule="exact"/>
        </w:trPr>
        <w:tc>
          <w:tcPr>
            <w:tcW w:w="655"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w:t>
            </w:r>
          </w:p>
        </w:tc>
        <w:tc>
          <w:tcPr>
            <w:tcW w:w="1165" w:type="pct"/>
            <w:gridSpan w:val="2"/>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镍</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60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70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100</w:t>
            </w:r>
          </w:p>
        </w:tc>
        <w:tc>
          <w:tcPr>
            <w:tcW w:w="1417" w:type="dxa"/>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22" w:hRule="exact"/>
        </w:trPr>
        <w:tc>
          <w:tcPr>
            <w:tcW w:w="655"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w:t>
            </w:r>
          </w:p>
        </w:tc>
        <w:tc>
          <w:tcPr>
            <w:tcW w:w="1165" w:type="pct"/>
            <w:gridSpan w:val="2"/>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锌</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200</w:t>
            </w:r>
          </w:p>
        </w:tc>
        <w:tc>
          <w:tcPr>
            <w:tcW w:w="794" w:type="pct"/>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250</w:t>
            </w:r>
          </w:p>
        </w:tc>
        <w:tc>
          <w:tcPr>
            <w:tcW w:w="1417" w:type="dxa"/>
            <w:tcBorders>
              <w:tl2br w:val="nil"/>
              <w:tr2bl w:val="nil"/>
            </w:tcBorders>
            <w:noWrap w:val="0"/>
            <w:vAlign w:val="center"/>
          </w:tcPr>
          <w:p>
            <w:pPr>
              <w:widowControl/>
              <w:spacing w:line="240" w:lineRule="auto"/>
              <w:ind w:firstLine="0" w:firstLineChars="0"/>
              <w:jc w:val="center"/>
              <w:textAlignment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300</w:t>
            </w:r>
          </w:p>
        </w:tc>
      </w:tr>
    </w:tbl>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污染物排放标准</w:t>
      </w:r>
    </w:p>
    <w:p>
      <w:pPr>
        <w:ind w:firstLine="480"/>
        <w:rPr>
          <w:rFonts w:hint="default" w:ascii="Times New Roman" w:hAnsi="Times New Roman" w:eastAsia="宋体" w:cs="Times New Roman"/>
          <w:color w:val="auto"/>
          <w:highlight w:val="none"/>
        </w:rPr>
      </w:pPr>
      <w:bookmarkStart w:id="134" w:name="_Toc3002"/>
      <w:r>
        <w:rPr>
          <w:rFonts w:hint="default" w:ascii="Times New Roman" w:hAnsi="Times New Roman" w:eastAsia="宋体" w:cs="Times New Roman"/>
          <w:color w:val="auto"/>
          <w:highlight w:val="none"/>
        </w:rPr>
        <w:t>（1）大气污染物排放标准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废气执行辽宁省地方标准《施工及堆料场地扬尘排放标准》（DB21/2642-2016）中表1规定的扬尘排放浓度限值的要求，见表1.4-</w:t>
      </w:r>
      <w:r>
        <w:rPr>
          <w:rFonts w:hint="eastAsia" w:cs="Times New Roman"/>
          <w:color w:val="auto"/>
          <w:highlight w:val="none"/>
          <w:lang w:val="en-US" w:eastAsia="zh-CN"/>
        </w:rPr>
        <w:t>7</w:t>
      </w:r>
      <w:r>
        <w:rPr>
          <w:rFonts w:hint="default" w:ascii="Times New Roman" w:hAnsi="Times New Roman" w:eastAsia="宋体" w:cs="Times New Roman"/>
          <w:color w:val="auto"/>
          <w:highlight w:val="none"/>
        </w:rPr>
        <w:t>；运营期大气污染物排放排放执行《大气污染物综合排放标准》（GB16297-1996）中新污染源大气污染物二级排放限值，具体限值详见表1.4-</w:t>
      </w:r>
      <w:r>
        <w:rPr>
          <w:rFonts w:hint="eastAsia" w:cs="Times New Roman"/>
          <w:color w:val="auto"/>
          <w:highlight w:val="none"/>
          <w:lang w:val="en-US" w:eastAsia="zh-CN"/>
        </w:rPr>
        <w:t>8</w:t>
      </w:r>
      <w:r>
        <w:rPr>
          <w:rFonts w:hint="default" w:ascii="Times New Roman" w:hAnsi="Times New Roman" w:eastAsia="宋体" w:cs="Times New Roman"/>
          <w:color w:val="auto"/>
          <w:highlight w:val="none"/>
        </w:rPr>
        <w:t>。</w:t>
      </w:r>
    </w:p>
    <w:p>
      <w:pPr>
        <w:pStyle w:val="61"/>
        <w:spacing w:line="240" w:lineRule="auto"/>
        <w:ind w:firstLine="0" w:firstLineChars="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表1.4-</w:t>
      </w:r>
      <w:r>
        <w:rPr>
          <w:rFonts w:hint="eastAsia" w:ascii="Times New Roman" w:cs="Times New Roman"/>
          <w:b/>
          <w:bCs w:val="0"/>
          <w:color w:val="auto"/>
          <w:kern w:val="2"/>
          <w:sz w:val="21"/>
          <w:szCs w:val="21"/>
          <w:highlight w:val="none"/>
          <w:lang w:val="en-US" w:eastAsia="zh-CN"/>
        </w:rPr>
        <w:t>7</w:t>
      </w:r>
      <w:r>
        <w:rPr>
          <w:rFonts w:hint="default" w:ascii="Times New Roman" w:hAnsi="Times New Roman" w:eastAsia="宋体" w:cs="Times New Roman"/>
          <w:b/>
          <w:bCs w:val="0"/>
          <w:color w:val="auto"/>
          <w:kern w:val="2"/>
          <w:sz w:val="21"/>
          <w:szCs w:val="21"/>
          <w:highlight w:val="none"/>
          <w:lang w:eastAsia="zh-CN"/>
        </w:rPr>
        <w:t>基建期</w:t>
      </w:r>
      <w:r>
        <w:rPr>
          <w:rFonts w:hint="default" w:ascii="Times New Roman" w:hAnsi="Times New Roman" w:eastAsia="宋体" w:cs="Times New Roman"/>
          <w:b/>
          <w:bCs w:val="0"/>
          <w:color w:val="auto"/>
          <w:kern w:val="2"/>
          <w:sz w:val="21"/>
          <w:szCs w:val="21"/>
          <w:highlight w:val="none"/>
        </w:rPr>
        <w:t>扬尘排放浓度限值</w:t>
      </w:r>
    </w:p>
    <w:tbl>
      <w:tblPr>
        <w:tblStyle w:val="46"/>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691"/>
        <w:gridCol w:w="2882"/>
        <w:gridCol w:w="37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监测项目</w:t>
            </w:r>
          </w:p>
        </w:tc>
        <w:tc>
          <w:tcPr>
            <w:tcW w:w="2882"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w:t>
            </w:r>
          </w:p>
        </w:tc>
        <w:tc>
          <w:tcPr>
            <w:tcW w:w="3713"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浓度限值（连续5min平均浓度）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6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颗粒物（TSP）</w:t>
            </w:r>
          </w:p>
        </w:tc>
        <w:tc>
          <w:tcPr>
            <w:tcW w:w="2882"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郊区及农村地区</w:t>
            </w:r>
          </w:p>
        </w:tc>
        <w:tc>
          <w:tcPr>
            <w:tcW w:w="3713"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1.0mg/m</w:t>
            </w:r>
            <w:r>
              <w:rPr>
                <w:rFonts w:hint="default" w:ascii="Times New Roman" w:hAnsi="Times New Roman" w:eastAsia="宋体" w:cs="Times New Roman"/>
                <w:color w:val="auto"/>
                <w:sz w:val="21"/>
                <w:szCs w:val="21"/>
                <w:highlight w:val="none"/>
                <w:vertAlign w:val="superscript"/>
              </w:rPr>
              <w:t>3</w:t>
            </w:r>
          </w:p>
        </w:tc>
      </w:tr>
    </w:tbl>
    <w:p>
      <w:pPr>
        <w:pStyle w:val="61"/>
        <w:spacing w:line="240" w:lineRule="auto"/>
        <w:ind w:firstLine="0" w:firstLineChars="0"/>
        <w:jc w:val="center"/>
        <w:rPr>
          <w:rFonts w:hint="default" w:ascii="Times New Roman" w:hAnsi="Times New Roman" w:eastAsia="宋体" w:cs="Times New Roman"/>
          <w:b/>
          <w:bCs w:val="0"/>
          <w:color w:val="auto"/>
          <w:kern w:val="2"/>
          <w:sz w:val="21"/>
          <w:szCs w:val="21"/>
          <w:highlight w:val="none"/>
        </w:rPr>
      </w:pPr>
    </w:p>
    <w:p>
      <w:pPr>
        <w:pStyle w:val="61"/>
        <w:spacing w:line="240" w:lineRule="auto"/>
        <w:ind w:firstLine="0" w:firstLineChars="0"/>
        <w:jc w:val="center"/>
        <w:rPr>
          <w:rFonts w:hint="default" w:ascii="Times New Roman" w:hAnsi="Times New Roman" w:eastAsia="宋体" w:cs="Times New Roman"/>
          <w:b/>
          <w:bCs w:val="0"/>
          <w:color w:val="auto"/>
          <w:kern w:val="2"/>
          <w:sz w:val="24"/>
          <w:szCs w:val="24"/>
          <w:highlight w:val="none"/>
        </w:rPr>
      </w:pPr>
      <w:r>
        <w:rPr>
          <w:rFonts w:hint="default" w:ascii="Times New Roman" w:hAnsi="Times New Roman" w:eastAsia="宋体" w:cs="Times New Roman"/>
          <w:b/>
          <w:bCs w:val="0"/>
          <w:color w:val="auto"/>
          <w:kern w:val="2"/>
          <w:sz w:val="21"/>
          <w:szCs w:val="21"/>
          <w:highlight w:val="none"/>
        </w:rPr>
        <w:t>表1.4-</w:t>
      </w:r>
      <w:r>
        <w:rPr>
          <w:rFonts w:hint="eastAsia" w:ascii="Times New Roman" w:cs="Times New Roman"/>
          <w:b/>
          <w:bCs w:val="0"/>
          <w:color w:val="auto"/>
          <w:kern w:val="2"/>
          <w:sz w:val="21"/>
          <w:szCs w:val="21"/>
          <w:highlight w:val="none"/>
          <w:lang w:val="en-US" w:eastAsia="zh-CN"/>
        </w:rPr>
        <w:t>8</w:t>
      </w:r>
      <w:r>
        <w:rPr>
          <w:rFonts w:hint="default" w:ascii="Times New Roman" w:hAnsi="Times New Roman" w:eastAsia="宋体" w:cs="Times New Roman"/>
          <w:b/>
          <w:bCs w:val="0"/>
          <w:color w:val="auto"/>
          <w:kern w:val="2"/>
          <w:sz w:val="21"/>
          <w:szCs w:val="21"/>
          <w:highlight w:val="none"/>
        </w:rPr>
        <w:t>大气污染物综合排放标准</w:t>
      </w:r>
    </w:p>
    <w:tbl>
      <w:tblPr>
        <w:tblStyle w:val="46"/>
        <w:tblW w:w="4999"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68"/>
        <w:gridCol w:w="1971"/>
        <w:gridCol w:w="4191"/>
        <w:gridCol w:w="13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60" w:type="pct"/>
            <w:vAlign w:val="center"/>
          </w:tcPr>
          <w:p>
            <w:pPr>
              <w:pStyle w:val="27"/>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1081" w:type="pct"/>
            <w:vAlign w:val="center"/>
          </w:tcPr>
          <w:p>
            <w:pPr>
              <w:pStyle w:val="27"/>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污染因子</w:t>
            </w:r>
          </w:p>
        </w:tc>
        <w:tc>
          <w:tcPr>
            <w:tcW w:w="3057" w:type="pct"/>
            <w:gridSpan w:val="2"/>
            <w:vAlign w:val="center"/>
          </w:tcPr>
          <w:p>
            <w:pPr>
              <w:pStyle w:val="27"/>
              <w:spacing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标准值（mg/m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6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081"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2298"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周界外浓度最高点</w:t>
            </w:r>
          </w:p>
        </w:tc>
        <w:tc>
          <w:tcPr>
            <w:tcW w:w="758"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bl>
    <w:p>
      <w:pPr>
        <w:ind w:left="48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（2）噪声排放标准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噪声执行《建筑施工场界环境噪声排放标准》（GB12523-2011），见表1-4-</w:t>
      </w:r>
      <w:r>
        <w:rPr>
          <w:rFonts w:hint="eastAsia" w:cs="Times New Roman"/>
          <w:color w:val="auto"/>
          <w:highlight w:val="none"/>
          <w:lang w:val="en-US" w:eastAsia="zh-CN"/>
        </w:rPr>
        <w:t>9</w:t>
      </w:r>
      <w:r>
        <w:rPr>
          <w:rFonts w:hint="default" w:ascii="Times New Roman" w:hAnsi="Times New Roman" w:eastAsia="宋体" w:cs="Times New Roman"/>
          <w:color w:val="auto"/>
          <w:highlight w:val="none"/>
        </w:rPr>
        <w:t>。</w:t>
      </w:r>
    </w:p>
    <w:p>
      <w:pPr>
        <w:pStyle w:val="61"/>
        <w:spacing w:line="240" w:lineRule="auto"/>
        <w:ind w:firstLine="0" w:firstLineChars="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表1.4-</w:t>
      </w:r>
      <w:r>
        <w:rPr>
          <w:rFonts w:hint="eastAsia" w:ascii="Times New Roman" w:cs="Times New Roman"/>
          <w:b/>
          <w:bCs w:val="0"/>
          <w:color w:val="auto"/>
          <w:kern w:val="2"/>
          <w:sz w:val="21"/>
          <w:szCs w:val="21"/>
          <w:highlight w:val="none"/>
          <w:lang w:val="en-US" w:eastAsia="zh-CN"/>
        </w:rPr>
        <w:t>9</w:t>
      </w:r>
      <w:r>
        <w:rPr>
          <w:rFonts w:hint="default" w:ascii="Times New Roman" w:hAnsi="Times New Roman" w:eastAsia="宋体" w:cs="Times New Roman"/>
          <w:b/>
          <w:bCs w:val="0"/>
          <w:color w:val="auto"/>
          <w:kern w:val="2"/>
          <w:sz w:val="21"/>
          <w:szCs w:val="21"/>
          <w:highlight w:val="none"/>
        </w:rPr>
        <w:t>建筑施工场界环境噪声排放标准（GB12523-2011）LAeq（dB）</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636"/>
        <w:gridCol w:w="465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36"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昼间</w:t>
            </w:r>
          </w:p>
        </w:tc>
        <w:tc>
          <w:tcPr>
            <w:tcW w:w="4650"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36"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70</w:t>
            </w:r>
          </w:p>
        </w:tc>
        <w:tc>
          <w:tcPr>
            <w:tcW w:w="4650"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55</w:t>
            </w:r>
          </w:p>
        </w:tc>
      </w:tr>
    </w:tbl>
    <w:p>
      <w:pPr>
        <w:ind w:firstLine="480"/>
        <w:rPr>
          <w:rFonts w:hint="default" w:ascii="Times New Roman" w:hAnsi="Times New Roman" w:eastAsia="宋体" w:cs="Times New Roman"/>
          <w:color w:val="auto"/>
          <w:highlight w:val="none"/>
        </w:rPr>
      </w:pPr>
      <w:r>
        <w:rPr>
          <w:rFonts w:hint="eastAsia" w:cs="Times New Roman"/>
          <w:color w:val="auto"/>
          <w:highlight w:val="none"/>
          <w:lang w:val="en-US" w:eastAsia="zh-CN"/>
        </w:rPr>
        <w:t>项目矿界</w:t>
      </w:r>
      <w:r>
        <w:rPr>
          <w:rFonts w:hint="default" w:ascii="Times New Roman" w:hAnsi="Times New Roman" w:eastAsia="宋体" w:cs="Times New Roman"/>
          <w:color w:val="auto"/>
          <w:highlight w:val="none"/>
        </w:rPr>
        <w:t>噪声执行《工业企业厂界环境噪声排放标准》（GB12348-2008）</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类标准。</w:t>
      </w:r>
    </w:p>
    <w:p>
      <w:pPr>
        <w:pStyle w:val="61"/>
        <w:spacing w:line="240" w:lineRule="auto"/>
        <w:ind w:firstLine="0" w:firstLineChars="0"/>
        <w:jc w:val="center"/>
        <w:rPr>
          <w:rFonts w:hint="default" w:ascii="Times New Roman" w:hAnsi="Times New Roman" w:eastAsia="宋体" w:cs="Times New Roman"/>
          <w:b/>
          <w:bCs w:val="0"/>
          <w:color w:val="auto"/>
          <w:kern w:val="2"/>
          <w:sz w:val="21"/>
          <w:szCs w:val="21"/>
          <w:highlight w:val="none"/>
        </w:rPr>
      </w:pPr>
      <w:r>
        <w:rPr>
          <w:rFonts w:hint="default" w:ascii="Times New Roman" w:hAnsi="Times New Roman" w:eastAsia="宋体" w:cs="Times New Roman"/>
          <w:b/>
          <w:bCs w:val="0"/>
          <w:color w:val="auto"/>
          <w:kern w:val="2"/>
          <w:sz w:val="21"/>
          <w:szCs w:val="21"/>
          <w:highlight w:val="none"/>
        </w:rPr>
        <w:t>表1.4-</w:t>
      </w:r>
      <w:r>
        <w:rPr>
          <w:rFonts w:hint="eastAsia" w:ascii="Times New Roman" w:cs="Times New Roman"/>
          <w:b/>
          <w:bCs w:val="0"/>
          <w:color w:val="auto"/>
          <w:kern w:val="2"/>
          <w:sz w:val="21"/>
          <w:szCs w:val="21"/>
          <w:highlight w:val="none"/>
          <w:lang w:val="en-US" w:eastAsia="zh-CN"/>
        </w:rPr>
        <w:t>10</w:t>
      </w:r>
      <w:r>
        <w:rPr>
          <w:rFonts w:hint="default" w:ascii="Times New Roman" w:hAnsi="Times New Roman" w:eastAsia="宋体" w:cs="Times New Roman"/>
          <w:b/>
          <w:bCs w:val="0"/>
          <w:color w:val="auto"/>
          <w:kern w:val="2"/>
          <w:sz w:val="21"/>
          <w:szCs w:val="21"/>
          <w:highlight w:val="none"/>
        </w:rPr>
        <w:t>工业企业厂界环境噪声排放标准（GB12348-2008）LAeq（dB）</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59"/>
        <w:gridCol w:w="2292"/>
        <w:gridCol w:w="2308"/>
        <w:gridCol w:w="28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59"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类别</w:t>
            </w:r>
          </w:p>
        </w:tc>
        <w:tc>
          <w:tcPr>
            <w:tcW w:w="2292"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昼间</w:t>
            </w:r>
          </w:p>
        </w:tc>
        <w:tc>
          <w:tcPr>
            <w:tcW w:w="2308"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夜间</w:t>
            </w:r>
          </w:p>
        </w:tc>
        <w:tc>
          <w:tcPr>
            <w:tcW w:w="2827"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适用区域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59"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类</w:t>
            </w:r>
          </w:p>
        </w:tc>
        <w:tc>
          <w:tcPr>
            <w:tcW w:w="2292"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55</w:t>
            </w:r>
          </w:p>
        </w:tc>
        <w:tc>
          <w:tcPr>
            <w:tcW w:w="2308"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45</w:t>
            </w:r>
          </w:p>
        </w:tc>
        <w:tc>
          <w:tcPr>
            <w:tcW w:w="2827" w:type="dxa"/>
            <w:tcBorders>
              <w:tl2br w:val="nil"/>
              <w:tr2bl w:val="nil"/>
            </w:tcBorders>
            <w:vAlign w:val="center"/>
          </w:tcPr>
          <w:p>
            <w:pPr>
              <w:pStyle w:val="69"/>
              <w:snapToGrid/>
              <w:spacing w:before="0" w:after="0" w:line="240" w:lineRule="atLeast"/>
              <w:ind w:firstLine="0" w:firstLineChars="0"/>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厂界</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（3）水污染物排放标准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废水</w:t>
      </w:r>
      <w:r>
        <w:rPr>
          <w:rFonts w:hint="default" w:ascii="Times New Roman" w:hAnsi="Times New Roman" w:eastAsia="宋体" w:cs="Times New Roman"/>
          <w:color w:val="auto"/>
          <w:highlight w:val="none"/>
        </w:rPr>
        <w:t>经蓄水池收集后，回用于井下凿岩、矿区内采场防尘洒水、运输道路降尘及绿化用水等。生活污水进入旱厕，定期清掏。因此本项目污废水实现零排放。</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（4）固体废物排放标准</w:t>
      </w:r>
    </w:p>
    <w:p>
      <w:pPr>
        <w:pStyle w:val="18"/>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排放执行《一般工业固体废物贮存和填埋场污染控制标准》（GB18599-2020）；危险废物排放执行《危险废物贮存污染控制标准》（GB18597-2001）及其修改单（环保部公告2013年第36号）；生活垃圾执行中华人民共和国建设部令第157号《城市生活垃圾管理规定》。</w:t>
      </w:r>
    </w:p>
    <w:p>
      <w:pPr>
        <w:pStyle w:val="18"/>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（5）固体废物鉴别相关标准</w:t>
      </w:r>
    </w:p>
    <w:p>
      <w:pPr>
        <w:pStyle w:val="18"/>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鉴别执行《危险废物鉴别技术规范》（HJ298-2019）；《固体废物腐蚀性测定玻璃电极法》（GB/T15555.12-1995）；《危险废物鉴别标准浸出毒性鉴别》（GB5085.3-2019）；《危险废物鉴别标准腐蚀性鉴别》（GB5085.1-2019）；《固体废物浸出毒性浸出方法水平振荡法》（HJ557-2010）；《工业固体废物采样制样技术规范》（HJ/20-1998）；《国家危险废物名录》（部令第</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2021</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月1日</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pPr>
        <w:pStyle w:val="4"/>
        <w:spacing w:before="120" w:after="120"/>
        <w:ind w:left="0" w:leftChars="0" w:firstLineChars="0"/>
        <w:rPr>
          <w:rFonts w:hint="default" w:ascii="Times New Roman" w:hAnsi="Times New Roman" w:eastAsia="宋体" w:cs="Times New Roman"/>
          <w:color w:val="auto"/>
          <w:highlight w:val="none"/>
        </w:rPr>
      </w:pPr>
      <w:bookmarkStart w:id="135" w:name="_Toc15376171"/>
      <w:bookmarkStart w:id="136" w:name="_Toc12933"/>
      <w:r>
        <w:rPr>
          <w:rFonts w:hint="default" w:ascii="Times New Roman" w:hAnsi="Times New Roman" w:eastAsia="宋体" w:cs="Times New Roman"/>
          <w:color w:val="auto"/>
          <w:highlight w:val="none"/>
        </w:rPr>
        <w:t>评价工作等级</w:t>
      </w:r>
      <w:bookmarkEnd w:id="134"/>
      <w:r>
        <w:rPr>
          <w:rFonts w:hint="default" w:ascii="Times New Roman" w:hAnsi="Times New Roman" w:eastAsia="宋体" w:cs="Times New Roman"/>
          <w:color w:val="auto"/>
          <w:highlight w:val="none"/>
        </w:rPr>
        <w:t>和评价</w:t>
      </w:r>
      <w:bookmarkEnd w:id="135"/>
      <w:r>
        <w:rPr>
          <w:rFonts w:hint="default" w:ascii="Times New Roman" w:hAnsi="Times New Roman" w:eastAsia="宋体" w:cs="Times New Roman"/>
          <w:color w:val="auto"/>
          <w:highlight w:val="none"/>
          <w:lang w:val="en-US" w:eastAsia="zh-CN"/>
        </w:rPr>
        <w:t>范围</w:t>
      </w:r>
      <w:bookmarkEnd w:id="136"/>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根据本工程污染物排放特征、项目所在地区的地形特点和环境功能区划，按照《环境影响评价技术导则</w:t>
      </w:r>
      <w:r>
        <w:rPr>
          <w:rFonts w:hint="eastAsia" w:cs="Times New Roman"/>
          <w:color w:val="auto"/>
          <w:highlight w:val="none"/>
          <w:lang w:val="en-US" w:eastAsia="zh-CN"/>
        </w:rPr>
        <w:t>—总纲</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及相应环境要素、专项导则</w:t>
      </w:r>
      <w:r>
        <w:rPr>
          <w:rFonts w:hint="default" w:ascii="Times New Roman" w:hAnsi="Times New Roman" w:eastAsia="宋体" w:cs="Times New Roman"/>
          <w:color w:val="auto"/>
          <w:highlight w:val="none"/>
        </w:rPr>
        <w:t>所规定的方法，确定本项目环境影响评价工作等级和评价范围。</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生态环境评价等级</w:t>
      </w:r>
      <w:r>
        <w:rPr>
          <w:rFonts w:hint="default" w:ascii="Times New Roman" w:hAnsi="Times New Roman" w:eastAsia="宋体" w:cs="Times New Roman"/>
          <w:color w:val="auto"/>
          <w:highlight w:val="none"/>
          <w:lang w:val="en-US" w:eastAsia="zh-CN"/>
        </w:rPr>
        <w:t>和评价范围</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1、评价等级</w:t>
      </w:r>
    </w:p>
    <w:p>
      <w:pPr>
        <w:spacing w:beforeLines="0" w:afterLine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本项目不涉及国家公园、自然保护区、世界自然遗产、重要生境、自然公园、及生态保护红线；根据《</w:t>
      </w:r>
      <w:r>
        <w:rPr>
          <w:rFonts w:hint="eastAsia" w:cs="Times New Roman"/>
          <w:color w:val="auto"/>
          <w:sz w:val="24"/>
          <w:szCs w:val="24"/>
          <w:highlight w:val="none"/>
          <w:lang w:eastAsia="zh-CN"/>
        </w:rPr>
        <w:t>环境影响评价技术导则—地表水环境</w:t>
      </w:r>
      <w:r>
        <w:rPr>
          <w:rFonts w:hint="default" w:ascii="Times New Roman" w:hAnsi="Times New Roman" w:eastAsia="宋体" w:cs="Times New Roman"/>
          <w:color w:val="auto"/>
          <w:sz w:val="24"/>
          <w:szCs w:val="24"/>
          <w:highlight w:val="none"/>
        </w:rPr>
        <w:t>》（HJ2.3-2018）判断项目不属于水文要素影响型；项目地下水水位或土壤影响范围内无天然林、公益林、湿地等生态保护目标分布；本项目占地包括</w:t>
      </w:r>
      <w:r>
        <w:rPr>
          <w:rFonts w:hint="default" w:ascii="Times New Roman" w:hAnsi="Times New Roman" w:eastAsia="宋体" w:cs="Times New Roman"/>
          <w:color w:val="auto"/>
          <w:sz w:val="24"/>
          <w:szCs w:val="24"/>
          <w:highlight w:val="none"/>
          <w:lang w:val="en-US" w:eastAsia="zh-CN"/>
        </w:rPr>
        <w:t>露天采场、</w:t>
      </w:r>
      <w:r>
        <w:rPr>
          <w:rFonts w:hint="default" w:ascii="Times New Roman" w:hAnsi="Times New Roman" w:eastAsia="宋体" w:cs="Times New Roman"/>
          <w:color w:val="auto"/>
          <w:sz w:val="24"/>
          <w:szCs w:val="24"/>
          <w:highlight w:val="none"/>
        </w:rPr>
        <w:t>矿井工业场地、风井场地、场外道路等，总占地</w:t>
      </w:r>
      <w:r>
        <w:rPr>
          <w:rFonts w:hint="default" w:ascii="Times New Roman" w:hAnsi="Times New Roman" w:eastAsia="宋体" w:cs="Times New Roman"/>
          <w:color w:val="auto"/>
          <w:highlight w:val="none"/>
          <w:lang w:eastAsia="zh-CN"/>
        </w:rPr>
        <w:t>0.4780km</w:t>
      </w:r>
      <w:r>
        <w:rPr>
          <w:rFonts w:hint="default" w:ascii="Times New Roman" w:hAnsi="Times New Roman" w:eastAsia="宋体" w:cs="Times New Roman"/>
          <w:color w:val="auto"/>
          <w:highlight w:val="none"/>
          <w:vertAlign w:val="superscript"/>
          <w:lang w:eastAsia="zh-CN"/>
        </w:rPr>
        <w:t>2</w:t>
      </w:r>
      <w:r>
        <w:rPr>
          <w:rFonts w:hint="default" w:ascii="Times New Roman" w:hAnsi="Times New Roman" w:eastAsia="宋体" w:cs="Times New Roman"/>
          <w:color w:val="auto"/>
          <w:sz w:val="24"/>
          <w:szCs w:val="24"/>
          <w:highlight w:val="none"/>
        </w:rPr>
        <w:t>，小于20km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rPr>
        <w:t>。根据《</w:t>
      </w:r>
      <w:r>
        <w:rPr>
          <w:rFonts w:hint="eastAsia" w:cs="Times New Roman"/>
          <w:color w:val="auto"/>
          <w:sz w:val="24"/>
          <w:szCs w:val="24"/>
          <w:highlight w:val="none"/>
          <w:lang w:eastAsia="zh-CN"/>
        </w:rPr>
        <w:t>环境影响评价技术导则—生态影响</w:t>
      </w:r>
      <w:r>
        <w:rPr>
          <w:rFonts w:hint="default" w:ascii="Times New Roman" w:hAnsi="Times New Roman" w:eastAsia="宋体" w:cs="Times New Roman"/>
          <w:color w:val="auto"/>
          <w:sz w:val="24"/>
          <w:szCs w:val="24"/>
          <w:highlight w:val="none"/>
        </w:rPr>
        <w:t>》（HJ19-2022），项目生态评价等级为三级。</w:t>
      </w:r>
      <w:r>
        <w:rPr>
          <w:rFonts w:hint="default" w:ascii="Times New Roman" w:hAnsi="Times New Roman" w:eastAsia="宋体" w:cs="Times New Roman"/>
          <w:color w:val="auto"/>
          <w:highlight w:val="none"/>
        </w:rPr>
        <w:t>另外，本项目</w:t>
      </w:r>
      <w:r>
        <w:rPr>
          <w:rFonts w:hint="eastAsia" w:cs="Times New Roman"/>
          <w:color w:val="auto"/>
          <w:highlight w:val="none"/>
          <w:lang w:eastAsia="zh-CN"/>
        </w:rPr>
        <w:t>“</w:t>
      </w:r>
      <w:r>
        <w:rPr>
          <w:rFonts w:hint="default" w:ascii="Times New Roman" w:hAnsi="Times New Roman" w:eastAsia="宋体" w:cs="Times New Roman"/>
          <w:color w:val="auto"/>
          <w:highlight w:val="none"/>
        </w:rPr>
        <w:t>矿山开采可能导致矿区土地利用类型明显改变的情况下，评价等级应上调一级</w:t>
      </w:r>
      <w:r>
        <w:rPr>
          <w:rFonts w:hint="eastAsia" w:cs="Times New Roman"/>
          <w:color w:val="auto"/>
          <w:highlight w:val="none"/>
          <w:lang w:eastAsia="zh-CN"/>
        </w:rPr>
        <w:t>”</w:t>
      </w:r>
      <w:r>
        <w:rPr>
          <w:rFonts w:hint="default" w:ascii="Times New Roman" w:hAnsi="Times New Roman" w:eastAsia="宋体" w:cs="Times New Roman"/>
          <w:color w:val="auto"/>
          <w:highlight w:val="none"/>
        </w:rPr>
        <w:t>，确定本项目生态影响评价工作等级为二级。具体见表1-5-1。</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表1.5-1生态评价工作等级</w:t>
      </w:r>
      <w:r>
        <w:rPr>
          <w:rFonts w:hint="default" w:ascii="Times New Roman" w:hAnsi="Times New Roman" w:eastAsia="宋体" w:cs="Times New Roman"/>
          <w:b/>
          <w:color w:val="auto"/>
          <w:sz w:val="21"/>
          <w:szCs w:val="21"/>
          <w:highlight w:val="none"/>
          <w:lang w:val="en-US" w:eastAsia="zh-CN"/>
        </w:rPr>
        <w:t>判定</w:t>
      </w:r>
      <w:r>
        <w:rPr>
          <w:rFonts w:hint="default" w:ascii="Times New Roman" w:hAnsi="Times New Roman" w:eastAsia="宋体" w:cs="Times New Roman"/>
          <w:b/>
          <w:color w:val="auto"/>
          <w:sz w:val="21"/>
          <w:szCs w:val="21"/>
          <w:highlight w:val="none"/>
        </w:rPr>
        <w:t>表</w:t>
      </w:r>
    </w:p>
    <w:tbl>
      <w:tblPr>
        <w:tblStyle w:val="46"/>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08"/>
        <w:gridCol w:w="1714"/>
        <w:gridCol w:w="4704"/>
        <w:gridCol w:w="146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8"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w:t>
            </w:r>
          </w:p>
        </w:tc>
        <w:tc>
          <w:tcPr>
            <w:tcW w:w="171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工程占地</w:t>
            </w:r>
          </w:p>
        </w:tc>
        <w:tc>
          <w:tcPr>
            <w:tcW w:w="470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4"/>
                <w:highlight w:val="none"/>
              </w:rPr>
              <w:t>影响区域生态敏感性</w:t>
            </w:r>
          </w:p>
        </w:tc>
        <w:tc>
          <w:tcPr>
            <w:tcW w:w="1460"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评价工作等级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08"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指标</w:t>
            </w:r>
          </w:p>
        </w:tc>
        <w:tc>
          <w:tcPr>
            <w:tcW w:w="1714" w:type="dxa"/>
            <w:vAlign w:val="center"/>
          </w:tcPr>
          <w:p>
            <w:pPr>
              <w:pStyle w:val="104"/>
              <w:jc w:val="center"/>
              <w:rPr>
                <w:rFonts w:hint="default" w:ascii="Times New Roman" w:hAnsi="Times New Roman" w:eastAsia="宋体" w:cs="Times New Roman"/>
                <w:color w:val="auto"/>
                <w:highlight w:val="none"/>
                <w:vertAlign w:val="superscript"/>
                <w:lang w:eastAsia="zh-CN"/>
              </w:rPr>
            </w:pPr>
            <w:r>
              <w:rPr>
                <w:rFonts w:hint="default" w:ascii="Times New Roman" w:hAnsi="Times New Roman" w:eastAsia="宋体" w:cs="Times New Roman"/>
                <w:color w:val="auto"/>
                <w:highlight w:val="none"/>
                <w:lang w:val="en-US" w:eastAsia="zh-CN"/>
              </w:rPr>
              <w:t>占地</w:t>
            </w:r>
            <w:r>
              <w:rPr>
                <w:rFonts w:hint="default" w:ascii="Times New Roman" w:hAnsi="Times New Roman" w:eastAsia="宋体" w:cs="Times New Roman"/>
                <w:color w:val="auto"/>
                <w:highlight w:val="none"/>
                <w:lang w:eastAsia="zh-CN"/>
              </w:rPr>
              <w:t>0.4780km</w:t>
            </w:r>
            <w:r>
              <w:rPr>
                <w:rFonts w:hint="default" w:ascii="Times New Roman" w:hAnsi="Times New Roman" w:eastAsia="宋体" w:cs="Times New Roman"/>
                <w:color w:val="auto"/>
                <w:highlight w:val="none"/>
                <w:vertAlign w:val="superscript"/>
                <w:lang w:eastAsia="zh-CN"/>
              </w:rPr>
              <w:t>2</w:t>
            </w:r>
          </w:p>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vertAlign w:val="baseline"/>
                <w:lang w:eastAsia="zh-CN"/>
              </w:rPr>
              <w:t>（</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20km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vertAlign w:val="baseline"/>
                <w:lang w:eastAsia="zh-CN"/>
              </w:rPr>
              <w:t>）</w:t>
            </w:r>
          </w:p>
        </w:tc>
        <w:tc>
          <w:tcPr>
            <w:tcW w:w="4704"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不涉及国家公园、自然保护区、世界自然遗产、重要生境、自然公园及生态保护红线；不属于水文要素影响型；地下水水位或土壤影响范围内无天然林、公益林、湿地等生态保护目标分布</w:t>
            </w:r>
          </w:p>
        </w:tc>
        <w:tc>
          <w:tcPr>
            <w:tcW w:w="146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二</w:t>
            </w:r>
            <w:r>
              <w:rPr>
                <w:rFonts w:hint="default" w:ascii="Times New Roman" w:hAnsi="Times New Roman" w:eastAsia="宋体" w:cs="Times New Roman"/>
                <w:color w:val="auto"/>
                <w:highlight w:val="none"/>
              </w:rPr>
              <w:t>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86" w:type="dxa"/>
            <w:gridSpan w:val="4"/>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备注：根据占地面积、区域生态敏感性，确定评价工作等级为三级，根据矿山开采可能导致矿区土地利用类型明显改变的情况下，评价等级上调一级。</w:t>
            </w:r>
          </w:p>
        </w:tc>
      </w:tr>
    </w:tbl>
    <w:p>
      <w:pPr>
        <w:numPr>
          <w:ilvl w:val="0"/>
          <w:numId w:val="9"/>
        </w:num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评价范围</w:t>
      </w:r>
    </w:p>
    <w:p>
      <w:pPr>
        <w:spacing w:beforeLines="0" w:afterLines="0"/>
        <w:jc w:val="left"/>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4"/>
          <w:szCs w:val="24"/>
          <w:highlight w:val="none"/>
        </w:rPr>
        <w:t>依据《</w:t>
      </w:r>
      <w:r>
        <w:rPr>
          <w:rFonts w:hint="eastAsia" w:cs="Times New Roman"/>
          <w:color w:val="auto"/>
          <w:sz w:val="24"/>
          <w:szCs w:val="24"/>
          <w:highlight w:val="none"/>
          <w:lang w:eastAsia="zh-CN"/>
        </w:rPr>
        <w:t>环境影响评价技术导则—生态影响</w:t>
      </w:r>
      <w:r>
        <w:rPr>
          <w:rFonts w:hint="default" w:ascii="Times New Roman" w:hAnsi="Times New Roman" w:eastAsia="宋体" w:cs="Times New Roman"/>
          <w:color w:val="auto"/>
          <w:sz w:val="24"/>
          <w:szCs w:val="24"/>
          <w:highlight w:val="none"/>
        </w:rPr>
        <w:t>》（HJ19-2022），在充分体现生态完整性的基础上，根据项目评价工作等级和井工矿对生态因子的影响方式、影响程度，考虑项目全部活动的直接影响区域和间接影响区域，结合沉陷影响最大范围</w:t>
      </w:r>
      <w:r>
        <w:rPr>
          <w:rFonts w:hint="default" w:ascii="Times New Roman" w:hAnsi="Times New Roman" w:eastAsia="宋体" w:cs="Times New Roman"/>
          <w:color w:val="auto"/>
          <w:highlight w:val="none"/>
          <w:lang w:val="en-US" w:eastAsia="zh-CN"/>
        </w:rPr>
        <w:t>，将生态环境评价范围确定为矿区边界外扩500米，面积2.7</w:t>
      </w:r>
      <w:r>
        <w:rPr>
          <w:rFonts w:hint="eastAsia" w:cs="Times New Roman"/>
          <w:color w:val="auto"/>
          <w:highlight w:val="none"/>
          <w:lang w:val="en-US" w:eastAsia="zh-CN"/>
        </w:rPr>
        <w:t>9</w:t>
      </w:r>
      <w:r>
        <w:rPr>
          <w:rFonts w:hint="default" w:ascii="Times New Roman" w:hAnsi="Times New Roman" w:eastAsia="宋体" w:cs="Times New Roman"/>
          <w:color w:val="auto"/>
          <w:highlight w:val="none"/>
          <w:lang w:val="en-US" w:eastAsia="zh-CN"/>
        </w:rPr>
        <w:t>km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大气环境影响评价</w:t>
      </w:r>
      <w:r>
        <w:rPr>
          <w:rFonts w:hint="default" w:ascii="Times New Roman" w:hAnsi="Times New Roman" w:eastAsia="宋体" w:cs="Times New Roman"/>
          <w:color w:val="auto"/>
          <w:highlight w:val="none"/>
          <w:lang w:val="en-US" w:eastAsia="zh-CN"/>
        </w:rPr>
        <w:t>和评价范围</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1、评价等级</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本项目大气污染物主要为</w:t>
      </w:r>
      <w:r>
        <w:rPr>
          <w:rFonts w:hint="default" w:ascii="Times New Roman" w:hAnsi="Times New Roman" w:eastAsia="宋体" w:cs="Times New Roman"/>
          <w:color w:val="auto"/>
          <w:highlight w:val="none"/>
          <w:lang w:val="en-US" w:eastAsia="zh-CN"/>
        </w:rPr>
        <w:t>露天开采大气污染源主要为露天开采凿岩爆破废气、</w:t>
      </w:r>
      <w:r>
        <w:rPr>
          <w:rFonts w:hint="eastAsia" w:cs="Times New Roman"/>
          <w:color w:val="auto"/>
          <w:highlight w:val="none"/>
          <w:lang w:val="en-US" w:eastAsia="zh-CN"/>
        </w:rPr>
        <w:t>矿岩装卸粉尘</w:t>
      </w:r>
      <w:r>
        <w:rPr>
          <w:rFonts w:hint="default" w:ascii="Times New Roman" w:hAnsi="Times New Roman" w:eastAsia="宋体" w:cs="Times New Roman"/>
          <w:color w:val="auto"/>
          <w:highlight w:val="none"/>
          <w:lang w:val="en-US" w:eastAsia="zh-CN"/>
        </w:rPr>
        <w:t>、运输道路扬尘；井工开采大气污染物主要是井口排放粉尘（包括井下凿岩爆破废气、井下破碎及排矿粉尘）、</w:t>
      </w:r>
      <w:r>
        <w:rPr>
          <w:rFonts w:hint="eastAsia" w:cs="Times New Roman"/>
          <w:color w:val="auto"/>
          <w:highlight w:val="none"/>
          <w:lang w:val="en-US" w:eastAsia="zh-CN"/>
        </w:rPr>
        <w:t>矿岩装卸粉尘</w:t>
      </w:r>
      <w:r>
        <w:rPr>
          <w:rFonts w:hint="default" w:ascii="Times New Roman" w:hAnsi="Times New Roman" w:eastAsia="宋体" w:cs="Times New Roman"/>
          <w:color w:val="auto"/>
          <w:highlight w:val="none"/>
          <w:lang w:val="en-US" w:eastAsia="zh-CN"/>
        </w:rPr>
        <w:t>、运输道路扬尘，其中井下排放粉尘和露天采场粉尘为连续源，其他大气污染源排放形式为间断源。</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根据《环境影响评价技术导则</w:t>
      </w:r>
      <w:r>
        <w:rPr>
          <w:rFonts w:hint="eastAsia" w:cs="Times New Roman"/>
          <w:color w:val="auto"/>
          <w:highlight w:val="none"/>
          <w:lang w:eastAsia="zh-CN"/>
        </w:rPr>
        <w:t>—</w:t>
      </w:r>
      <w:r>
        <w:rPr>
          <w:rFonts w:hint="eastAsia" w:cs="Times New Roman"/>
          <w:color w:val="auto"/>
          <w:highlight w:val="none"/>
          <w:lang w:val="en-US" w:eastAsia="zh-CN"/>
        </w:rPr>
        <w:t>大气环境</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HJ2.2－2018</w:t>
      </w:r>
      <w:r>
        <w:rPr>
          <w:rFonts w:hint="eastAsia" w:cs="Times New Roman"/>
          <w:color w:val="auto"/>
          <w:highlight w:val="none"/>
          <w:lang w:eastAsia="zh-CN"/>
        </w:rPr>
        <w:t>）</w:t>
      </w:r>
      <w:r>
        <w:rPr>
          <w:rFonts w:hint="default" w:ascii="Times New Roman" w:hAnsi="Times New Roman" w:eastAsia="宋体" w:cs="Times New Roman"/>
          <w:color w:val="auto"/>
          <w:highlight w:val="none"/>
          <w:lang w:val="en-US" w:eastAsia="zh-CN"/>
        </w:rPr>
        <w:t>附录A表1，推荐</w:t>
      </w:r>
      <w:r>
        <w:rPr>
          <w:rFonts w:hint="default" w:ascii="Times New Roman" w:hAnsi="Times New Roman" w:eastAsia="宋体" w:cs="Times New Roman"/>
          <w:color w:val="auto"/>
          <w:highlight w:val="none"/>
        </w:rPr>
        <w:t>模式AERSCREEN</w:t>
      </w:r>
      <w:r>
        <w:rPr>
          <w:rFonts w:hint="default" w:ascii="Times New Roman" w:hAnsi="Times New Roman" w:eastAsia="宋体" w:cs="Times New Roman"/>
          <w:color w:val="auto"/>
          <w:highlight w:val="none"/>
          <w:lang w:val="en-US" w:eastAsia="zh-CN"/>
        </w:rPr>
        <w:t>适用于评价评价等级和评价范围判定，适用污染源为电源、面源和体源，适用排放形式为连续源。本项目大气污染源中</w:t>
      </w:r>
      <w:r>
        <w:rPr>
          <w:rFonts w:hint="eastAsia" w:cs="Times New Roman"/>
          <w:color w:val="auto"/>
          <w:highlight w:val="none"/>
          <w:lang w:val="en-US" w:eastAsia="zh-CN"/>
        </w:rPr>
        <w:t>矿岩装卸粉尘</w:t>
      </w:r>
      <w:r>
        <w:rPr>
          <w:rFonts w:hint="default" w:ascii="Times New Roman" w:hAnsi="Times New Roman" w:eastAsia="宋体" w:cs="Times New Roman"/>
          <w:color w:val="auto"/>
          <w:highlight w:val="none"/>
          <w:lang w:val="en-US" w:eastAsia="zh-CN"/>
        </w:rPr>
        <w:t>、运输道路扬尘均为间断源，且运输扬尘为线源，不适用于推荐模型。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因此本项目预测大气污染源为井下排放粉尘和露天采场粉尘</w:t>
      </w:r>
      <w:r>
        <w:rPr>
          <w:rFonts w:hint="default" w:ascii="Times New Roman" w:hAnsi="Times New Roman" w:eastAsia="宋体" w:cs="Times New Roman"/>
          <w:color w:val="auto"/>
          <w:highlight w:val="none"/>
        </w:rPr>
        <w:t>，计算其最大地面浓度占标率Pi和其地面浓度达到标准限值10%时所对应的最远距离D10%。</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（1）判定依据</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w:t>
      </w:r>
      <w:r>
        <w:rPr>
          <w:rFonts w:hint="eastAsia" w:cs="Times New Roman"/>
          <w:color w:val="auto"/>
          <w:highlight w:val="none"/>
          <w:lang w:eastAsia="zh-CN"/>
        </w:rPr>
        <w:t>—</w:t>
      </w:r>
      <w:r>
        <w:rPr>
          <w:rFonts w:hint="eastAsia" w:cs="Times New Roman"/>
          <w:color w:val="auto"/>
          <w:highlight w:val="none"/>
          <w:lang w:val="en-US" w:eastAsia="zh-CN"/>
        </w:rPr>
        <w:t>大气环境</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HJ2.2－2018</w:t>
      </w:r>
      <w:r>
        <w:rPr>
          <w:rFonts w:hint="eastAsia" w:cs="Times New Roman"/>
          <w:color w:val="auto"/>
          <w:highlight w:val="none"/>
          <w:lang w:eastAsia="zh-CN"/>
        </w:rPr>
        <w:t>）</w:t>
      </w:r>
      <w:r>
        <w:rPr>
          <w:rFonts w:hint="default" w:ascii="Times New Roman" w:hAnsi="Times New Roman" w:eastAsia="宋体" w:cs="Times New Roman"/>
          <w:color w:val="auto"/>
          <w:highlight w:val="none"/>
        </w:rPr>
        <w:t>有关规定，大气环境影响评价等级根据污染物的最大地面浓度（Ci）占标率（Pi）及排放特征确定。计算每一种污染物的最大地面浓度占标率Pi（第i个污染物），及第i个污染物的地面浓度达标准限值10%时所对应的最远距离D10%。其中Pi定义为：</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25" o:spt="75" type="#_x0000_t75" style="height:33.75pt;width:78.75pt;" o:ole="t" filled="f" o:preferrelative="t" stroked="f" coordsize="21600,21600">
            <v:path/>
            <v:fill on="f" focussize="0,0"/>
            <v:stroke on="f" joinstyle="miter"/>
            <v:imagedata r:id="rId36" o:title=""/>
            <o:lock v:ext="edit" aspectratio="t"/>
            <w10:wrap type="none"/>
            <w10:anchorlock/>
          </v:shape>
          <o:OLEObject Type="Embed" ProgID="Equation.3" ShapeID="_x0000_i1025" DrawAspect="Content" ObjectID="_1468075725" r:id="rId35">
            <o:LockedField>false</o:LockedField>
          </o:OLEObject>
        </w:objec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—第i个污染物的最大地面浓度占标率，%；</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—采用估算模式计算出的第i个污染物的最大地面浓度，mg/m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0i</w:t>
      </w:r>
      <w:r>
        <w:rPr>
          <w:rFonts w:hint="default" w:ascii="Times New Roman" w:hAnsi="Times New Roman" w:eastAsia="宋体" w:cs="Times New Roman"/>
          <w:color w:val="auto"/>
          <w:highlight w:val="none"/>
        </w:rPr>
        <w:t>—第i个污染物的环境空气质量标准，mg/m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eastAsia" w:cs="Times New Roman"/>
          <w:color w:val="auto"/>
          <w:highlight w:val="none"/>
          <w:lang w:eastAsia="zh-CN"/>
        </w:rPr>
        <w:t>环境影响评价技术导则—大气环境</w:t>
      </w:r>
      <w:r>
        <w:rPr>
          <w:rFonts w:hint="default" w:ascii="Times New Roman" w:hAnsi="Times New Roman" w:eastAsia="宋体" w:cs="Times New Roman"/>
          <w:color w:val="auto"/>
          <w:highlight w:val="none"/>
        </w:rPr>
        <w:t>》（HJ2.2-2018）中有关规定，大气环境影响评价等级判别依据见表1.5-2。</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bookmarkStart w:id="137" w:name="_Toc22493"/>
      <w:bookmarkStart w:id="138" w:name="_Toc31221"/>
      <w:r>
        <w:rPr>
          <w:rFonts w:hint="default" w:ascii="Times New Roman" w:hAnsi="Times New Roman" w:eastAsia="宋体" w:cs="Times New Roman"/>
          <w:b/>
          <w:color w:val="auto"/>
          <w:sz w:val="21"/>
          <w:szCs w:val="21"/>
          <w:highlight w:val="none"/>
        </w:rPr>
        <w:t>表1.5-2大气环境影响评价等级</w:t>
      </w:r>
      <w:bookmarkEnd w:id="137"/>
      <w:bookmarkEnd w:id="138"/>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90"/>
        <w:gridCol w:w="63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90"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639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90"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639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90"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639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1%≤Pmax＜10%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90"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639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Pmax＜1%</w:t>
            </w:r>
          </w:p>
        </w:tc>
      </w:tr>
    </w:tbl>
    <w:p>
      <w:pPr>
        <w:ind w:firstLine="48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（2）估算模式选取参数</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①模式参数</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表1.5-3估算模型参数表</w:t>
      </w:r>
    </w:p>
    <w:tbl>
      <w:tblPr>
        <w:tblStyle w:val="45"/>
        <w:tblW w:w="92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29"/>
        <w:gridCol w:w="3928"/>
        <w:gridCol w:w="14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7"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参数</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929" w:type="dxa"/>
            <w:vMerge w:val="restar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城市/农村选项</w:t>
            </w:r>
          </w:p>
        </w:tc>
        <w:tc>
          <w:tcPr>
            <w:tcW w:w="3928"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城市/农村</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929" w:type="dxa"/>
            <w:vMerge w:val="continue"/>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3928"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人口数（城市选项时）</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7"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最高环境温度/℃</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7"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最低环境温度/℃</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7"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土地利用类型</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阔叶林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57"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区域湿度条件</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3"/>
                <w:szCs w:val="23"/>
                <w:highlight w:val="none"/>
              </w:rPr>
              <w:t>潮湿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929" w:type="dxa"/>
            <w:vMerge w:val="restar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是否考虑地形</w:t>
            </w:r>
          </w:p>
        </w:tc>
        <w:tc>
          <w:tcPr>
            <w:tcW w:w="3928"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考虑地形</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929" w:type="dxa"/>
            <w:vMerge w:val="continue"/>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3928"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地形数据分辨率</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929" w:type="dxa"/>
            <w:vMerge w:val="restar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是否考虑岸线熏烟</w:t>
            </w:r>
          </w:p>
        </w:tc>
        <w:tc>
          <w:tcPr>
            <w:tcW w:w="3928"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考虑岸线熏烟</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929" w:type="dxa"/>
            <w:vMerge w:val="continue"/>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3928"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海岸线距离/m</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3929" w:type="dxa"/>
            <w:vMerge w:val="continue"/>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3928"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海岸线方向/°</w:t>
            </w:r>
          </w:p>
        </w:tc>
        <w:tc>
          <w:tcPr>
            <w:tcW w:w="14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②污染源强</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本项目估算模式预测所采用的源强见下表1.5-4。</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表1.5-4主要废气污染源参数一览表(矩形面源)</w:t>
      </w:r>
    </w:p>
    <w:tbl>
      <w:tblPr>
        <w:tblStyle w:val="45"/>
        <w:tblW w:w="0" w:type="auto"/>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384"/>
        <w:gridCol w:w="1320"/>
        <w:gridCol w:w="1144"/>
        <w:gridCol w:w="791"/>
        <w:gridCol w:w="975"/>
        <w:gridCol w:w="1080"/>
        <w:gridCol w:w="1125"/>
        <w:gridCol w:w="129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trPr>
        <w:tc>
          <w:tcPr>
            <w:tcW w:w="1384" w:type="dxa"/>
            <w:vMerge w:val="restart"/>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bookmarkStart w:id="139" w:name="_Toc1323"/>
            <w:bookmarkStart w:id="140" w:name="_Toc32126"/>
            <w:r>
              <w:rPr>
                <w:rFonts w:hint="default" w:ascii="Times New Roman" w:hAnsi="Times New Roman" w:eastAsia="宋体" w:cs="Times New Roman"/>
                <w:color w:val="auto"/>
                <w:highlight w:val="none"/>
                <w:lang w:val="en-US" w:eastAsia="zh-CN"/>
              </w:rPr>
              <w:t>污染源名称</w:t>
            </w:r>
          </w:p>
        </w:tc>
        <w:tc>
          <w:tcPr>
            <w:tcW w:w="2464" w:type="dxa"/>
            <w:gridSpan w:val="2"/>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坐标(°)</w:t>
            </w:r>
          </w:p>
        </w:tc>
        <w:tc>
          <w:tcPr>
            <w:tcW w:w="791" w:type="dxa"/>
            <w:vMerge w:val="restart"/>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海拔高度(m)</w:t>
            </w:r>
          </w:p>
        </w:tc>
        <w:tc>
          <w:tcPr>
            <w:tcW w:w="3180" w:type="dxa"/>
            <w:gridSpan w:val="3"/>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矩形面源</w:t>
            </w:r>
          </w:p>
        </w:tc>
        <w:tc>
          <w:tcPr>
            <w:tcW w:w="1293"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污染物排放速率(kg/h)</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trPr>
        <w:tc>
          <w:tcPr>
            <w:tcW w:w="1384" w:type="dxa"/>
            <w:vMerge w:val="continue"/>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p>
        </w:tc>
        <w:tc>
          <w:tcPr>
            <w:tcW w:w="132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经度</w:t>
            </w:r>
          </w:p>
        </w:tc>
        <w:tc>
          <w:tcPr>
            <w:tcW w:w="114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纬度</w:t>
            </w:r>
          </w:p>
        </w:tc>
        <w:tc>
          <w:tcPr>
            <w:tcW w:w="791" w:type="dxa"/>
            <w:vMerge w:val="continue"/>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p>
        </w:tc>
        <w:tc>
          <w:tcPr>
            <w:tcW w:w="97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长度(m)</w:t>
            </w:r>
          </w:p>
        </w:tc>
        <w:tc>
          <w:tcPr>
            <w:tcW w:w="108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宽度(m)</w:t>
            </w:r>
          </w:p>
        </w:tc>
        <w:tc>
          <w:tcPr>
            <w:tcW w:w="112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有效高度(m)</w:t>
            </w:r>
          </w:p>
        </w:tc>
        <w:tc>
          <w:tcPr>
            <w:tcW w:w="1293"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TSP</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trPr>
        <w:tc>
          <w:tcPr>
            <w:tcW w:w="138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露天一采场</w:t>
            </w:r>
          </w:p>
        </w:tc>
        <w:tc>
          <w:tcPr>
            <w:tcW w:w="132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123.36522</w:t>
            </w:r>
          </w:p>
        </w:tc>
        <w:tc>
          <w:tcPr>
            <w:tcW w:w="114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40.452106</w:t>
            </w:r>
          </w:p>
        </w:tc>
        <w:tc>
          <w:tcPr>
            <w:tcW w:w="791"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312.0</w:t>
            </w:r>
          </w:p>
        </w:tc>
        <w:tc>
          <w:tcPr>
            <w:tcW w:w="97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360</w:t>
            </w:r>
          </w:p>
        </w:tc>
        <w:tc>
          <w:tcPr>
            <w:tcW w:w="108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187</w:t>
            </w:r>
          </w:p>
        </w:tc>
        <w:tc>
          <w:tcPr>
            <w:tcW w:w="112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3.00</w:t>
            </w:r>
          </w:p>
        </w:tc>
        <w:tc>
          <w:tcPr>
            <w:tcW w:w="1293"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0.0590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trPr>
        <w:tc>
          <w:tcPr>
            <w:tcW w:w="138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露天二采场</w:t>
            </w:r>
          </w:p>
        </w:tc>
        <w:tc>
          <w:tcPr>
            <w:tcW w:w="132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123.369551</w:t>
            </w:r>
          </w:p>
        </w:tc>
        <w:tc>
          <w:tcPr>
            <w:tcW w:w="114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40.449564</w:t>
            </w:r>
          </w:p>
        </w:tc>
        <w:tc>
          <w:tcPr>
            <w:tcW w:w="791"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357.0</w:t>
            </w:r>
          </w:p>
        </w:tc>
        <w:tc>
          <w:tcPr>
            <w:tcW w:w="97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193</w:t>
            </w:r>
          </w:p>
        </w:tc>
        <w:tc>
          <w:tcPr>
            <w:tcW w:w="108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172</w:t>
            </w:r>
          </w:p>
        </w:tc>
        <w:tc>
          <w:tcPr>
            <w:tcW w:w="112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3.00</w:t>
            </w:r>
          </w:p>
        </w:tc>
        <w:tc>
          <w:tcPr>
            <w:tcW w:w="1293"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0.0590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trPr>
        <w:tc>
          <w:tcPr>
            <w:tcW w:w="138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平硐1</w:t>
            </w:r>
          </w:p>
        </w:tc>
        <w:tc>
          <w:tcPr>
            <w:tcW w:w="132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123.372322</w:t>
            </w:r>
          </w:p>
        </w:tc>
        <w:tc>
          <w:tcPr>
            <w:tcW w:w="114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40.451852</w:t>
            </w:r>
          </w:p>
        </w:tc>
        <w:tc>
          <w:tcPr>
            <w:tcW w:w="791"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445.0</w:t>
            </w:r>
          </w:p>
        </w:tc>
        <w:tc>
          <w:tcPr>
            <w:tcW w:w="97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w:t>
            </w:r>
          </w:p>
        </w:tc>
        <w:tc>
          <w:tcPr>
            <w:tcW w:w="108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w:t>
            </w:r>
          </w:p>
        </w:tc>
        <w:tc>
          <w:tcPr>
            <w:tcW w:w="112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5.00</w:t>
            </w:r>
          </w:p>
        </w:tc>
        <w:tc>
          <w:tcPr>
            <w:tcW w:w="1293"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0.0080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trPr>
        <w:tc>
          <w:tcPr>
            <w:tcW w:w="138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平硐2</w:t>
            </w:r>
          </w:p>
        </w:tc>
        <w:tc>
          <w:tcPr>
            <w:tcW w:w="132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123.373122</w:t>
            </w:r>
          </w:p>
        </w:tc>
        <w:tc>
          <w:tcPr>
            <w:tcW w:w="1144"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40.451297</w:t>
            </w:r>
          </w:p>
        </w:tc>
        <w:tc>
          <w:tcPr>
            <w:tcW w:w="791"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402.0</w:t>
            </w:r>
          </w:p>
        </w:tc>
        <w:tc>
          <w:tcPr>
            <w:tcW w:w="97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w:t>
            </w:r>
          </w:p>
        </w:tc>
        <w:tc>
          <w:tcPr>
            <w:tcW w:w="1080"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w:t>
            </w:r>
          </w:p>
        </w:tc>
        <w:tc>
          <w:tcPr>
            <w:tcW w:w="1125"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5.00</w:t>
            </w:r>
          </w:p>
        </w:tc>
        <w:tc>
          <w:tcPr>
            <w:tcW w:w="1293"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0.0080</w:t>
            </w:r>
          </w:p>
        </w:tc>
      </w:tr>
    </w:tbl>
    <w:p>
      <w:pPr>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（3）估算模式计算结果</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eastAsia" w:cs="Times New Roman"/>
          <w:color w:val="auto"/>
          <w:highlight w:val="none"/>
          <w:lang w:eastAsia="zh-CN"/>
        </w:rPr>
        <w:t>环境影响评价技术导则—大气环境</w:t>
      </w:r>
      <w:r>
        <w:rPr>
          <w:rFonts w:hint="default" w:ascii="Times New Roman" w:hAnsi="Times New Roman" w:eastAsia="宋体" w:cs="Times New Roman"/>
          <w:color w:val="auto"/>
          <w:highlight w:val="none"/>
        </w:rPr>
        <w:t>》（HJ2.2-2018）中的评价工作等级划分，本项目采用估算模式计算后的结果如下：</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w:t>
      </w:r>
      <w:r>
        <w:rPr>
          <w:rFonts w:hint="default" w:ascii="Times New Roman" w:hAnsi="Times New Roman" w:eastAsia="宋体" w:cs="Times New Roman"/>
          <w:b/>
          <w:color w:val="auto"/>
          <w:sz w:val="21"/>
          <w:szCs w:val="21"/>
          <w:highlight w:val="none"/>
          <w:lang w:val="en-US" w:eastAsia="zh-CN"/>
        </w:rPr>
        <w:t>5</w:t>
      </w:r>
      <w:r>
        <w:rPr>
          <w:rFonts w:hint="default" w:ascii="Times New Roman" w:hAnsi="Times New Roman" w:eastAsia="宋体" w:cs="Times New Roman"/>
          <w:b/>
          <w:color w:val="auto"/>
          <w:sz w:val="21"/>
          <w:szCs w:val="21"/>
          <w:highlight w:val="none"/>
        </w:rPr>
        <w:t>污染物最大占标率计算结果</w:t>
      </w:r>
    </w:p>
    <w:tbl>
      <w:tblPr>
        <w:tblStyle w:val="46"/>
        <w:tblW w:w="924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0"/>
        <w:gridCol w:w="1035"/>
        <w:gridCol w:w="1643"/>
        <w:gridCol w:w="1643"/>
        <w:gridCol w:w="1643"/>
        <w:gridCol w:w="16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污染源名称</w:t>
            </w:r>
          </w:p>
        </w:tc>
        <w:tc>
          <w:tcPr>
            <w:tcW w:w="1035"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64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Cmax(</w:t>
            </w:r>
            <w:r>
              <w:rPr>
                <w:rFonts w:hint="default" w:ascii="Times New Roman" w:hAnsi="Times New Roman" w:eastAsia="宋体" w:cs="Times New Roman"/>
                <w:color w:val="auto"/>
                <w:szCs w:val="21"/>
                <w:highlight w:val="none"/>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164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r>
              <w:rPr>
                <w:rFonts w:hint="default" w:ascii="Times New Roman" w:hAnsi="Times New Roman" w:eastAsia="宋体" w:cs="Times New Roman"/>
                <w:color w:val="auto"/>
                <w:szCs w:val="21"/>
                <w:highlight w:val="none"/>
              </w:rPr>
              <w:t>μ</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c>
          <w:tcPr>
            <w:tcW w:w="164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w:t>
            </w:r>
          </w:p>
        </w:tc>
        <w:tc>
          <w:tcPr>
            <w:tcW w:w="1645"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D10%（m）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平硐1</w:t>
            </w:r>
          </w:p>
        </w:tc>
        <w:tc>
          <w:tcPr>
            <w:tcW w:w="1035" w:type="dxa"/>
            <w:tcBorders>
              <w:tl2br w:val="nil"/>
              <w:tr2bl w:val="nil"/>
            </w:tcBorders>
            <w:vAlign w:val="center"/>
          </w:tcPr>
          <w:p>
            <w:pPr>
              <w:pStyle w:val="27"/>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TSP</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69.1080</w:t>
            </w:r>
          </w:p>
        </w:tc>
        <w:tc>
          <w:tcPr>
            <w:tcW w:w="1643" w:type="dxa"/>
            <w:tcBorders>
              <w:tl2br w:val="nil"/>
              <w:tr2bl w:val="nil"/>
            </w:tcBorders>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900</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7.6787</w:t>
            </w:r>
          </w:p>
        </w:tc>
        <w:tc>
          <w:tcPr>
            <w:tcW w:w="16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平硐2</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TSP</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69.1080</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900</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7.6787</w:t>
            </w:r>
          </w:p>
        </w:tc>
        <w:tc>
          <w:tcPr>
            <w:tcW w:w="16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露天一采场</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TSP</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47.7080</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900</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5.3009</w:t>
            </w:r>
          </w:p>
        </w:tc>
        <w:tc>
          <w:tcPr>
            <w:tcW w:w="16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4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露天二采场</w:t>
            </w:r>
          </w:p>
        </w:tc>
        <w:tc>
          <w:tcPr>
            <w:tcW w:w="103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TSP</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77.3610</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900</w:t>
            </w:r>
          </w:p>
        </w:tc>
        <w:tc>
          <w:tcPr>
            <w:tcW w:w="164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8.5957</w:t>
            </w:r>
          </w:p>
        </w:tc>
        <w:tc>
          <w:tcPr>
            <w:tcW w:w="16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根据表1-5-5的计算结果，本项目Cmax=77.361</w:t>
      </w:r>
      <w:r>
        <w:rPr>
          <w:rFonts w:hint="default" w:ascii="Times New Roman" w:hAnsi="Times New Roman" w:eastAsia="宋体" w:cs="Times New Roman"/>
          <w:color w:val="auto"/>
          <w:szCs w:val="21"/>
          <w:highlight w:val="none"/>
        </w:rPr>
        <w:t>μ</w:t>
      </w:r>
      <w:r>
        <w:rPr>
          <w:rFonts w:hint="default" w:ascii="Times New Roman" w:hAnsi="Times New Roman" w:eastAsia="宋体" w:cs="Times New Roman"/>
          <w:color w:val="auto"/>
          <w:highlight w:val="none"/>
        </w:rPr>
        <w:t>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，1%≤P</w:t>
      </w:r>
      <w:r>
        <w:rPr>
          <w:rFonts w:hint="default" w:ascii="Times New Roman" w:hAnsi="Times New Roman" w:eastAsia="宋体" w:cs="Times New Roman"/>
          <w:color w:val="auto"/>
          <w:highlight w:val="none"/>
          <w:vertAlign w:val="subscript"/>
        </w:rPr>
        <w:t>MAX</w:t>
      </w:r>
      <w:r>
        <w:rPr>
          <w:rFonts w:hint="default" w:ascii="Times New Roman" w:hAnsi="Times New Roman" w:eastAsia="宋体" w:cs="Times New Roman"/>
          <w:color w:val="auto"/>
          <w:highlight w:val="none"/>
        </w:rPr>
        <w:t>=8.5957%＜10%，根据《</w:t>
      </w:r>
      <w:r>
        <w:rPr>
          <w:rFonts w:hint="eastAsia" w:cs="Times New Roman"/>
          <w:color w:val="auto"/>
          <w:highlight w:val="none"/>
          <w:lang w:eastAsia="zh-CN"/>
        </w:rPr>
        <w:t>环境影响评价技术导则—大气环境</w:t>
      </w:r>
      <w:r>
        <w:rPr>
          <w:rFonts w:hint="default" w:ascii="Times New Roman" w:hAnsi="Times New Roman" w:eastAsia="宋体" w:cs="Times New Roman"/>
          <w:color w:val="auto"/>
          <w:highlight w:val="none"/>
        </w:rPr>
        <w:t>》（HJ2.2-2018）分级判据，确定本项目大气环境影响评价工作等级为二级。</w:t>
      </w:r>
    </w:p>
    <w:p>
      <w:pPr>
        <w:numPr>
          <w:ilvl w:val="0"/>
          <w:numId w:val="10"/>
        </w:num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评价范围</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本项目大气评价范围以露天采区和平硐口为中心，边长为5km的矩形作为大气环境影响评价范围。</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w:t>
      </w:r>
      <w:bookmarkEnd w:id="139"/>
      <w:bookmarkEnd w:id="140"/>
      <w:r>
        <w:rPr>
          <w:rFonts w:hint="default" w:ascii="Times New Roman" w:hAnsi="Times New Roman" w:eastAsia="宋体" w:cs="Times New Roman"/>
          <w:color w:val="auto"/>
          <w:highlight w:val="none"/>
        </w:rPr>
        <w:t>环境评价等级和评价范围</w:t>
      </w:r>
    </w:p>
    <w:p>
      <w:pPr>
        <w:ind w:firstLine="480"/>
        <w:rPr>
          <w:rFonts w:hint="default" w:ascii="Times New Roman" w:hAnsi="Times New Roman" w:eastAsia="宋体" w:cs="Times New Roman"/>
          <w:color w:val="auto"/>
          <w:highlight w:val="none"/>
        </w:rPr>
      </w:pPr>
      <w:bookmarkStart w:id="141" w:name="_Toc6780"/>
      <w:bookmarkStart w:id="142" w:name="_Toc11189"/>
      <w:r>
        <w:rPr>
          <w:rFonts w:hint="default" w:ascii="Times New Roman" w:hAnsi="Times New Roman" w:eastAsia="宋体" w:cs="Times New Roman"/>
          <w:color w:val="auto"/>
          <w:highlight w:val="none"/>
        </w:rPr>
        <w:t>根据《环境影响评价技术导则—地表水环境》（</w:t>
      </w:r>
      <w:r>
        <w:rPr>
          <w:rFonts w:hint="eastAsia" w:cs="Times New Roman"/>
          <w:color w:val="auto"/>
          <w:highlight w:val="none"/>
          <w:lang w:eastAsia="zh-CN"/>
        </w:rPr>
        <w:t>HJ2.3—2018</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本项目为非金属矿开采项目，属于水污染影响型建设项目。本项目产生废水主要为露天采坑排水、矿井涌水和生活污水。本项目露天采坑排水、矿井涌水为矿山生产主要供水水源，经沉淀后复用于矿山生产、抑尘、绿化用水等使用，不外排；生活污水排入旱厕定期清掏，不外排。</w:t>
      </w:r>
      <w:r>
        <w:rPr>
          <w:rFonts w:hint="default" w:ascii="Times New Roman" w:hAnsi="Times New Roman" w:eastAsia="宋体" w:cs="Times New Roman"/>
          <w:color w:val="auto"/>
          <w:highlight w:val="none"/>
        </w:rPr>
        <w:t>根据《环境影响评价技术导则—地表水环境》（</w:t>
      </w:r>
      <w:r>
        <w:rPr>
          <w:rFonts w:hint="eastAsia" w:cs="Times New Roman"/>
          <w:color w:val="auto"/>
          <w:highlight w:val="none"/>
          <w:lang w:eastAsia="zh-CN"/>
        </w:rPr>
        <w:t>HJ2.3—2018</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5.2.2.2章节要求</w:t>
      </w:r>
      <w:r>
        <w:rPr>
          <w:rFonts w:hint="eastAsia" w:cs="Times New Roman"/>
          <w:color w:val="auto"/>
          <w:highlight w:val="none"/>
          <w:lang w:eastAsia="zh-CN"/>
        </w:rPr>
        <w:t>“</w:t>
      </w:r>
      <w:r>
        <w:rPr>
          <w:rFonts w:hint="default" w:ascii="Times New Roman" w:hAnsi="Times New Roman" w:eastAsia="宋体" w:cs="Times New Roman"/>
          <w:color w:val="auto"/>
          <w:highlight w:val="none"/>
        </w:rPr>
        <w:t>建设项目生产工艺中有废水产生，但作为回水使用，不排放到外环境的，按三级B评价</w:t>
      </w:r>
      <w:r>
        <w:rPr>
          <w:rFonts w:hint="eastAsia" w:cs="Times New Roman"/>
          <w:color w:val="auto"/>
          <w:highlight w:val="none"/>
          <w:lang w:eastAsia="zh-CN"/>
        </w:rPr>
        <w:t>”</w:t>
      </w:r>
      <w:r>
        <w:rPr>
          <w:rFonts w:hint="default" w:ascii="Times New Roman" w:hAnsi="Times New Roman" w:eastAsia="宋体" w:cs="Times New Roman"/>
          <w:color w:val="auto"/>
          <w:highlight w:val="none"/>
        </w:rPr>
        <w:t>。因此，确定本项目地表水影响评价级别为三级B。</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根据导则规定，水污染影响类型</w:t>
      </w:r>
      <w:r>
        <w:rPr>
          <w:rFonts w:hint="default" w:ascii="Times New Roman" w:hAnsi="Times New Roman" w:eastAsia="宋体" w:cs="Times New Roman"/>
          <w:color w:val="auto"/>
          <w:highlight w:val="none"/>
        </w:rPr>
        <w:t>三级B</w:t>
      </w:r>
      <w:r>
        <w:rPr>
          <w:rFonts w:hint="default" w:ascii="Times New Roman" w:hAnsi="Times New Roman" w:eastAsia="宋体" w:cs="Times New Roman"/>
          <w:color w:val="auto"/>
          <w:highlight w:val="none"/>
          <w:lang w:val="en-US" w:eastAsia="zh-CN"/>
        </w:rPr>
        <w:t>评价可不进行水环境影响预测，因此本项目不设置地表水评价范围，评价</w:t>
      </w:r>
      <w:r>
        <w:rPr>
          <w:rFonts w:hint="default" w:ascii="Times New Roman" w:hAnsi="Times New Roman" w:eastAsia="宋体" w:cs="Times New Roman"/>
          <w:color w:val="auto"/>
          <w:highlight w:val="none"/>
        </w:rPr>
        <w:t>重点是分析矿井涌水综合利用途径的可靠性。</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地下水环境</w:t>
      </w:r>
      <w:bookmarkEnd w:id="141"/>
      <w:bookmarkEnd w:id="142"/>
      <w:r>
        <w:rPr>
          <w:rFonts w:hint="default" w:ascii="Times New Roman" w:hAnsi="Times New Roman" w:eastAsia="宋体" w:cs="Times New Roman"/>
          <w:color w:val="auto"/>
          <w:highlight w:val="none"/>
        </w:rPr>
        <w:t>评价等级</w:t>
      </w:r>
      <w:r>
        <w:rPr>
          <w:rFonts w:hint="default" w:ascii="Times New Roman" w:hAnsi="Times New Roman" w:eastAsia="宋体" w:cs="Times New Roman"/>
          <w:color w:val="auto"/>
          <w:highlight w:val="none"/>
          <w:lang w:val="en-US" w:eastAsia="zh-CN"/>
        </w:rPr>
        <w:t>和评价范围</w:t>
      </w:r>
    </w:p>
    <w:p>
      <w:pPr>
        <w:rPr>
          <w:rFonts w:hint="default" w:ascii="Times New Roman" w:hAnsi="Times New Roman" w:eastAsia="宋体" w:cs="Times New Roman"/>
          <w:color w:val="auto"/>
          <w:highlight w:val="none"/>
          <w:lang w:val="en-US" w:eastAsia="zh-CN"/>
        </w:rPr>
      </w:pPr>
      <w:bookmarkStart w:id="143" w:name="_Toc18857"/>
      <w:bookmarkStart w:id="144" w:name="_Toc30227"/>
      <w:r>
        <w:rPr>
          <w:rFonts w:hint="default" w:ascii="Times New Roman" w:hAnsi="Times New Roman" w:eastAsia="宋体" w:cs="Times New Roman"/>
          <w:color w:val="auto"/>
          <w:highlight w:val="none"/>
          <w:lang w:val="en-US" w:eastAsia="zh-CN"/>
        </w:rPr>
        <w:t>1、评价等级</w:t>
      </w:r>
    </w:p>
    <w:p>
      <w:pPr>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w:t>
      </w:r>
      <w:r>
        <w:rPr>
          <w:rFonts w:hint="eastAsia" w:cs="Times New Roman"/>
          <w:snapToGrid w:val="0"/>
          <w:color w:val="auto"/>
          <w:highlight w:val="none"/>
          <w:lang w:eastAsia="zh-CN"/>
        </w:rPr>
        <w:t>环境影响评价技术导则—地下水环境</w:t>
      </w:r>
      <w:r>
        <w:rPr>
          <w:rFonts w:hint="default" w:ascii="Times New Roman" w:hAnsi="Times New Roman" w:eastAsia="宋体" w:cs="Times New Roman"/>
          <w:snapToGrid w:val="0"/>
          <w:color w:val="auto"/>
          <w:highlight w:val="none"/>
        </w:rPr>
        <w:t>》（HJ610-2016）中对建设项目评价工作等级划分的主要依据为地下水环境敏感程度和建设项目行业分类。</w:t>
      </w:r>
    </w:p>
    <w:p>
      <w:pPr>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（1）地下水环境敏感程度分级</w:t>
      </w:r>
    </w:p>
    <w:p>
      <w:pPr>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项目场地地下水环境敏感程度分为敏感、较敏感、不敏感三级，分级原则如表1.5-</w:t>
      </w:r>
      <w:r>
        <w:rPr>
          <w:rFonts w:hint="default" w:ascii="Times New Roman" w:hAnsi="Times New Roman" w:eastAsia="宋体" w:cs="Times New Roman"/>
          <w:snapToGrid w:val="0"/>
          <w:color w:val="auto"/>
          <w:highlight w:val="none"/>
          <w:lang w:val="en-US" w:eastAsia="zh-CN"/>
        </w:rPr>
        <w:t>6</w:t>
      </w:r>
      <w:r>
        <w:rPr>
          <w:rFonts w:hint="default" w:ascii="Times New Roman" w:hAnsi="Times New Roman" w:eastAsia="宋体" w:cs="Times New Roman"/>
          <w:snapToGrid w:val="0"/>
          <w:color w:val="auto"/>
          <w:highlight w:val="none"/>
        </w:rPr>
        <w:t>所示。</w:t>
      </w:r>
      <w:r>
        <w:rPr>
          <w:rFonts w:hint="default" w:ascii="Times New Roman" w:hAnsi="Times New Roman" w:eastAsia="宋体" w:cs="Times New Roman"/>
          <w:color w:val="auto"/>
          <w:highlight w:val="none"/>
        </w:rPr>
        <w:t>根据本次现场调查，本项目下游</w:t>
      </w:r>
      <w:r>
        <w:rPr>
          <w:rFonts w:hint="eastAsia" w:cs="Times New Roman"/>
          <w:color w:val="auto"/>
          <w:highlight w:val="none"/>
          <w:lang w:val="en-US" w:eastAsia="zh-CN"/>
        </w:rPr>
        <w:t>约</w:t>
      </w:r>
      <w:r>
        <w:rPr>
          <w:rFonts w:hint="default"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k</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lang w:eastAsia="zh-CN"/>
        </w:rPr>
        <w:t>贾家堡</w:t>
      </w:r>
      <w:r>
        <w:rPr>
          <w:rFonts w:hint="default" w:ascii="Times New Roman" w:hAnsi="Times New Roman" w:eastAsia="宋体" w:cs="Times New Roman"/>
          <w:color w:val="auto"/>
          <w:highlight w:val="none"/>
        </w:rPr>
        <w:t>分布</w:t>
      </w:r>
      <w:r>
        <w:rPr>
          <w:rFonts w:hint="default" w:ascii="Times New Roman" w:hAnsi="Times New Roman" w:eastAsia="宋体" w:cs="Times New Roman"/>
          <w:color w:val="auto"/>
          <w:highlight w:val="none"/>
          <w:lang w:val="en-US" w:eastAsia="zh-CN"/>
        </w:rPr>
        <w:t>有1</w:t>
      </w:r>
      <w:r>
        <w:rPr>
          <w:rFonts w:hint="default" w:ascii="Times New Roman" w:hAnsi="Times New Roman" w:eastAsia="宋体" w:cs="Times New Roman"/>
          <w:color w:val="auto"/>
          <w:highlight w:val="none"/>
        </w:rPr>
        <w:t>口分散式饮用水水井，</w:t>
      </w:r>
      <w:r>
        <w:rPr>
          <w:rFonts w:hint="default" w:ascii="Times New Roman" w:hAnsi="Times New Roman" w:eastAsia="宋体" w:cs="Times New Roman"/>
          <w:color w:val="auto"/>
          <w:highlight w:val="none"/>
          <w:lang w:val="en-US" w:eastAsia="zh-CN"/>
        </w:rPr>
        <w:t>水</w:t>
      </w:r>
      <w:r>
        <w:rPr>
          <w:rFonts w:hint="default" w:ascii="Times New Roman" w:hAnsi="Times New Roman" w:eastAsia="宋体" w:cs="Times New Roman"/>
          <w:color w:val="auto"/>
          <w:highlight w:val="none"/>
        </w:rPr>
        <w:t>井供给人数约1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0~</w:t>
      </w:r>
      <w:r>
        <w:rPr>
          <w:rFonts w:hint="default" w:ascii="Times New Roman" w:hAnsi="Times New Roman" w:eastAsia="宋体" w:cs="Times New Roman"/>
          <w:color w:val="auto"/>
          <w:highlight w:val="none"/>
          <w:lang w:val="en-US" w:eastAsia="zh-CN"/>
        </w:rPr>
        <w:t>150</w:t>
      </w:r>
      <w:r>
        <w:rPr>
          <w:rFonts w:hint="default" w:ascii="Times New Roman" w:hAnsi="Times New Roman" w:eastAsia="宋体" w:cs="Times New Roman"/>
          <w:color w:val="auto"/>
          <w:highlight w:val="none"/>
        </w:rPr>
        <w:t>人，属分散式饮用水水源地</w:t>
      </w:r>
      <w:r>
        <w:rPr>
          <w:rFonts w:hint="default" w:ascii="Times New Roman" w:hAnsi="Times New Roman" w:eastAsia="宋体" w:cs="Times New Roman"/>
          <w:snapToGrid w:val="0"/>
          <w:color w:val="auto"/>
          <w:highlight w:val="none"/>
        </w:rPr>
        <w:t>，因此本项目场地地下水环境敏感程度为</w:t>
      </w:r>
      <w:r>
        <w:rPr>
          <w:rFonts w:hint="default" w:ascii="Times New Roman" w:hAnsi="Times New Roman" w:eastAsia="宋体" w:cs="Times New Roman"/>
          <w:snapToGrid w:val="0"/>
          <w:color w:val="auto"/>
          <w:highlight w:val="none"/>
          <w:lang w:val="en-US" w:eastAsia="zh-CN"/>
        </w:rPr>
        <w:t>较</w:t>
      </w:r>
      <w:r>
        <w:rPr>
          <w:rFonts w:hint="default" w:ascii="Times New Roman" w:hAnsi="Times New Roman" w:eastAsia="宋体" w:cs="Times New Roman"/>
          <w:snapToGrid w:val="0"/>
          <w:color w:val="auto"/>
          <w:highlight w:val="none"/>
        </w:rPr>
        <w:t>敏感。</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w:t>
      </w:r>
      <w:r>
        <w:rPr>
          <w:rFonts w:hint="default"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rPr>
        <w:t>地下水环境敏感程度分级</w:t>
      </w:r>
    </w:p>
    <w:tbl>
      <w:tblPr>
        <w:tblStyle w:val="45"/>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96"/>
        <w:gridCol w:w="799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6" w:type="dxa"/>
            <w:vAlign w:val="center"/>
          </w:tcPr>
          <w:p>
            <w:pPr>
              <w:pStyle w:val="289"/>
              <w:widowControl w:val="0"/>
              <w:adjustRightInd/>
              <w:snapToGrid/>
              <w:rPr>
                <w:rFonts w:hint="default" w:ascii="Times New Roman" w:hAnsi="Times New Roman" w:eastAsia="宋体" w:cs="Times New Roman"/>
                <w:b/>
                <w:color w:val="auto"/>
                <w:sz w:val="21"/>
                <w:highlight w:val="none"/>
              </w:rPr>
            </w:pPr>
            <w:r>
              <w:rPr>
                <w:rFonts w:hint="default" w:ascii="Times New Roman" w:hAnsi="Times New Roman" w:eastAsia="宋体" w:cs="Times New Roman"/>
                <w:b/>
                <w:color w:val="auto"/>
                <w:sz w:val="21"/>
                <w:highlight w:val="none"/>
              </w:rPr>
              <w:t>分级</w:t>
            </w:r>
          </w:p>
        </w:tc>
        <w:tc>
          <w:tcPr>
            <w:tcW w:w="7990" w:type="dxa"/>
            <w:vAlign w:val="center"/>
          </w:tcPr>
          <w:p>
            <w:pPr>
              <w:pStyle w:val="289"/>
              <w:widowControl w:val="0"/>
              <w:adjustRightInd/>
              <w:snapToGrid/>
              <w:ind w:firstLine="482"/>
              <w:rPr>
                <w:rFonts w:hint="default" w:ascii="Times New Roman" w:hAnsi="Times New Roman" w:eastAsia="宋体" w:cs="Times New Roman"/>
                <w:b/>
                <w:color w:val="auto"/>
                <w:sz w:val="21"/>
                <w:highlight w:val="none"/>
              </w:rPr>
            </w:pPr>
            <w:r>
              <w:rPr>
                <w:rFonts w:hint="default" w:ascii="Times New Roman" w:hAnsi="Times New Roman" w:eastAsia="宋体" w:cs="Times New Roman"/>
                <w:b/>
                <w:color w:val="auto"/>
                <w:sz w:val="21"/>
                <w:highlight w:val="none"/>
              </w:rPr>
              <w:t>项目场地的地下水环境敏感特征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6" w:type="dxa"/>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敏感</w:t>
            </w:r>
          </w:p>
        </w:tc>
        <w:tc>
          <w:tcPr>
            <w:tcW w:w="7990" w:type="dxa"/>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集中式饮用水水源地（包括已建成的在用、备用、应急水源地，在建和规划的饮用水水源地）准保护区；除集中式饮用水水源地以外的国家或地方政府设定的与地下水环境相关的其它保护区，如热水、矿泉水、温泉等特殊地下水资源保护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6" w:type="dxa"/>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较敏感</w:t>
            </w:r>
          </w:p>
        </w:tc>
        <w:tc>
          <w:tcPr>
            <w:tcW w:w="7990" w:type="dxa"/>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集中式饮用水水源地（包括已建成的在用、备用、应急水源地，在建和规划的饮用水水源地）准保护区以外的补给径流区；未划定准保护区的集中式饮用水水源地，其保护区以外的补给径流区；分散式饮用水水源地；特殊地下水资源（如矿泉水、温泉等）保护区以外的分布区等其它未列入上述敏感分级的环境敏感区</w:t>
            </w:r>
            <w:r>
              <w:rPr>
                <w:rFonts w:hint="default" w:ascii="Times New Roman" w:hAnsi="Times New Roman" w:eastAsia="宋体" w:cs="Times New Roman"/>
                <w:color w:val="auto"/>
                <w:sz w:val="21"/>
                <w:highlight w:val="none"/>
                <w:vertAlign w:val="superscript"/>
              </w:rPr>
              <w:t>a</w:t>
            </w:r>
            <w:r>
              <w:rPr>
                <w:rFonts w:hint="default" w:ascii="Times New Roman" w:hAnsi="Times New Roman" w:eastAsia="宋体" w:cs="Times New Roman"/>
                <w:color w:val="auto"/>
                <w:sz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296" w:type="dxa"/>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不敏感</w:t>
            </w:r>
          </w:p>
        </w:tc>
        <w:tc>
          <w:tcPr>
            <w:tcW w:w="7990" w:type="dxa"/>
            <w:vAlign w:val="center"/>
          </w:tcPr>
          <w:p>
            <w:pPr>
              <w:pStyle w:val="289"/>
              <w:widowControl w:val="0"/>
              <w:adjustRightInd/>
              <w:snapToGrid/>
              <w:ind w:firstLine="480"/>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以上地区之外的其他地区</w:t>
            </w:r>
          </w:p>
        </w:tc>
      </w:tr>
    </w:tbl>
    <w:p>
      <w:pPr>
        <w:ind w:firstLine="420"/>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snapToGrid w:val="0"/>
          <w:color w:val="auto"/>
          <w:sz w:val="21"/>
          <w:szCs w:val="21"/>
          <w:highlight w:val="none"/>
        </w:rPr>
        <w:t>注a：</w:t>
      </w:r>
      <w:r>
        <w:rPr>
          <w:rFonts w:hint="eastAsia"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环境敏感区</w:t>
      </w:r>
      <w:r>
        <w:rPr>
          <w:rFonts w:hint="eastAsia" w:cs="Times New Roman"/>
          <w:snapToGrid w:val="0"/>
          <w:color w:val="auto"/>
          <w:sz w:val="21"/>
          <w:szCs w:val="21"/>
          <w:highlight w:val="none"/>
          <w:lang w:eastAsia="zh-CN"/>
        </w:rPr>
        <w:t>”</w:t>
      </w:r>
      <w:r>
        <w:rPr>
          <w:rFonts w:hint="default" w:ascii="Times New Roman" w:hAnsi="Times New Roman" w:eastAsia="宋体" w:cs="Times New Roman"/>
          <w:snapToGrid w:val="0"/>
          <w:color w:val="auto"/>
          <w:sz w:val="21"/>
          <w:szCs w:val="21"/>
          <w:highlight w:val="none"/>
        </w:rPr>
        <w:t>系指《建设项目环境影响评价分类管理名录》中所界定的涉及地下水的环境敏感区。</w:t>
      </w:r>
    </w:p>
    <w:p>
      <w:pPr>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（2）建设项目行业分类</w:t>
      </w:r>
    </w:p>
    <w:p>
      <w:pPr>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根据《</w:t>
      </w:r>
      <w:r>
        <w:rPr>
          <w:rFonts w:hint="eastAsia" w:cs="Times New Roman"/>
          <w:snapToGrid w:val="0"/>
          <w:color w:val="auto"/>
          <w:highlight w:val="none"/>
          <w:lang w:eastAsia="zh-CN"/>
        </w:rPr>
        <w:t>环境影响评价技术导则—地下水环境</w:t>
      </w:r>
      <w:r>
        <w:rPr>
          <w:rFonts w:hint="default" w:ascii="Times New Roman" w:hAnsi="Times New Roman" w:eastAsia="宋体" w:cs="Times New Roman"/>
          <w:snapToGrid w:val="0"/>
          <w:color w:val="auto"/>
          <w:highlight w:val="none"/>
        </w:rPr>
        <w:t>》（HJ610-2016）中</w:t>
      </w:r>
      <w:r>
        <w:rPr>
          <w:rFonts w:hint="eastAsia" w:cs="Times New Roman"/>
          <w:snapToGrid w:val="0"/>
          <w:color w:val="auto"/>
          <w:highlight w:val="none"/>
          <w:lang w:eastAsia="zh-CN"/>
        </w:rPr>
        <w:t>“</w:t>
      </w:r>
      <w:r>
        <w:rPr>
          <w:rFonts w:hint="default" w:ascii="Times New Roman" w:hAnsi="Times New Roman" w:eastAsia="宋体" w:cs="Times New Roman"/>
          <w:snapToGrid w:val="0"/>
          <w:color w:val="auto"/>
          <w:highlight w:val="none"/>
        </w:rPr>
        <w:t>附录A行业分类</w:t>
      </w:r>
      <w:r>
        <w:rPr>
          <w:rFonts w:hint="eastAsia" w:cs="Times New Roman"/>
          <w:snapToGrid w:val="0"/>
          <w:color w:val="auto"/>
          <w:highlight w:val="none"/>
          <w:lang w:eastAsia="zh-CN"/>
        </w:rPr>
        <w:t>”</w:t>
      </w:r>
      <w:r>
        <w:rPr>
          <w:rFonts w:hint="default" w:ascii="Times New Roman" w:hAnsi="Times New Roman" w:eastAsia="宋体" w:cs="Times New Roman"/>
          <w:snapToGrid w:val="0"/>
          <w:color w:val="auto"/>
          <w:highlight w:val="none"/>
        </w:rPr>
        <w:t>标准，本项目为</w:t>
      </w:r>
      <w:r>
        <w:rPr>
          <w:rFonts w:hint="eastAsia" w:cs="Times New Roman"/>
          <w:snapToGrid w:val="0"/>
          <w:color w:val="auto"/>
          <w:highlight w:val="none"/>
          <w:lang w:eastAsia="zh-CN"/>
        </w:rPr>
        <w:t>“</w:t>
      </w:r>
      <w:r>
        <w:rPr>
          <w:rFonts w:hint="default" w:ascii="Times New Roman" w:hAnsi="Times New Roman" w:eastAsia="宋体" w:cs="Times New Roman"/>
          <w:snapToGrid w:val="0"/>
          <w:color w:val="auto"/>
          <w:highlight w:val="none"/>
          <w:lang w:val="en-US" w:eastAsia="zh-CN"/>
        </w:rPr>
        <w:t>J非金属矿采选及制品制造57石棉及其他非金属矿采选</w:t>
      </w:r>
      <w:r>
        <w:rPr>
          <w:rFonts w:hint="eastAsia" w:cs="Times New Roman"/>
          <w:snapToGrid w:val="0"/>
          <w:color w:val="auto"/>
          <w:highlight w:val="none"/>
          <w:lang w:eastAsia="zh-CN"/>
        </w:rPr>
        <w:t>”</w:t>
      </w:r>
      <w:r>
        <w:rPr>
          <w:rFonts w:hint="default" w:ascii="Times New Roman" w:hAnsi="Times New Roman" w:eastAsia="宋体" w:cs="Times New Roman"/>
          <w:snapToGrid w:val="0"/>
          <w:color w:val="auto"/>
          <w:highlight w:val="none"/>
        </w:rPr>
        <w:t>，因此地下水环境影响评价类别为</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 MERGEFORMAT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类报告书项目。</w:t>
      </w:r>
    </w:p>
    <w:p>
      <w:pPr>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（3）建设项目地下水环境影响评价工作等级判定</w:t>
      </w:r>
    </w:p>
    <w:p>
      <w:pPr>
        <w:ind w:firstLine="480"/>
        <w:jc w:val="left"/>
        <w:rPr>
          <w:rFonts w:hint="default" w:ascii="Times New Roman" w:hAnsi="Times New Roman" w:eastAsia="宋体" w:cs="Times New Roman"/>
          <w:snapToGrid w:val="0"/>
          <w:color w:val="auto"/>
          <w:highlight w:val="none"/>
        </w:rPr>
      </w:pPr>
      <w:r>
        <w:rPr>
          <w:rFonts w:hint="default" w:ascii="Times New Roman" w:hAnsi="Times New Roman" w:eastAsia="宋体" w:cs="Times New Roman"/>
          <w:snapToGrid w:val="0"/>
          <w:color w:val="auto"/>
          <w:highlight w:val="none"/>
        </w:rPr>
        <w:t>结合前文对地下水环境敏感程度和项目行业类别的判定结果，依据建设项目评价工作等级分级判定标准（如表1.5-</w:t>
      </w:r>
      <w:r>
        <w:rPr>
          <w:rFonts w:hint="default" w:ascii="Times New Roman" w:hAnsi="Times New Roman" w:eastAsia="宋体" w:cs="Times New Roman"/>
          <w:snapToGrid w:val="0"/>
          <w:color w:val="auto"/>
          <w:highlight w:val="none"/>
          <w:lang w:val="en-US" w:eastAsia="zh-CN"/>
        </w:rPr>
        <w:t>7</w:t>
      </w:r>
      <w:r>
        <w:rPr>
          <w:rFonts w:hint="default" w:ascii="Times New Roman" w:hAnsi="Times New Roman" w:eastAsia="宋体" w:cs="Times New Roman"/>
          <w:snapToGrid w:val="0"/>
          <w:color w:val="auto"/>
          <w:highlight w:val="none"/>
        </w:rPr>
        <w:t>所示），本项目地下水环境影响评价工作等级判定为</w:t>
      </w:r>
      <w:r>
        <w:rPr>
          <w:rFonts w:hint="default" w:ascii="Times New Roman" w:hAnsi="Times New Roman" w:eastAsia="宋体" w:cs="Times New Roman"/>
          <w:snapToGrid w:val="0"/>
          <w:color w:val="auto"/>
          <w:highlight w:val="none"/>
          <w:lang w:val="en-US" w:eastAsia="zh-CN"/>
        </w:rPr>
        <w:t>三</w:t>
      </w:r>
      <w:r>
        <w:rPr>
          <w:rFonts w:hint="default" w:ascii="Times New Roman" w:hAnsi="Times New Roman" w:eastAsia="宋体" w:cs="Times New Roman"/>
          <w:snapToGrid w:val="0"/>
          <w:color w:val="auto"/>
          <w:highlight w:val="none"/>
        </w:rPr>
        <w:t>级。</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w:t>
      </w:r>
      <w:r>
        <w:rPr>
          <w:rFonts w:hint="default" w:ascii="Times New Roman" w:hAnsi="Times New Roman" w:eastAsia="宋体" w:cs="Times New Roman"/>
          <w:b/>
          <w:color w:val="auto"/>
          <w:sz w:val="21"/>
          <w:szCs w:val="21"/>
          <w:highlight w:val="none"/>
          <w:lang w:val="en-US" w:eastAsia="zh-CN"/>
        </w:rPr>
        <w:t>7</w:t>
      </w:r>
      <w:r>
        <w:rPr>
          <w:rFonts w:hint="default" w:ascii="Times New Roman" w:hAnsi="Times New Roman" w:eastAsia="宋体" w:cs="Times New Roman"/>
          <w:b/>
          <w:color w:val="auto"/>
          <w:sz w:val="21"/>
          <w:szCs w:val="21"/>
          <w:highlight w:val="none"/>
        </w:rPr>
        <w:t>建设项目评价工作等级分级</w:t>
      </w:r>
    </w:p>
    <w:tbl>
      <w:tblPr>
        <w:tblStyle w:val="45"/>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2130" w:type="dxa"/>
            <w:tcBorders>
              <w:top w:val="single" w:color="auto" w:sz="12" w:space="0"/>
              <w:left w:val="nil"/>
              <w:bottom w:val="single" w:color="auto" w:sz="6" w:space="0"/>
              <w:right w:val="single" w:color="auto" w:sz="6" w:space="0"/>
              <w:tl2br w:val="single" w:color="auto" w:sz="4" w:space="0"/>
            </w:tcBorders>
          </w:tcPr>
          <w:p>
            <w:pPr>
              <w:pStyle w:val="289"/>
              <w:widowControl w:val="0"/>
              <w:adjustRightInd/>
              <w:snapToGrid/>
              <w:ind w:firstLine="482"/>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行业分类</w:t>
            </w:r>
          </w:p>
          <w:p>
            <w:pPr>
              <w:pStyle w:val="289"/>
              <w:widowControl w:val="0"/>
              <w:adjustRightInd/>
              <w:snapToGrid/>
              <w:jc w:val="both"/>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环境敏感</w:t>
            </w:r>
          </w:p>
        </w:tc>
        <w:tc>
          <w:tcPr>
            <w:tcW w:w="2130" w:type="dxa"/>
            <w:tcBorders>
              <w:top w:val="single" w:color="auto" w:sz="12" w:space="0"/>
              <w:left w:val="single" w:color="auto" w:sz="6" w:space="0"/>
              <w:bottom w:val="single" w:color="auto" w:sz="6" w:space="0"/>
              <w:right w:val="single" w:color="auto" w:sz="6" w:space="0"/>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Ⅰ类项目</w:t>
            </w:r>
          </w:p>
        </w:tc>
        <w:tc>
          <w:tcPr>
            <w:tcW w:w="2131" w:type="dxa"/>
            <w:tcBorders>
              <w:top w:val="single" w:color="auto" w:sz="12" w:space="0"/>
              <w:left w:val="single" w:color="auto" w:sz="6" w:space="0"/>
              <w:bottom w:val="single" w:color="auto" w:sz="6" w:space="0"/>
              <w:right w:val="single" w:color="auto" w:sz="6" w:space="0"/>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Ⅱ类项目</w:t>
            </w:r>
          </w:p>
        </w:tc>
        <w:tc>
          <w:tcPr>
            <w:tcW w:w="2131" w:type="dxa"/>
            <w:tcBorders>
              <w:top w:val="single" w:color="auto" w:sz="12" w:space="0"/>
              <w:left w:val="single" w:color="auto" w:sz="6" w:space="0"/>
              <w:bottom w:val="single" w:color="auto" w:sz="6" w:space="0"/>
              <w:right w:val="nil"/>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Ⅲ类项目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6" w:space="0"/>
              <w:left w:val="nil"/>
              <w:bottom w:val="single" w:color="auto" w:sz="6" w:space="0"/>
              <w:right w:val="single" w:color="auto" w:sz="6" w:space="0"/>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敏感</w:t>
            </w:r>
          </w:p>
        </w:tc>
        <w:tc>
          <w:tcPr>
            <w:tcW w:w="2130" w:type="dxa"/>
            <w:tcBorders>
              <w:top w:val="single" w:color="auto" w:sz="6" w:space="0"/>
              <w:left w:val="single" w:color="auto" w:sz="6" w:space="0"/>
              <w:bottom w:val="single" w:color="auto" w:sz="6" w:space="0"/>
              <w:right w:val="single" w:color="auto" w:sz="6" w:space="0"/>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一</w:t>
            </w:r>
          </w:p>
        </w:tc>
        <w:tc>
          <w:tcPr>
            <w:tcW w:w="2131" w:type="dxa"/>
            <w:tcBorders>
              <w:top w:val="single" w:color="auto" w:sz="6" w:space="0"/>
              <w:left w:val="single" w:color="auto" w:sz="6" w:space="0"/>
              <w:bottom w:val="single" w:color="auto" w:sz="6" w:space="0"/>
              <w:right w:val="single" w:color="auto" w:sz="6" w:space="0"/>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一</w:t>
            </w:r>
          </w:p>
        </w:tc>
        <w:tc>
          <w:tcPr>
            <w:tcW w:w="2131" w:type="dxa"/>
            <w:tcBorders>
              <w:top w:val="single" w:color="auto" w:sz="6" w:space="0"/>
              <w:left w:val="single" w:color="auto" w:sz="6" w:space="0"/>
              <w:bottom w:val="single" w:color="auto" w:sz="6" w:space="0"/>
              <w:right w:val="nil"/>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6" w:space="0"/>
              <w:left w:val="nil"/>
              <w:bottom w:val="single" w:color="auto" w:sz="6" w:space="0"/>
              <w:right w:val="single" w:color="auto" w:sz="6" w:space="0"/>
            </w:tcBorders>
            <w:shd w:val="clear" w:color="auto" w:fill="auto"/>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较敏感</w:t>
            </w:r>
          </w:p>
        </w:tc>
        <w:tc>
          <w:tcPr>
            <w:tcW w:w="2130" w:type="dxa"/>
            <w:tcBorders>
              <w:top w:val="single" w:color="auto" w:sz="6" w:space="0"/>
              <w:left w:val="single" w:color="auto" w:sz="6" w:space="0"/>
              <w:bottom w:val="single" w:color="auto" w:sz="6" w:space="0"/>
              <w:right w:val="single" w:color="auto" w:sz="6" w:space="0"/>
            </w:tcBorders>
            <w:shd w:val="clear" w:color="auto" w:fill="auto"/>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一</w:t>
            </w:r>
          </w:p>
        </w:tc>
        <w:tc>
          <w:tcPr>
            <w:tcW w:w="2131" w:type="dxa"/>
            <w:tcBorders>
              <w:top w:val="single" w:color="auto" w:sz="6" w:space="0"/>
              <w:left w:val="single" w:color="auto" w:sz="6" w:space="0"/>
              <w:bottom w:val="single" w:color="auto" w:sz="6" w:space="0"/>
              <w:right w:val="single" w:color="auto" w:sz="6" w:space="0"/>
            </w:tcBorders>
            <w:shd w:val="clear" w:color="auto" w:fill="auto"/>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二</w:t>
            </w:r>
          </w:p>
        </w:tc>
        <w:tc>
          <w:tcPr>
            <w:tcW w:w="2131" w:type="dxa"/>
            <w:tcBorders>
              <w:top w:val="single" w:color="auto" w:sz="6" w:space="0"/>
              <w:left w:val="single" w:color="auto" w:sz="6" w:space="0"/>
              <w:bottom w:val="single" w:color="auto" w:sz="6" w:space="0"/>
              <w:right w:val="nil"/>
            </w:tcBorders>
            <w:shd w:val="clear" w:color="auto" w:fill="AEAAAA" w:themeFill="background2" w:themeFillShade="BF"/>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Borders>
              <w:top w:val="single" w:color="auto" w:sz="6" w:space="0"/>
              <w:left w:val="nil"/>
              <w:bottom w:val="single" w:color="auto" w:sz="12" w:space="0"/>
              <w:right w:val="single" w:color="auto" w:sz="6" w:space="0"/>
            </w:tcBorders>
            <w:shd w:val="clear" w:color="auto" w:fill="auto"/>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不敏感</w:t>
            </w:r>
          </w:p>
        </w:tc>
        <w:tc>
          <w:tcPr>
            <w:tcW w:w="2130" w:type="dxa"/>
            <w:tcBorders>
              <w:top w:val="single" w:color="auto" w:sz="6" w:space="0"/>
              <w:left w:val="single" w:color="auto" w:sz="6" w:space="0"/>
              <w:bottom w:val="single" w:color="auto" w:sz="12" w:space="0"/>
              <w:right w:val="single" w:color="auto" w:sz="6" w:space="0"/>
            </w:tcBorders>
            <w:shd w:val="clear" w:color="auto" w:fill="auto"/>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二</w:t>
            </w:r>
          </w:p>
        </w:tc>
        <w:tc>
          <w:tcPr>
            <w:tcW w:w="2131" w:type="dxa"/>
            <w:tcBorders>
              <w:top w:val="single" w:color="auto" w:sz="6" w:space="0"/>
              <w:left w:val="single" w:color="auto" w:sz="6" w:space="0"/>
              <w:bottom w:val="single" w:color="auto" w:sz="12" w:space="0"/>
              <w:right w:val="single" w:color="auto" w:sz="6" w:space="0"/>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三</w:t>
            </w:r>
          </w:p>
        </w:tc>
        <w:tc>
          <w:tcPr>
            <w:tcW w:w="2131" w:type="dxa"/>
            <w:tcBorders>
              <w:top w:val="single" w:color="auto" w:sz="6" w:space="0"/>
              <w:left w:val="single" w:color="auto" w:sz="6" w:space="0"/>
              <w:bottom w:val="single" w:color="auto" w:sz="12" w:space="0"/>
              <w:right w:val="nil"/>
            </w:tcBorders>
            <w:vAlign w:val="center"/>
          </w:tcPr>
          <w:p>
            <w:pPr>
              <w:pStyle w:val="289"/>
              <w:widowControl w:val="0"/>
              <w:adjustRightInd/>
              <w:snapToGrid/>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三</w:t>
            </w:r>
          </w:p>
        </w:tc>
      </w:tr>
      <w:bookmarkEnd w:id="143"/>
      <w:bookmarkEnd w:id="144"/>
    </w:tbl>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highlight w:val="none"/>
          <w:lang w:val="en-US" w:eastAsia="zh-CN"/>
        </w:rPr>
      </w:pPr>
      <w:bookmarkStart w:id="145" w:name="_Toc10180"/>
      <w:bookmarkStart w:id="146" w:name="_Toc14404"/>
      <w:r>
        <w:rPr>
          <w:rFonts w:hint="default" w:ascii="Times New Roman" w:hAnsi="Times New Roman" w:eastAsia="宋体" w:cs="Times New Roman"/>
          <w:color w:val="auto"/>
          <w:highlight w:val="none"/>
          <w:lang w:val="en-US" w:eastAsia="zh-CN"/>
        </w:rPr>
        <w:t>2、评价范围</w:t>
      </w:r>
    </w:p>
    <w:p>
      <w:pPr>
        <w:keepNext w:val="0"/>
        <w:keepLines w:val="0"/>
        <w:pageBreakBefore w:val="0"/>
        <w:widowControl w:val="0"/>
        <w:kinsoku/>
        <w:wordWrap/>
        <w:overflowPunct/>
        <w:topLinePunct w:val="0"/>
        <w:autoSpaceDE/>
        <w:autoSpaceDN/>
        <w:bidi w:val="0"/>
        <w:adjustRightInd w:val="0"/>
        <w:snapToGrid w:val="0"/>
        <w:textAlignment w:val="auto"/>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vertAlign w:val="baseline"/>
          <w:lang w:val="en-US" w:eastAsia="zh-CN"/>
        </w:rPr>
        <w:t>依据</w:t>
      </w:r>
      <w:r>
        <w:rPr>
          <w:rFonts w:hint="default" w:ascii="Times New Roman" w:hAnsi="Times New Roman" w:eastAsia="宋体" w:cs="Times New Roman"/>
          <w:snapToGrid w:val="0"/>
          <w:color w:val="auto"/>
          <w:highlight w:val="none"/>
        </w:rPr>
        <w:t>《</w:t>
      </w:r>
      <w:r>
        <w:rPr>
          <w:rFonts w:hint="eastAsia" w:cs="Times New Roman"/>
          <w:snapToGrid w:val="0"/>
          <w:color w:val="auto"/>
          <w:highlight w:val="none"/>
          <w:lang w:eastAsia="zh-CN"/>
        </w:rPr>
        <w:t>环境影响评价技术导则—地下水环境</w:t>
      </w:r>
      <w:r>
        <w:rPr>
          <w:rFonts w:hint="default" w:ascii="Times New Roman" w:hAnsi="Times New Roman" w:eastAsia="宋体" w:cs="Times New Roman"/>
          <w:snapToGrid w:val="0"/>
          <w:color w:val="auto"/>
          <w:highlight w:val="none"/>
        </w:rPr>
        <w:t>》（HJ610-2016）</w:t>
      </w:r>
      <w:r>
        <w:rPr>
          <w:rFonts w:hint="default" w:ascii="Times New Roman" w:hAnsi="Times New Roman" w:eastAsia="宋体" w:cs="Times New Roman"/>
          <w:snapToGrid w:val="0"/>
          <w:color w:val="auto"/>
          <w:highlight w:val="none"/>
          <w:lang w:val="en-US" w:eastAsia="zh-CN"/>
        </w:rPr>
        <w:t>8.2.2.1的</w:t>
      </w:r>
      <w:r>
        <w:rPr>
          <w:rFonts w:hint="eastAsia"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建设项目（除线性工程外）地下水环境影响现状调查范围可采用公式法、查表法及自定义法确定</w:t>
      </w:r>
      <w:r>
        <w:rPr>
          <w:rFonts w:hint="eastAsia" w:cs="Times New Roman"/>
          <w:snapToGrid w:val="0"/>
          <w:color w:val="auto"/>
          <w:highlight w:val="none"/>
          <w:lang w:val="en-US" w:eastAsia="zh-CN"/>
        </w:rPr>
        <w:t>”</w:t>
      </w:r>
      <w:r>
        <w:rPr>
          <w:rFonts w:hint="default" w:ascii="Times New Roman" w:hAnsi="Times New Roman" w:eastAsia="宋体" w:cs="Times New Roman"/>
          <w:snapToGrid w:val="0"/>
          <w:color w:val="auto"/>
          <w:highlight w:val="none"/>
          <w:lang w:val="en-US" w:eastAsia="zh-CN"/>
        </w:rPr>
        <w:t>，本项目位于山区地带地质地势较为复杂，不适用于公式法；查表法三级评价，评价范围应小于等于6km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vertAlign w:val="baseline"/>
          <w:lang w:val="en-US" w:eastAsia="zh-CN"/>
        </w:rPr>
        <w:t>，由于本项目位于山区地带，浅层地下水流向由分水岭分割，山岭山脊为分水岭，本项目所在区域属于中低山丘陵区域，西北侧地貌为山岭区域地势较高，东南侧为平原地势较低，地形地势由西北向东南逐渐降低，以山脊分水岭作为地下水补给边界，两侧为地下水流量边界，项目南侧小河为地下水排泄区域，以同一水文地质单</w:t>
      </w:r>
      <w:r>
        <w:rPr>
          <w:rFonts w:hint="eastAsia" w:cs="Times New Roman"/>
          <w:snapToGrid w:val="0"/>
          <w:color w:val="auto"/>
          <w:highlight w:val="none"/>
          <w:vertAlign w:val="baseline"/>
          <w:lang w:val="en-US" w:eastAsia="zh-CN"/>
        </w:rPr>
        <w:t>元</w:t>
      </w:r>
      <w:r>
        <w:rPr>
          <w:rFonts w:hint="default" w:ascii="Times New Roman" w:hAnsi="Times New Roman" w:eastAsia="宋体" w:cs="Times New Roman"/>
          <w:snapToGrid w:val="0"/>
          <w:color w:val="auto"/>
          <w:highlight w:val="none"/>
          <w:vertAlign w:val="baseline"/>
          <w:lang w:val="en-US" w:eastAsia="zh-CN"/>
        </w:rPr>
        <w:t>内自定义法确定本次地下水环境影响评价范围为1.24km</w:t>
      </w:r>
      <w:r>
        <w:rPr>
          <w:rFonts w:hint="default" w:ascii="Times New Roman" w:hAnsi="Times New Roman" w:eastAsia="宋体" w:cs="Times New Roman"/>
          <w:snapToGrid w:val="0"/>
          <w:color w:val="auto"/>
          <w:highlight w:val="none"/>
          <w:vertAlign w:val="superscript"/>
          <w:lang w:val="en-US" w:eastAsia="zh-CN"/>
        </w:rPr>
        <w:t>2</w:t>
      </w:r>
      <w:r>
        <w:rPr>
          <w:rFonts w:hint="default" w:ascii="Times New Roman" w:hAnsi="Times New Roman" w:eastAsia="宋体" w:cs="Times New Roman"/>
          <w:snapToGrid w:val="0"/>
          <w:color w:val="auto"/>
          <w:highlight w:val="none"/>
          <w:vertAlign w:val="baseline"/>
          <w:lang w:val="en-US" w:eastAsia="zh-CN"/>
        </w:rPr>
        <w:t>。</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声环境</w:t>
      </w:r>
      <w:bookmarkEnd w:id="145"/>
      <w:bookmarkEnd w:id="146"/>
      <w:r>
        <w:rPr>
          <w:rFonts w:hint="default" w:ascii="Times New Roman" w:hAnsi="Times New Roman" w:eastAsia="宋体" w:cs="Times New Roman"/>
          <w:color w:val="auto"/>
          <w:highlight w:val="none"/>
        </w:rPr>
        <w:t>影响评价等级</w:t>
      </w:r>
      <w:r>
        <w:rPr>
          <w:rFonts w:hint="default" w:ascii="Times New Roman" w:hAnsi="Times New Roman" w:eastAsia="宋体" w:cs="Times New Roman"/>
          <w:color w:val="auto"/>
          <w:highlight w:val="none"/>
          <w:lang w:val="en-US" w:eastAsia="zh-CN"/>
        </w:rPr>
        <w:t>和评价范围</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1、评价等级</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本项目原则上执行1类声功能区要求；</w:t>
      </w:r>
      <w:r>
        <w:rPr>
          <w:rFonts w:hint="default" w:ascii="Times New Roman" w:hAnsi="Times New Roman" w:eastAsia="宋体" w:cs="Times New Roman"/>
          <w:color w:val="auto"/>
          <w:highlight w:val="none"/>
        </w:rPr>
        <w:t>根据《环境影响评价技术导则—声环境》（</w:t>
      </w:r>
      <w:r>
        <w:rPr>
          <w:rFonts w:hint="eastAsia" w:cs="Times New Roman"/>
          <w:color w:val="auto"/>
          <w:highlight w:val="none"/>
          <w:lang w:eastAsia="zh-CN"/>
        </w:rPr>
        <w:t>HJ2.4-2021</w:t>
      </w:r>
      <w:r>
        <w:rPr>
          <w:rFonts w:hint="default" w:ascii="Times New Roman" w:hAnsi="Times New Roman" w:eastAsia="宋体" w:cs="Times New Roman"/>
          <w:color w:val="auto"/>
          <w:highlight w:val="none"/>
        </w:rPr>
        <w:t>），项目声环境评价等级定位为二级</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判定表见</w:t>
      </w:r>
      <w:r>
        <w:rPr>
          <w:rFonts w:hint="default" w:ascii="Times New Roman" w:hAnsi="Times New Roman" w:eastAsia="宋体" w:cs="Times New Roman"/>
          <w:color w:val="auto"/>
          <w:highlight w:val="none"/>
        </w:rPr>
        <w:t>表1.5-</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bookmarkStart w:id="147" w:name="_Toc27840"/>
      <w:bookmarkStart w:id="148" w:name="_Toc24450"/>
      <w:r>
        <w:rPr>
          <w:rFonts w:hint="default" w:ascii="Times New Roman" w:hAnsi="Times New Roman" w:eastAsia="宋体" w:cs="Times New Roman"/>
          <w:b/>
          <w:color w:val="auto"/>
          <w:sz w:val="21"/>
          <w:szCs w:val="21"/>
          <w:highlight w:val="none"/>
        </w:rPr>
        <w:t>表1.5-</w:t>
      </w:r>
      <w:r>
        <w:rPr>
          <w:rFonts w:hint="default" w:ascii="Times New Roman" w:hAnsi="Times New Roman" w:eastAsia="宋体"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rPr>
        <w:t>声环境影响评价工作等级</w:t>
      </w:r>
      <w:r>
        <w:rPr>
          <w:rFonts w:hint="default" w:ascii="Times New Roman" w:hAnsi="Times New Roman" w:eastAsia="宋体" w:cs="Times New Roman"/>
          <w:b/>
          <w:color w:val="auto"/>
          <w:sz w:val="21"/>
          <w:szCs w:val="21"/>
          <w:highlight w:val="none"/>
          <w:lang w:val="en-US" w:eastAsia="zh-CN"/>
        </w:rPr>
        <w:t>判定</w:t>
      </w:r>
      <w:r>
        <w:rPr>
          <w:rFonts w:hint="default" w:ascii="Times New Roman" w:hAnsi="Times New Roman" w:eastAsia="宋体" w:cs="Times New Roman"/>
          <w:b/>
          <w:color w:val="auto"/>
          <w:sz w:val="21"/>
          <w:szCs w:val="21"/>
          <w:highlight w:val="none"/>
        </w:rPr>
        <w:t>表</w:t>
      </w:r>
      <w:bookmarkEnd w:id="147"/>
      <w:bookmarkEnd w:id="148"/>
    </w:p>
    <w:tbl>
      <w:tblPr>
        <w:tblStyle w:val="4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524"/>
        <w:gridCol w:w="1896"/>
        <w:gridCol w:w="1897"/>
        <w:gridCol w:w="1897"/>
        <w:gridCol w:w="189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836"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项目</w:t>
            </w:r>
          </w:p>
        </w:tc>
        <w:tc>
          <w:tcPr>
            <w:tcW w:w="104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4"/>
                <w:highlight w:val="none"/>
              </w:rPr>
              <w:t>声环境功能区类</w:t>
            </w:r>
            <w:r>
              <w:rPr>
                <w:rFonts w:hint="default" w:ascii="Times New Roman" w:hAnsi="Times New Roman" w:eastAsia="宋体" w:cs="Times New Roman"/>
                <w:color w:val="auto"/>
                <w:sz w:val="21"/>
                <w:szCs w:val="24"/>
                <w:highlight w:val="none"/>
                <w:lang w:val="en-US" w:eastAsia="zh-CN"/>
              </w:rPr>
              <w:t>别</w:t>
            </w:r>
          </w:p>
        </w:tc>
        <w:tc>
          <w:tcPr>
            <w:tcW w:w="104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4"/>
                <w:highlight w:val="none"/>
              </w:rPr>
              <w:t>噪声级增高量</w:t>
            </w:r>
          </w:p>
        </w:tc>
        <w:tc>
          <w:tcPr>
            <w:tcW w:w="104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4"/>
                <w:highlight w:val="none"/>
              </w:rPr>
              <w:t>影响人</w:t>
            </w:r>
            <w:r>
              <w:rPr>
                <w:rFonts w:hint="default" w:ascii="Times New Roman" w:hAnsi="Times New Roman" w:eastAsia="宋体" w:cs="Times New Roman"/>
                <w:color w:val="auto"/>
                <w:sz w:val="21"/>
                <w:szCs w:val="24"/>
                <w:highlight w:val="none"/>
                <w:lang w:val="en-US" w:eastAsia="zh-CN"/>
              </w:rPr>
              <w:t>口</w:t>
            </w:r>
          </w:p>
        </w:tc>
        <w:tc>
          <w:tcPr>
            <w:tcW w:w="104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评价工作等级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36"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指标</w:t>
            </w:r>
          </w:p>
        </w:tc>
        <w:tc>
          <w:tcPr>
            <w:tcW w:w="104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类区</w:t>
            </w:r>
          </w:p>
        </w:tc>
        <w:tc>
          <w:tcPr>
            <w:tcW w:w="104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4"/>
                <w:highlight w:val="none"/>
              </w:rPr>
              <w:t>5dB以</w:t>
            </w:r>
            <w:r>
              <w:rPr>
                <w:rFonts w:hint="default" w:ascii="Times New Roman" w:hAnsi="Times New Roman" w:eastAsia="宋体" w:cs="Times New Roman"/>
                <w:color w:val="auto"/>
                <w:sz w:val="21"/>
                <w:szCs w:val="24"/>
                <w:highlight w:val="none"/>
                <w:lang w:val="en-US" w:eastAsia="zh-CN"/>
              </w:rPr>
              <w:t>下</w:t>
            </w:r>
          </w:p>
        </w:tc>
        <w:tc>
          <w:tcPr>
            <w:tcW w:w="104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变化不大</w:t>
            </w:r>
          </w:p>
        </w:tc>
        <w:tc>
          <w:tcPr>
            <w:tcW w:w="1040" w:type="pct"/>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二级</w:t>
            </w:r>
          </w:p>
        </w:tc>
      </w:tr>
    </w:tbl>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2、评价范围</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根据评价等级，确定本项目声环境评价范围为露天采场、平硐工业、以及场地边界外扩200米范围内。运输线路评价范围以道路中心线外侧200米内。</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环境风险评价等级</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val="en-US" w:eastAsia="zh-CN"/>
        </w:rPr>
        <w:t>矿石</w:t>
      </w:r>
      <w:r>
        <w:rPr>
          <w:rFonts w:hint="default" w:ascii="Times New Roman" w:hAnsi="Times New Roman" w:eastAsia="宋体" w:cs="Times New Roman"/>
          <w:color w:val="auto"/>
          <w:highlight w:val="none"/>
        </w:rPr>
        <w:t>地下开采项目，根据生产工艺特点，本项目涉及的危险物质为乳化炸药（主要成分为硝酸铵）</w:t>
      </w:r>
      <w:r>
        <w:rPr>
          <w:rFonts w:hint="default" w:ascii="Times New Roman" w:hAnsi="Times New Roman" w:eastAsia="宋体" w:cs="Times New Roman"/>
          <w:color w:val="auto"/>
          <w:highlight w:val="none"/>
          <w:lang w:val="en-US" w:eastAsia="zh-CN"/>
        </w:rPr>
        <w:t>和设备维修使用的机油和废机油</w:t>
      </w:r>
      <w:r>
        <w:rPr>
          <w:rFonts w:hint="default" w:ascii="Times New Roman" w:hAnsi="Times New Roman" w:eastAsia="宋体" w:cs="Times New Roman"/>
          <w:color w:val="auto"/>
          <w:highlight w:val="none"/>
        </w:rPr>
        <w:t>。本项目不设置炸药库、油罐等储存设施，井下生产炸药由当地爆破公司统一配送及使用，单次最大使用量为0.</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t；矿山运输汽车等设备均以柴油为动力，本项目不设置柴油储罐，柴油由社会运输车辆不定期提供</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废机油最大储存量为0.012t。</w:t>
      </w:r>
      <w:r>
        <w:rPr>
          <w:rFonts w:hint="default" w:ascii="Times New Roman" w:hAnsi="Times New Roman" w:eastAsia="宋体" w:cs="Times New Roman"/>
          <w:color w:val="auto"/>
          <w:highlight w:val="none"/>
        </w:rPr>
        <w:t>根据《建设项目环境风险评价技术导则》（HJ169-2018）附录C.1.1，计算涉及的每种危险物质在厂界内的最大存在总量与其在附录B中对应临界量的比值Q。</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本项目只涉及危废物质硝酸铵</w:t>
      </w:r>
      <w:r>
        <w:rPr>
          <w:rFonts w:hint="default" w:ascii="Times New Roman" w:hAnsi="Times New Roman" w:eastAsia="宋体" w:cs="Times New Roman"/>
          <w:color w:val="auto"/>
          <w:highlight w:val="none"/>
          <w:lang w:val="en-US" w:eastAsia="zh-CN"/>
        </w:rPr>
        <w:t>和废机油</w:t>
      </w:r>
      <w:r>
        <w:rPr>
          <w:rFonts w:hint="default" w:ascii="Times New Roman" w:hAnsi="Times New Roman" w:eastAsia="宋体" w:cs="Times New Roman"/>
          <w:color w:val="auto"/>
          <w:highlight w:val="none"/>
        </w:rPr>
        <w:t>，其与临界量比值，即：Q=q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，经计算Q=0.1t/50t</w:t>
      </w:r>
      <w:r>
        <w:rPr>
          <w:rFonts w:hint="default" w:ascii="Times New Roman" w:hAnsi="Times New Roman" w:eastAsia="宋体" w:cs="Times New Roman"/>
          <w:color w:val="auto"/>
          <w:highlight w:val="none"/>
          <w:lang w:val="en-US" w:eastAsia="zh-CN"/>
        </w:rPr>
        <w:t>+0.012t/2500t</w:t>
      </w:r>
      <w:r>
        <w:rPr>
          <w:rFonts w:hint="default" w:ascii="Times New Roman" w:hAnsi="Times New Roman" w:eastAsia="宋体" w:cs="Times New Roman"/>
          <w:color w:val="auto"/>
          <w:highlight w:val="none"/>
        </w:rPr>
        <w:t>=0.002</w:t>
      </w:r>
      <w:r>
        <w:rPr>
          <w:rFonts w:hint="default" w:ascii="Times New Roman" w:hAnsi="Times New Roman" w:eastAsia="宋体" w:cs="Times New Roman"/>
          <w:color w:val="auto"/>
          <w:highlight w:val="none"/>
          <w:lang w:val="en-US" w:eastAsia="zh-CN"/>
        </w:rPr>
        <w:t>0048</w:t>
      </w:r>
      <w:r>
        <w:rPr>
          <w:rFonts w:hint="default" w:ascii="Times New Roman" w:hAnsi="Times New Roman" w:eastAsia="宋体" w:cs="Times New Roman"/>
          <w:color w:val="auto"/>
          <w:highlight w:val="none"/>
        </w:rPr>
        <w:t>＜1，因此该项目环境风险潜势为Ⅰ。</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根据HJ169-2018风险评价工作等级划分，见表1.5-</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。本项目环境风险潜势为Ⅰ，则进行简单分析即可。</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w:t>
      </w:r>
      <w:r>
        <w:rPr>
          <w:rFonts w:hint="default" w:ascii="Times New Roman" w:hAnsi="Times New Roman" w:eastAsia="宋体" w:cs="Times New Roman"/>
          <w:b/>
          <w:color w:val="auto"/>
          <w:sz w:val="21"/>
          <w:szCs w:val="21"/>
          <w:highlight w:val="none"/>
          <w:lang w:val="en-US" w:eastAsia="zh-CN"/>
        </w:rPr>
        <w:t>9</w:t>
      </w:r>
      <w:r>
        <w:rPr>
          <w:rFonts w:hint="default" w:ascii="Times New Roman" w:hAnsi="Times New Roman" w:eastAsia="宋体" w:cs="Times New Roman"/>
          <w:b/>
          <w:color w:val="auto"/>
          <w:sz w:val="21"/>
          <w:szCs w:val="21"/>
          <w:highlight w:val="none"/>
        </w:rPr>
        <w:t>评价工作等级划分表</w:t>
      </w:r>
    </w:p>
    <w:tbl>
      <w:tblPr>
        <w:tblStyle w:val="45"/>
        <w:tblW w:w="890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1"/>
        <w:gridCol w:w="1782"/>
        <w:gridCol w:w="1782"/>
        <w:gridCol w:w="1782"/>
        <w:gridCol w:w="17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环境风险潜势</w:t>
            </w:r>
          </w:p>
        </w:tc>
        <w:tc>
          <w:tcPr>
            <w:tcW w:w="178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Ⅳ、Ⅳ</w:t>
            </w:r>
            <w:r>
              <w:rPr>
                <w:rFonts w:hint="default" w:ascii="Times New Roman" w:hAnsi="Times New Roman" w:eastAsia="宋体" w:cs="Times New Roman"/>
                <w:color w:val="auto"/>
                <w:highlight w:val="none"/>
                <w:vertAlign w:val="superscript"/>
              </w:rPr>
              <w:t>+</w:t>
            </w:r>
          </w:p>
        </w:tc>
        <w:tc>
          <w:tcPr>
            <w:tcW w:w="178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Ⅲ</w:t>
            </w:r>
          </w:p>
        </w:tc>
        <w:tc>
          <w:tcPr>
            <w:tcW w:w="178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Ⅱ</w:t>
            </w:r>
          </w:p>
        </w:tc>
        <w:tc>
          <w:tcPr>
            <w:tcW w:w="1782" w:type="dxa"/>
            <w:tcBorders>
              <w:bottom w:val="single" w:color="auto" w:sz="4" w:space="0"/>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8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w:t>
            </w:r>
          </w:p>
        </w:tc>
        <w:tc>
          <w:tcPr>
            <w:tcW w:w="178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178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178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w:t>
            </w:r>
          </w:p>
        </w:tc>
        <w:tc>
          <w:tcPr>
            <w:tcW w:w="1782" w:type="dxa"/>
            <w:tcBorders>
              <w:top w:val="single" w:color="auto" w:sz="4" w:space="0"/>
              <w:bottom w:val="single" w:color="auto" w:sz="4" w:space="0"/>
            </w:tcBorders>
            <w:shd w:val="clear" w:color="auto" w:fill="AEAAAA" w:themeFill="background2" w:themeFillShade="BF"/>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简单分析</w:t>
            </w:r>
            <w:r>
              <w:rPr>
                <w:rFonts w:hint="default" w:ascii="Times New Roman" w:hAnsi="Times New Roman" w:eastAsia="宋体" w:cs="Times New Roman"/>
                <w:color w:val="auto"/>
                <w:highlight w:val="none"/>
                <w:vertAlign w:val="superscript"/>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09" w:type="dxa"/>
            <w:gridSpan w:val="5"/>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vertAlign w:val="superscript"/>
              </w:rPr>
              <w:t>a</w:t>
            </w:r>
            <w:r>
              <w:rPr>
                <w:rFonts w:hint="default" w:ascii="Times New Roman" w:hAnsi="Times New Roman" w:eastAsia="宋体" w:cs="Times New Roman"/>
                <w:color w:val="auto"/>
                <w:highlight w:val="none"/>
              </w:rPr>
              <w:t>是相对于详细评价工作内容而言，在描述危险物质、环境影响途径、环境危害后果、风险防范措施等方面给出定性的说明。</w:t>
            </w:r>
          </w:p>
        </w:tc>
      </w:tr>
    </w:tbl>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土壤环境评价等级</w:t>
      </w:r>
      <w:r>
        <w:rPr>
          <w:rFonts w:hint="default" w:ascii="Times New Roman" w:hAnsi="Times New Roman" w:eastAsia="宋体" w:cs="Times New Roman"/>
          <w:color w:val="auto"/>
          <w:highlight w:val="none"/>
          <w:lang w:val="en-US" w:eastAsia="zh-CN"/>
        </w:rPr>
        <w:t>和评价范围</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bookmarkStart w:id="149" w:name="_Toc531354462"/>
      <w:bookmarkStart w:id="150" w:name="_Toc445968933"/>
      <w:r>
        <w:rPr>
          <w:rFonts w:hint="default" w:ascii="Times New Roman" w:hAnsi="Times New Roman" w:eastAsia="宋体" w:cs="Times New Roman"/>
          <w:color w:val="auto"/>
          <w:highlight w:val="none"/>
          <w:lang w:val="en-US" w:eastAsia="zh-CN"/>
        </w:rPr>
        <w:t>、评价等级</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eastAsia" w:cs="Times New Roman"/>
          <w:color w:val="auto"/>
          <w:highlight w:val="none"/>
          <w:lang w:eastAsia="zh-CN"/>
        </w:rPr>
        <w:t>环境影响评价技术导则—土壤环境（试行）</w:t>
      </w:r>
      <w:r>
        <w:rPr>
          <w:rFonts w:hint="default" w:ascii="Times New Roman" w:hAnsi="Times New Roman" w:eastAsia="宋体" w:cs="Times New Roman"/>
          <w:color w:val="auto"/>
          <w:highlight w:val="none"/>
        </w:rPr>
        <w:t>》（HJ964-2018）</w:t>
      </w:r>
      <w:r>
        <w:rPr>
          <w:rFonts w:hint="default" w:ascii="Times New Roman" w:hAnsi="Times New Roman" w:eastAsia="宋体" w:cs="Times New Roman"/>
          <w:color w:val="auto"/>
          <w:highlight w:val="none"/>
          <w:lang w:val="en-US" w:eastAsia="zh-CN"/>
        </w:rPr>
        <w:t>及其编制说明</w:t>
      </w:r>
      <w:r>
        <w:rPr>
          <w:rFonts w:hint="default" w:ascii="Times New Roman" w:hAnsi="Times New Roman" w:eastAsia="宋体" w:cs="Times New Roman"/>
          <w:color w:val="auto"/>
          <w:highlight w:val="none"/>
        </w:rPr>
        <w:t>，本项目同时涉及污染影响型和生态影响型。按照导则要求，分别判定评价工作等级。污染影响型对建设项目评价工作等级划分的主要依据为土壤环境敏感程度、建设项目类别和占地规模；生态影响型对建设项目评价工作等级划分的主要依据为土壤环境敏感程度和建设项目类别。</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（1）污染影响型分级</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a土壤环境敏感程度分级</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项目场地土壤环境敏感程度分为敏感、较敏感、不敏感三级，分级原则如表1.5-10所示。通过对项目场地周边环境敏感点现场调查和相关资料收集研读，该项目周边</w:t>
      </w:r>
      <w:r>
        <w:rPr>
          <w:rFonts w:hint="default" w:ascii="Times New Roman" w:hAnsi="Times New Roman" w:eastAsia="宋体" w:cs="Times New Roman"/>
          <w:color w:val="auto"/>
          <w:highlight w:val="none"/>
          <w:lang w:val="en-US" w:eastAsia="zh-CN"/>
        </w:rPr>
        <w:t>有少量耕地</w:t>
      </w:r>
      <w:r>
        <w:rPr>
          <w:rFonts w:hint="default" w:ascii="Times New Roman" w:hAnsi="Times New Roman" w:eastAsia="宋体" w:cs="Times New Roman"/>
          <w:color w:val="auto"/>
          <w:highlight w:val="none"/>
        </w:rPr>
        <w:t>。因此本项目场地土壤环境敏感程度为敏感。</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表1.5-1</w:t>
      </w:r>
      <w:r>
        <w:rPr>
          <w:rFonts w:hint="default" w:ascii="Times New Roman" w:hAnsi="Times New Roman" w:eastAsia="宋体" w:cs="Times New Roman"/>
          <w:b/>
          <w:color w:val="auto"/>
          <w:sz w:val="21"/>
          <w:szCs w:val="21"/>
          <w:highlight w:val="none"/>
          <w:lang w:val="en-US" w:eastAsia="zh-CN"/>
        </w:rPr>
        <w:t>0</w:t>
      </w:r>
      <w:r>
        <w:rPr>
          <w:rFonts w:hint="default" w:ascii="Times New Roman" w:hAnsi="Times New Roman" w:eastAsia="宋体" w:cs="Times New Roman"/>
          <w:b/>
          <w:color w:val="auto"/>
          <w:sz w:val="21"/>
          <w:szCs w:val="21"/>
          <w:highlight w:val="none"/>
        </w:rPr>
        <w:t>污染影响型敏感程度分级</w:t>
      </w:r>
    </w:p>
    <w:tbl>
      <w:tblPr>
        <w:tblStyle w:val="46"/>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83"/>
        <w:gridCol w:w="79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8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敏感程度</w:t>
            </w:r>
          </w:p>
        </w:tc>
        <w:tc>
          <w:tcPr>
            <w:tcW w:w="790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地下水环境敏感特征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8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w:t>
            </w:r>
          </w:p>
        </w:tc>
        <w:tc>
          <w:tcPr>
            <w:tcW w:w="790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建设项目周边存在耕地、园地、牧草地、饮用水水源地或居民区、学校、医院、疗养院、养老院等土壤环境敏感目标的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8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较敏感</w:t>
            </w:r>
          </w:p>
        </w:tc>
        <w:tc>
          <w:tcPr>
            <w:tcW w:w="790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建设项目周边存在其他土壤环境敏感目标的</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38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不敏感</w:t>
            </w:r>
          </w:p>
        </w:tc>
        <w:tc>
          <w:tcPr>
            <w:tcW w:w="7903" w:type="dxa"/>
            <w:tcBorders>
              <w:tl2br w:val="nil"/>
              <w:tr2bl w:val="nil"/>
            </w:tcBorders>
            <w:vAlign w:val="center"/>
          </w:tcPr>
          <w:p>
            <w:pPr>
              <w:pStyle w:val="27"/>
              <w:spacing w:after="0" w:line="240" w:lineRule="atLeast"/>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其他情况</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b建设项目行业分类</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eastAsia" w:cs="Times New Roman"/>
          <w:color w:val="auto"/>
          <w:highlight w:val="none"/>
          <w:lang w:eastAsia="zh-CN"/>
        </w:rPr>
        <w:t>环境影响评价技术导则—土壤环境（试行）</w:t>
      </w:r>
      <w:r>
        <w:rPr>
          <w:rFonts w:hint="default" w:ascii="Times New Roman" w:hAnsi="Times New Roman" w:eastAsia="宋体" w:cs="Times New Roman"/>
          <w:color w:val="auto"/>
          <w:highlight w:val="none"/>
        </w:rPr>
        <w:t>》（HJ964-2018）中</w:t>
      </w:r>
      <w:r>
        <w:rPr>
          <w:rFonts w:hint="eastAsia" w:cs="Times New Roman"/>
          <w:color w:val="auto"/>
          <w:highlight w:val="none"/>
          <w:lang w:eastAsia="zh-CN"/>
        </w:rPr>
        <w:t>“</w:t>
      </w:r>
      <w:r>
        <w:rPr>
          <w:rFonts w:hint="default" w:ascii="Times New Roman" w:hAnsi="Times New Roman" w:eastAsia="宋体" w:cs="Times New Roman"/>
          <w:color w:val="auto"/>
          <w:highlight w:val="none"/>
        </w:rPr>
        <w:t>附录A项目类别</w:t>
      </w:r>
      <w:r>
        <w:rPr>
          <w:rFonts w:hint="eastAsia" w:cs="Times New Roman"/>
          <w:color w:val="auto"/>
          <w:highlight w:val="none"/>
          <w:lang w:eastAsia="zh-CN"/>
        </w:rPr>
        <w:t>”</w:t>
      </w:r>
      <w:r>
        <w:rPr>
          <w:rFonts w:hint="default" w:ascii="Times New Roman" w:hAnsi="Times New Roman" w:eastAsia="宋体" w:cs="Times New Roman"/>
          <w:color w:val="auto"/>
          <w:highlight w:val="none"/>
        </w:rPr>
        <w:t>，本项目为</w:t>
      </w:r>
      <w:r>
        <w:rPr>
          <w:rFonts w:hint="eastAsia" w:cs="Times New Roman"/>
          <w:color w:val="auto"/>
          <w:highlight w:val="none"/>
          <w:lang w:eastAsia="zh-CN"/>
        </w:rPr>
        <w:t>“</w:t>
      </w:r>
      <w:r>
        <w:rPr>
          <w:rFonts w:hint="default" w:ascii="Times New Roman" w:hAnsi="Times New Roman" w:eastAsia="宋体" w:cs="Times New Roman"/>
          <w:color w:val="auto"/>
          <w:highlight w:val="none"/>
        </w:rPr>
        <w:t>采矿业：</w:t>
      </w:r>
      <w:r>
        <w:rPr>
          <w:rFonts w:hint="default" w:ascii="Times New Roman" w:hAnsi="Times New Roman" w:eastAsia="宋体" w:cs="Times New Roman"/>
          <w:color w:val="auto"/>
          <w:highlight w:val="none"/>
          <w:lang w:val="en-US" w:eastAsia="zh-CN"/>
        </w:rPr>
        <w:t>其他</w:t>
      </w:r>
      <w:r>
        <w:rPr>
          <w:rFonts w:hint="eastAsia" w:cs="Times New Roman"/>
          <w:color w:val="auto"/>
          <w:highlight w:val="none"/>
          <w:lang w:val="en-US" w:eastAsia="zh-CN"/>
        </w:rPr>
        <w:t>”</w:t>
      </w:r>
      <w:r>
        <w:rPr>
          <w:rFonts w:hint="default" w:ascii="Times New Roman" w:hAnsi="Times New Roman" w:eastAsia="宋体" w:cs="Times New Roman"/>
          <w:color w:val="auto"/>
          <w:highlight w:val="none"/>
        </w:rPr>
        <w:t>，因此土壤环境影响评价项目类别为</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 MERGEFORMAT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w:t>
      </w:r>
      <w:r>
        <w:rPr>
          <w:rFonts w:hint="default" w:ascii="Times New Roman" w:hAnsi="Times New Roman" w:eastAsia="宋体" w:cs="Times New Roman"/>
          <w:color w:val="auto"/>
          <w:highlight w:val="none"/>
        </w:rPr>
        <w:t>。</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c占地规模判定</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eastAsia" w:ascii="Times New Roman" w:hAnsi="Times New Roman" w:eastAsia="宋体" w:cs="Times New Roman"/>
          <w:color w:val="auto"/>
          <w:highlight w:val="none"/>
          <w:lang w:eastAsia="zh-CN"/>
        </w:rPr>
        <w:t>环境影响评价技术导则—土壤环境（试行）</w:t>
      </w:r>
      <w:r>
        <w:rPr>
          <w:rFonts w:hint="default" w:ascii="Times New Roman" w:hAnsi="Times New Roman" w:eastAsia="宋体" w:cs="Times New Roman"/>
          <w:color w:val="auto"/>
          <w:highlight w:val="none"/>
        </w:rPr>
        <w:t>》（HJ964-2018），建设项目占地规模分为大型（≥50hm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）、中型（≥5~50hm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）、小型（≤5hm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）建设项目占地主要为永久占地。本项目</w:t>
      </w:r>
      <w:r>
        <w:rPr>
          <w:rFonts w:hint="default" w:ascii="Times New Roman" w:hAnsi="Times New Roman" w:eastAsia="宋体" w:cs="Times New Roman"/>
          <w:color w:val="auto"/>
          <w:highlight w:val="none"/>
          <w:lang w:val="en-US" w:eastAsia="zh-CN"/>
        </w:rPr>
        <w:t>矿区</w:t>
      </w:r>
      <w:r>
        <w:rPr>
          <w:rFonts w:hint="default" w:ascii="Times New Roman" w:hAnsi="Times New Roman" w:eastAsia="宋体" w:cs="Times New Roman"/>
          <w:color w:val="auto"/>
          <w:highlight w:val="none"/>
        </w:rPr>
        <w:t>占地面积为</w:t>
      </w:r>
      <w:r>
        <w:rPr>
          <w:rFonts w:hint="default" w:ascii="Times New Roman" w:hAnsi="Times New Roman" w:eastAsia="宋体" w:cs="Times New Roman"/>
          <w:color w:val="auto"/>
          <w:highlight w:val="none"/>
          <w:lang w:val="en-US" w:eastAsia="zh-CN"/>
        </w:rPr>
        <w:t>0.4780hm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，占地规模为小型。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d建设项目土壤环境影响评价工作等级判定</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结合前文对土壤环境敏感程度和项目类别的判定结果，依据建设项目评价工作等级分级判定标准（如表1.5-</w:t>
      </w:r>
      <w:r>
        <w:rPr>
          <w:rFonts w:hint="default" w:ascii="Times New Roman" w:hAnsi="Times New Roman" w:eastAsia="宋体" w:cs="Times New Roman"/>
          <w:color w:val="auto"/>
          <w:highlight w:val="none"/>
          <w:lang w:val="en-US" w:eastAsia="zh-CN"/>
        </w:rPr>
        <w:t>11</w:t>
      </w:r>
      <w:r>
        <w:rPr>
          <w:rFonts w:hint="default" w:ascii="Times New Roman" w:hAnsi="Times New Roman" w:eastAsia="宋体" w:cs="Times New Roman"/>
          <w:color w:val="auto"/>
          <w:highlight w:val="none"/>
        </w:rPr>
        <w:t>所示），本项目土壤环境影响评价工作等级判定为</w:t>
      </w:r>
      <w:r>
        <w:rPr>
          <w:rFonts w:hint="default" w:ascii="Times New Roman" w:hAnsi="Times New Roman" w:eastAsia="宋体" w:cs="Times New Roman"/>
          <w:bCs/>
          <w:color w:val="auto"/>
          <w:highlight w:val="none"/>
          <w:lang w:val="en-US" w:eastAsia="zh-CN"/>
        </w:rPr>
        <w:t>三</w:t>
      </w:r>
      <w:r>
        <w:rPr>
          <w:rFonts w:hint="default" w:ascii="Times New Roman" w:hAnsi="Times New Roman" w:eastAsia="宋体" w:cs="Times New Roman"/>
          <w:bCs/>
          <w:color w:val="auto"/>
          <w:highlight w:val="none"/>
        </w:rPr>
        <w:t>级</w:t>
      </w:r>
      <w:r>
        <w:rPr>
          <w:rFonts w:hint="default" w:ascii="Times New Roman" w:hAnsi="Times New Roman" w:eastAsia="宋体" w:cs="Times New Roman"/>
          <w:color w:val="auto"/>
          <w:highlight w:val="none"/>
        </w:rPr>
        <w:t>。</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表1.5-1</w:t>
      </w:r>
      <w:r>
        <w:rPr>
          <w:rFonts w:hint="default"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污染影响型评价工作等级分级表</w:t>
      </w:r>
    </w:p>
    <w:tbl>
      <w:tblPr>
        <w:tblStyle w:val="46"/>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78"/>
        <w:gridCol w:w="715"/>
        <w:gridCol w:w="715"/>
        <w:gridCol w:w="717"/>
        <w:gridCol w:w="715"/>
        <w:gridCol w:w="717"/>
        <w:gridCol w:w="715"/>
        <w:gridCol w:w="716"/>
        <w:gridCol w:w="715"/>
        <w:gridCol w:w="68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78" w:type="dxa"/>
            <w:vMerge w:val="restart"/>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mc:AlternateContent>
                <mc:Choice Requires="wps">
                  <w:drawing>
                    <wp:anchor distT="0" distB="0" distL="114300" distR="114300" simplePos="0" relativeHeight="251662336" behindDoc="0" locked="0" layoutInCell="1" allowOverlap="1">
                      <wp:simplePos x="0" y="0"/>
                      <wp:positionH relativeFrom="column">
                        <wp:posOffset>838200</wp:posOffset>
                      </wp:positionH>
                      <wp:positionV relativeFrom="paragraph">
                        <wp:posOffset>-14605</wp:posOffset>
                      </wp:positionV>
                      <wp:extent cx="927735" cy="523875"/>
                      <wp:effectExtent l="2540" t="4445" r="3175" b="5080"/>
                      <wp:wrapNone/>
                      <wp:docPr id="296" name="直接连接符 296"/>
                      <wp:cNvGraphicFramePr/>
                      <a:graphic xmlns:a="http://schemas.openxmlformats.org/drawingml/2006/main">
                        <a:graphicData uri="http://schemas.microsoft.com/office/word/2010/wordprocessingShape">
                          <wps:wsp>
                            <wps:cNvCnPr/>
                            <wps:spPr>
                              <a:xfrm>
                                <a:off x="0" y="0"/>
                                <a:ext cx="927735" cy="523875"/>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66pt;margin-top:-1.15pt;height:41.25pt;width:73.05pt;z-index:251662336;mso-width-relative:page;mso-height-relative:page;" filled="f" stroked="t" coordsize="21600,21600" o:gfxdata="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GJQv&#10;7tgAAAAJAQAADwAAAAAAAAABACAAAAAiAAAAZHJzL2Rvd25yZXYueG1sUEsBAhQAFAAAAAgAh07i&#10;QBWwrRrpAQAAuQMAAA4AAAAAAAAAAQAgAAAAJwEAAGRycy9lMm9Eb2MueG1sUEsFBgAAAAAGAAYA&#10;WQEAAIIFAAAAAA==&#10;">
                      <v:fill on="f" focussize="0,0"/>
                      <v:stroke color="#000000 [3200]" miterlimit="8" joinstyle="miter"/>
                      <v:imagedata o:title=""/>
                      <o:lock v:ext="edit" aspectratio="f"/>
                    </v:line>
                  </w:pict>
                </mc:Fallback>
              </mc:AlternateContent>
            </w:r>
            <w:r>
              <w:rPr>
                <w:rFonts w:hint="default" w:ascii="Times New Roman" w:hAnsi="Times New Roman" w:eastAsia="宋体" w:cs="Times New Roman"/>
                <w:color w:val="auto"/>
                <w:sz w:val="21"/>
                <w:szCs w:val="21"/>
                <w:highlight w:val="none"/>
              </w:rPr>
              <w:t>占地规模</w:t>
            </w:r>
          </w:p>
          <w:p>
            <w:pPr>
              <w:spacing w:line="240" w:lineRule="atLeast"/>
              <w:ind w:firstLine="480" w:firstLineChars="22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mc:AlternateContent>
                <mc:Choice Requires="wps">
                  <w:drawing>
                    <wp:anchor distT="0" distB="0" distL="114300" distR="114300" simplePos="0" relativeHeight="251660288" behindDoc="0" locked="0" layoutInCell="1" allowOverlap="1">
                      <wp:simplePos x="0" y="0"/>
                      <wp:positionH relativeFrom="column">
                        <wp:posOffset>-30480</wp:posOffset>
                      </wp:positionH>
                      <wp:positionV relativeFrom="paragraph">
                        <wp:posOffset>71755</wp:posOffset>
                      </wp:positionV>
                      <wp:extent cx="1783715" cy="259080"/>
                      <wp:effectExtent l="635" t="4445" r="6350" b="22225"/>
                      <wp:wrapNone/>
                      <wp:docPr id="4" name="直接连接符 4"/>
                      <wp:cNvGraphicFramePr/>
                      <a:graphic xmlns:a="http://schemas.openxmlformats.org/drawingml/2006/main">
                        <a:graphicData uri="http://schemas.microsoft.com/office/word/2010/wordprocessingShape">
                          <wps:wsp>
                            <wps:cNvCnPr/>
                            <wps:spPr>
                              <a:xfrm>
                                <a:off x="0" y="0"/>
                                <a:ext cx="1783715" cy="25908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2.4pt;margin-top:5.65pt;height:20.4pt;width:140.45pt;z-index:251660288;mso-width-relative:page;mso-height-relative:page;" filled="f" stroked="t" coordsize="21600,21600" o:gfxdata="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HCiU&#10;L9gAAAAIAQAADwAAAAAAAAABACAAAAAiAAAAZHJzL2Rvd25yZXYueG1sUEsBAhQAFAAAAAgAh07i&#10;QA0YiJ/pAQAAtgMAAA4AAAAAAAAAAQAgAAAAJwEAAGRycy9lMm9Eb2MueG1sUEsFBgAAAAAGAAYA&#10;WQEAAIIFAAAAAA==&#10;">
                      <v:fill on="f" focussize="0,0"/>
                      <v:stroke color="#000000 [3200]" miterlimit="8" joinstyle="miter"/>
                      <v:imagedata o:title=""/>
                      <o:lock v:ext="edit" aspectratio="f"/>
                    </v:line>
                  </w:pict>
                </mc:Fallback>
              </mc:AlternateContent>
            </w:r>
            <w:r>
              <w:rPr>
                <w:rFonts w:hint="default" w:ascii="Times New Roman" w:hAnsi="Times New Roman" w:eastAsia="宋体" w:cs="Times New Roman"/>
                <w:color w:val="auto"/>
                <w:sz w:val="21"/>
                <w:szCs w:val="21"/>
                <w:highlight w:val="none"/>
              </w:rPr>
              <w:t>评价工作等级</w:t>
            </w:r>
          </w:p>
          <w:p>
            <w:pPr>
              <w:spacing w:line="240" w:lineRule="atLeast"/>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敏感程度</w:t>
            </w:r>
          </w:p>
        </w:tc>
        <w:tc>
          <w:tcPr>
            <w:tcW w:w="2147" w:type="dxa"/>
            <w:gridSpan w:val="3"/>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I类</w:t>
            </w:r>
          </w:p>
        </w:tc>
        <w:tc>
          <w:tcPr>
            <w:tcW w:w="2147" w:type="dxa"/>
            <w:gridSpan w:val="3"/>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II类</w:t>
            </w:r>
          </w:p>
        </w:tc>
        <w:tc>
          <w:tcPr>
            <w:tcW w:w="2114" w:type="dxa"/>
            <w:gridSpan w:val="3"/>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III类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78" w:type="dxa"/>
            <w:vMerge w:val="continue"/>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w:t>
            </w:r>
          </w:p>
        </w:tc>
        <w:tc>
          <w:tcPr>
            <w:tcW w:w="717"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小</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w:t>
            </w:r>
          </w:p>
        </w:tc>
        <w:tc>
          <w:tcPr>
            <w:tcW w:w="717"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小</w:t>
            </w:r>
          </w:p>
        </w:tc>
        <w:tc>
          <w:tcPr>
            <w:tcW w:w="71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中</w:t>
            </w:r>
          </w:p>
        </w:tc>
        <w:tc>
          <w:tcPr>
            <w:tcW w:w="683"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小</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78"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17"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7"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683" w:type="dxa"/>
            <w:shd w:val="clear" w:color="auto" w:fill="AEAAAA" w:themeFill="background2" w:themeFillShade="BF"/>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78"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较敏感</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17"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7"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1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683"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878"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不敏感</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715" w:type="dxa"/>
            <w:shd w:val="clear" w:color="auto" w:fill="auto"/>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7"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717"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15" w:type="dxa"/>
            <w:shd w:val="clear" w:color="auto" w:fill="auto"/>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1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71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683"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（2）生态影响型分级</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a土壤环境敏感程度分级</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Cs/>
          <w:color w:val="auto"/>
          <w:highlight w:val="none"/>
        </w:rPr>
        <w:t>建设项目所在地土壤环境敏感程度分为敏感、较敏感、不敏感，</w:t>
      </w:r>
      <w:r>
        <w:rPr>
          <w:rFonts w:hint="default" w:ascii="Times New Roman" w:hAnsi="Times New Roman" w:eastAsia="宋体" w:cs="Times New Roman"/>
          <w:color w:val="auto"/>
          <w:highlight w:val="none"/>
        </w:rPr>
        <w:t>分级原则如表1.5-1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所示。通过对项目场地周边环境敏感点现场调查和相关资料收集研读，建设项目所在地</w:t>
      </w:r>
      <w:r>
        <w:rPr>
          <w:rFonts w:hint="default" w:ascii="Times New Roman" w:hAnsi="Times New Roman" w:eastAsia="宋体" w:cs="Times New Roman"/>
          <w:bCs/>
          <w:color w:val="auto"/>
          <w:highlight w:val="none"/>
        </w:rPr>
        <w:t>年平均降水量800～1000mm，年平均水面蒸发量为1225.3mm，干燥度a＜2.5。本项目委托</w:t>
      </w:r>
      <w:r>
        <w:rPr>
          <w:rFonts w:hint="default" w:ascii="Times New Roman" w:hAnsi="Times New Roman" w:eastAsia="宋体" w:cs="Times New Roman"/>
          <w:bCs/>
          <w:color w:val="auto"/>
          <w:highlight w:val="none"/>
          <w:lang w:eastAsia="zh-CN"/>
        </w:rPr>
        <w:t>沈阳市中正检测技术有限公司</w:t>
      </w:r>
      <w:r>
        <w:rPr>
          <w:rFonts w:hint="default" w:ascii="Times New Roman" w:hAnsi="Times New Roman" w:eastAsia="宋体" w:cs="Times New Roman"/>
          <w:bCs/>
          <w:color w:val="auto"/>
          <w:highlight w:val="none"/>
        </w:rPr>
        <w:t>于</w:t>
      </w:r>
      <w:r>
        <w:rPr>
          <w:rFonts w:hint="default" w:ascii="Times New Roman" w:hAnsi="Times New Roman" w:eastAsia="宋体" w:cs="Times New Roman"/>
          <w:bCs/>
          <w:color w:val="auto"/>
          <w:highlight w:val="none"/>
          <w:lang w:val="en-US" w:eastAsia="zh-CN"/>
        </w:rPr>
        <w:t>2020年3</w:t>
      </w:r>
      <w:r>
        <w:rPr>
          <w:rFonts w:hint="default" w:ascii="Times New Roman" w:hAnsi="Times New Roman" w:eastAsia="宋体" w:cs="Times New Roman"/>
          <w:bCs/>
          <w:color w:val="auto"/>
          <w:highlight w:val="none"/>
        </w:rPr>
        <w:t>月份对评价区内的土壤进行监测，由监测结果可知，</w:t>
      </w:r>
      <w:r>
        <w:rPr>
          <w:rFonts w:hint="default" w:ascii="Times New Roman" w:hAnsi="Times New Roman" w:eastAsia="宋体" w:cs="Times New Roman"/>
          <w:color w:val="auto"/>
          <w:highlight w:val="none"/>
        </w:rPr>
        <w:t>土壤</w:t>
      </w:r>
      <w:r>
        <w:rPr>
          <w:rFonts w:hint="default" w:ascii="Times New Roman" w:hAnsi="Times New Roman" w:eastAsia="宋体" w:cs="Times New Roman"/>
          <w:bCs/>
          <w:color w:val="auto"/>
          <w:highlight w:val="none"/>
        </w:rPr>
        <w:t>含盐量在</w:t>
      </w:r>
      <w:r>
        <w:rPr>
          <w:rFonts w:hint="default" w:ascii="Times New Roman" w:hAnsi="Times New Roman" w:eastAsia="宋体" w:cs="Times New Roman"/>
          <w:bCs/>
          <w:color w:val="auto"/>
          <w:highlight w:val="none"/>
          <w:lang w:val="en-US" w:eastAsia="zh-CN"/>
        </w:rPr>
        <w:t>1.1</w:t>
      </w:r>
      <w:r>
        <w:rPr>
          <w:rFonts w:hint="default" w:ascii="Times New Roman" w:hAnsi="Times New Roman" w:eastAsia="宋体" w:cs="Times New Roman"/>
          <w:bCs/>
          <w:color w:val="auto"/>
          <w:highlight w:val="none"/>
        </w:rPr>
        <w:t>g/kg~</w:t>
      </w:r>
      <w:r>
        <w:rPr>
          <w:rFonts w:hint="default" w:ascii="Times New Roman" w:hAnsi="Times New Roman" w:eastAsia="宋体" w:cs="Times New Roman"/>
          <w:bCs/>
          <w:color w:val="auto"/>
          <w:highlight w:val="none"/>
          <w:lang w:val="en-US" w:eastAsia="zh-CN"/>
        </w:rPr>
        <w:t>1.3</w:t>
      </w:r>
      <w:r>
        <w:rPr>
          <w:rFonts w:hint="default" w:ascii="Times New Roman" w:hAnsi="Times New Roman" w:eastAsia="宋体" w:cs="Times New Roman"/>
          <w:bCs/>
          <w:color w:val="auto"/>
          <w:highlight w:val="none"/>
        </w:rPr>
        <w:t>g/kg之间，</w:t>
      </w:r>
      <w:r>
        <w:rPr>
          <w:rFonts w:hint="default" w:ascii="Times New Roman" w:hAnsi="Times New Roman" w:eastAsia="宋体" w:cs="Times New Roman"/>
          <w:color w:val="auto"/>
          <w:highlight w:val="none"/>
        </w:rPr>
        <w:t>pH在</w:t>
      </w:r>
      <w:r>
        <w:rPr>
          <w:rFonts w:hint="default" w:ascii="Times New Roman" w:hAnsi="Times New Roman" w:eastAsia="宋体" w:cs="Times New Roman"/>
          <w:color w:val="auto"/>
          <w:highlight w:val="none"/>
          <w:lang w:val="en-US" w:eastAsia="zh-CN"/>
        </w:rPr>
        <w:t>7.09</w:t>
      </w:r>
      <w:r>
        <w:rPr>
          <w:rFonts w:hint="default" w:ascii="Times New Roman" w:hAnsi="Times New Roman" w:eastAsia="宋体" w:cs="Times New Roman"/>
          <w:color w:val="auto"/>
          <w:highlight w:val="none"/>
        </w:rPr>
        <w:t>~7.</w:t>
      </w:r>
      <w:r>
        <w:rPr>
          <w:rFonts w:hint="default" w:ascii="Times New Roman" w:hAnsi="Times New Roman" w:eastAsia="宋体" w:cs="Times New Roman"/>
          <w:color w:val="auto"/>
          <w:highlight w:val="none"/>
          <w:lang w:val="en-US" w:eastAsia="zh-CN"/>
        </w:rPr>
        <w:t>33</w:t>
      </w:r>
      <w:r>
        <w:rPr>
          <w:rFonts w:hint="default" w:ascii="Times New Roman" w:hAnsi="Times New Roman" w:eastAsia="宋体" w:cs="Times New Roman"/>
          <w:color w:val="auto"/>
          <w:highlight w:val="none"/>
        </w:rPr>
        <w:t>之间。因此，本项目场地土壤环境敏感程度为不敏感</w:t>
      </w:r>
      <w:r>
        <w:rPr>
          <w:rFonts w:hint="default" w:ascii="Times New Roman" w:hAnsi="Times New Roman" w:eastAsia="宋体" w:cs="Times New Roman"/>
          <w:color w:val="auto"/>
          <w:highlight w:val="none"/>
          <w:lang w:eastAsia="zh-CN"/>
        </w:rPr>
        <w:t>。</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表1.5-1</w:t>
      </w:r>
      <w:r>
        <w:rPr>
          <w:rFonts w:hint="default"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生态影响型土壤环境敏感程度分级</w:t>
      </w:r>
    </w:p>
    <w:tbl>
      <w:tblPr>
        <w:tblStyle w:val="46"/>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02"/>
        <w:gridCol w:w="4642"/>
        <w:gridCol w:w="1703"/>
        <w:gridCol w:w="17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2" w:type="dxa"/>
            <w:vMerge w:val="restart"/>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敏感程度</w:t>
            </w:r>
          </w:p>
        </w:tc>
        <w:tc>
          <w:tcPr>
            <w:tcW w:w="8084" w:type="dxa"/>
            <w:gridSpan w:val="3"/>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判别依据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2" w:type="dxa"/>
            <w:vMerge w:val="continue"/>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p>
        </w:tc>
        <w:tc>
          <w:tcPr>
            <w:tcW w:w="464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盐化</w:t>
            </w:r>
          </w:p>
        </w:tc>
        <w:tc>
          <w:tcPr>
            <w:tcW w:w="1703"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酸化</w:t>
            </w:r>
          </w:p>
        </w:tc>
        <w:tc>
          <w:tcPr>
            <w:tcW w:w="173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碱化</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敏感</w:t>
            </w:r>
          </w:p>
        </w:tc>
        <w:tc>
          <w:tcPr>
            <w:tcW w:w="464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建设项目所在地干燥度a＞2.5，且常年地下水水位平均埋深＜1.5m的地势平坦区域；或土壤含盐量＞4g/kg的区域</w:t>
            </w:r>
          </w:p>
        </w:tc>
        <w:tc>
          <w:tcPr>
            <w:tcW w:w="1703"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pH≤4.5</w:t>
            </w:r>
          </w:p>
        </w:tc>
        <w:tc>
          <w:tcPr>
            <w:tcW w:w="173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pH≥9.0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较敏感</w:t>
            </w:r>
          </w:p>
        </w:tc>
        <w:tc>
          <w:tcPr>
            <w:tcW w:w="464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建设项目所在地干燥度a＞2.5且常年地下水水位平均埋深≥1.5m，或1.8＜干燥度≤2.5且常年地下水位平均埋深＜1.8m的地势平坦区域；建设项目所在地干燥度＞2.5或常年地下水位平均埋深＜1.5m的平原区；或2g/kg＜土壤含盐量≤4g/kg的区域</w:t>
            </w:r>
          </w:p>
        </w:tc>
        <w:tc>
          <w:tcPr>
            <w:tcW w:w="1703"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4.5＜pH≤5.5</w:t>
            </w:r>
          </w:p>
        </w:tc>
        <w:tc>
          <w:tcPr>
            <w:tcW w:w="173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8.5≤pH＜9.0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20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不敏感</w:t>
            </w:r>
          </w:p>
        </w:tc>
        <w:tc>
          <w:tcPr>
            <w:tcW w:w="464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其他</w:t>
            </w:r>
          </w:p>
        </w:tc>
        <w:tc>
          <w:tcPr>
            <w:tcW w:w="3442" w:type="dxa"/>
            <w:gridSpan w:val="2"/>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5.5＜pH＜8.5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86" w:type="dxa"/>
            <w:gridSpan w:val="4"/>
            <w:vAlign w:val="center"/>
          </w:tcPr>
          <w:p>
            <w:pPr>
              <w:spacing w:line="240" w:lineRule="auto"/>
              <w:ind w:firstLine="0" w:firstLineChars="0"/>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vertAlign w:val="superscript"/>
              </w:rPr>
              <w:t>a</w:t>
            </w:r>
            <w:r>
              <w:rPr>
                <w:rFonts w:hint="default" w:ascii="Times New Roman" w:hAnsi="Times New Roman" w:eastAsia="宋体" w:cs="Times New Roman"/>
                <w:bCs/>
                <w:color w:val="auto"/>
                <w:sz w:val="21"/>
                <w:szCs w:val="21"/>
                <w:highlight w:val="none"/>
              </w:rPr>
              <w:t>是采用E601观测的多年平均水面蒸发量与降水量的比值，即蒸降比值</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b建设项目土壤环境影响评价工作等级判定</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本项目生态影响型敏感程度为不敏感，项目类别为</w:t>
      </w:r>
      <w:r>
        <w:rPr>
          <w:rFonts w:hint="default" w:ascii="Times New Roman" w:hAnsi="Times New Roman" w:eastAsia="宋体" w:cs="Times New Roman"/>
          <w:snapToGrid w:val="0"/>
          <w:color w:val="auto"/>
          <w:highlight w:val="none"/>
        </w:rPr>
        <w:fldChar w:fldCharType="begin"/>
      </w:r>
      <w:r>
        <w:rPr>
          <w:rFonts w:hint="default" w:ascii="Times New Roman" w:hAnsi="Times New Roman" w:eastAsia="宋体" w:cs="Times New Roman"/>
          <w:snapToGrid w:val="0"/>
          <w:color w:val="auto"/>
          <w:highlight w:val="none"/>
        </w:rPr>
        <w:instrText xml:space="preserve"> = 3 \* ROMAN \* MERGEFORMAT </w:instrText>
      </w:r>
      <w:r>
        <w:rPr>
          <w:rFonts w:hint="default" w:ascii="Times New Roman" w:hAnsi="Times New Roman" w:eastAsia="宋体" w:cs="Times New Roman"/>
          <w:snapToGrid w:val="0"/>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snapToGrid w:val="0"/>
          <w:color w:val="auto"/>
          <w:highlight w:val="none"/>
        </w:rPr>
        <w:fldChar w:fldCharType="end"/>
      </w:r>
      <w:r>
        <w:rPr>
          <w:rFonts w:hint="default" w:ascii="Times New Roman" w:hAnsi="Times New Roman" w:eastAsia="宋体" w:cs="Times New Roman"/>
          <w:snapToGrid w:val="0"/>
          <w:color w:val="auto"/>
          <w:highlight w:val="none"/>
        </w:rPr>
        <w:t>类</w:t>
      </w:r>
      <w:r>
        <w:rPr>
          <w:rFonts w:hint="default" w:ascii="Times New Roman" w:hAnsi="Times New Roman" w:eastAsia="宋体" w:cs="Times New Roman"/>
          <w:color w:val="auto"/>
          <w:highlight w:val="none"/>
        </w:rPr>
        <w:t>，依据建设项目生态影响型评价工作等级分级判定标准（如表1.5-1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所示），本项目土壤环境生态影响可不开展。</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表1.5-1</w:t>
      </w:r>
      <w:r>
        <w:rPr>
          <w:rFonts w:hint="default"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生态影响型评价工作等级划分</w:t>
      </w:r>
    </w:p>
    <w:tbl>
      <w:tblPr>
        <w:tblStyle w:val="46"/>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253"/>
        <w:gridCol w:w="2166"/>
        <w:gridCol w:w="2012"/>
        <w:gridCol w:w="185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34" w:hRule="atLeast"/>
          <w:jc w:val="center"/>
        </w:trPr>
        <w:tc>
          <w:tcPr>
            <w:tcW w:w="3253"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796290</wp:posOffset>
                      </wp:positionH>
                      <wp:positionV relativeFrom="paragraph">
                        <wp:posOffset>-6350</wp:posOffset>
                      </wp:positionV>
                      <wp:extent cx="988695" cy="584200"/>
                      <wp:effectExtent l="0" t="0" r="20955" b="25400"/>
                      <wp:wrapNone/>
                      <wp:docPr id="774" name="直接连接符 774"/>
                      <wp:cNvGraphicFramePr/>
                      <a:graphic xmlns:a="http://schemas.openxmlformats.org/drawingml/2006/main">
                        <a:graphicData uri="http://schemas.microsoft.com/office/word/2010/wordprocessingShape">
                          <wps:wsp>
                            <wps:cNvCnPr/>
                            <wps:spPr>
                              <a:xfrm>
                                <a:off x="0" y="0"/>
                                <a:ext cx="988695" cy="58420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62.7pt;margin-top:-0.5pt;height:46pt;width:77.85pt;z-index:251665408;mso-width-relative:page;mso-height-relative:page;" filled="f" stroked="t" coordsize="21600,21600" o:gfxdata="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gYbgXX&#10;AAAACQEAAA8AAAAAAAAAAQAgAAAAIgAAAGRycy9kb3ducmV2LnhtbFBLAQIUABQAAAAIAIdO4kBy&#10;kWlv6AEAALkDAAAOAAAAAAAAAAEAIAAAACYBAABkcnMvZTJvRG9jLnhtbFBLBQYAAAAABgAGAFkB&#10;AACABQAAAAA=&#10;">
                      <v:fill on="f" focussize="0,0"/>
                      <v:stroke color="#000000 [3200]" miterlimit="8" joinstyle="miter"/>
                      <v:imagedata o:title=""/>
                      <o:lock v:ext="edit" aspectratio="f"/>
                    </v:line>
                  </w:pict>
                </mc:Fallback>
              </mc:AlternateContent>
            </w:r>
            <w:r>
              <w:rPr>
                <w:rFonts w:hint="default" w:ascii="Times New Roman" w:hAnsi="Times New Roman" w:eastAsia="宋体" w:cs="Times New Roman"/>
                <w:color w:val="auto"/>
                <w:sz w:val="21"/>
                <w:szCs w:val="21"/>
                <w:highlight w:val="none"/>
              </w:rPr>
              <w:t>项目类别</w:t>
            </w:r>
          </w:p>
          <w:p>
            <w:pPr>
              <w:spacing w:line="240" w:lineRule="atLeast"/>
              <w:ind w:firstLine="480" w:firstLineChars="22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mc:AlternateContent>
                <mc:Choice Requires="wps">
                  <w:drawing>
                    <wp:anchor distT="0" distB="0" distL="114300" distR="114300" simplePos="0" relativeHeight="251663360" behindDoc="0" locked="0" layoutInCell="1" allowOverlap="1">
                      <wp:simplePos x="0" y="0"/>
                      <wp:positionH relativeFrom="column">
                        <wp:posOffset>1270</wp:posOffset>
                      </wp:positionH>
                      <wp:positionV relativeFrom="paragraph">
                        <wp:posOffset>55880</wp:posOffset>
                      </wp:positionV>
                      <wp:extent cx="1785620" cy="349885"/>
                      <wp:effectExtent l="0" t="0" r="24130" b="31115"/>
                      <wp:wrapNone/>
                      <wp:docPr id="775" name="直接连接符 775"/>
                      <wp:cNvGraphicFramePr/>
                      <a:graphic xmlns:a="http://schemas.openxmlformats.org/drawingml/2006/main">
                        <a:graphicData uri="http://schemas.microsoft.com/office/word/2010/wordprocessingShape">
                          <wps:wsp>
                            <wps:cNvCnPr/>
                            <wps:spPr>
                              <a:xfrm>
                                <a:off x="0" y="0"/>
                                <a:ext cx="1785620" cy="349885"/>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0.1pt;margin-top:4.4pt;height:27.55pt;width:140.6pt;z-index:251663360;mso-width-relative:page;mso-height-relative:page;" filled="f" stroked="t" coordsize="21600,21600" o:gfxdata="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FIo/L&#10;1QAAAAUBAAAPAAAAAAAAAAEAIAAAACIAAABkcnMvZG93bnJldi54bWxQSwECFAAUAAAACACHTuJA&#10;EnEu9+sBAAC6AwAADgAAAAAAAAABACAAAAAkAQAAZHJzL2Uyb0RvYy54bWxQSwUGAAAAAAYABgBZ&#10;AQAAgQUAAAAA&#10;">
                      <v:fill on="f" focussize="0,0"/>
                      <v:stroke color="#000000 [3200]" miterlimit="8" joinstyle="miter"/>
                      <v:imagedata o:title=""/>
                      <o:lock v:ext="edit" aspectratio="f"/>
                    </v:line>
                  </w:pict>
                </mc:Fallback>
              </mc:AlternateContent>
            </w:r>
            <w:r>
              <w:rPr>
                <w:rFonts w:hint="default" w:ascii="Times New Roman" w:hAnsi="Times New Roman" w:eastAsia="宋体" w:cs="Times New Roman"/>
                <w:color w:val="auto"/>
                <w:sz w:val="21"/>
                <w:szCs w:val="21"/>
                <w:highlight w:val="none"/>
              </w:rPr>
              <w:t>评价工作等级</w:t>
            </w:r>
          </w:p>
          <w:p>
            <w:pPr>
              <w:spacing w:line="240" w:lineRule="atLeast"/>
              <w:ind w:firstLine="0" w:firstLineChars="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敏感程度</w:t>
            </w:r>
          </w:p>
        </w:tc>
        <w:tc>
          <w:tcPr>
            <w:tcW w:w="2166"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I类</w:t>
            </w:r>
          </w:p>
        </w:tc>
        <w:tc>
          <w:tcPr>
            <w:tcW w:w="201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II类</w:t>
            </w:r>
          </w:p>
        </w:tc>
        <w:tc>
          <w:tcPr>
            <w:tcW w:w="185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III类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53"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w:t>
            </w:r>
          </w:p>
        </w:tc>
        <w:tc>
          <w:tcPr>
            <w:tcW w:w="2166"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p>
        </w:tc>
        <w:tc>
          <w:tcPr>
            <w:tcW w:w="2012"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185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53"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较敏感</w:t>
            </w:r>
          </w:p>
        </w:tc>
        <w:tc>
          <w:tcPr>
            <w:tcW w:w="2166" w:type="dxa"/>
            <w:tcBorders>
              <w:bottom w:val="single" w:color="auto" w:sz="6" w:space="0"/>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2012"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185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253"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不敏感</w:t>
            </w:r>
          </w:p>
        </w:tc>
        <w:tc>
          <w:tcPr>
            <w:tcW w:w="2166" w:type="dxa"/>
            <w:tcBorders>
              <w:top w:val="single" w:color="auto" w:sz="6" w:space="0"/>
              <w:bottom w:val="single" w:color="auto" w:sz="12" w:space="0"/>
            </w:tcBorders>
            <w:shd w:val="clear" w:color="auto" w:fill="auto"/>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w:t>
            </w:r>
          </w:p>
        </w:tc>
        <w:tc>
          <w:tcPr>
            <w:tcW w:w="2012" w:type="dxa"/>
            <w:shd w:val="clear" w:color="auto" w:fill="auto"/>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c>
          <w:tcPr>
            <w:tcW w:w="1855" w:type="dxa"/>
            <w:shd w:val="clear" w:color="auto" w:fill="CFCECE" w:themeFill="background2" w:themeFillShade="E5"/>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综上本项目土壤环境生态影响可不开展，污染影响评价等级为三级</w:t>
      </w:r>
      <w:r>
        <w:rPr>
          <w:rFonts w:hint="default" w:ascii="Times New Roman" w:hAnsi="Times New Roman" w:eastAsia="宋体" w:cs="Times New Roman"/>
          <w:color w:val="auto"/>
          <w:highlight w:val="none"/>
          <w:lang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2、评价范围</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本项目土壤污染影响型评价范围以工业场地、平硐、回风井、露天采场外扩50m范围内，生态影响型</w:t>
      </w:r>
      <w:r>
        <w:rPr>
          <w:rFonts w:hint="default" w:ascii="Times New Roman" w:hAnsi="Times New Roman" w:eastAsia="宋体" w:cs="Times New Roman"/>
          <w:color w:val="auto"/>
          <w:highlight w:val="none"/>
        </w:rPr>
        <w:t>可不开展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不设置评价范围。</w:t>
      </w:r>
    </w:p>
    <w:p>
      <w:pPr>
        <w:pStyle w:val="60"/>
        <w:ind w:firstLine="480"/>
        <w:jc w:val="both"/>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lang w:val="en-US" w:eastAsia="zh-CN"/>
        </w:rPr>
        <w:t>综上，</w:t>
      </w:r>
      <w:r>
        <w:rPr>
          <w:rFonts w:hint="default" w:ascii="Times New Roman" w:hAnsi="Times New Roman" w:eastAsia="宋体" w:cs="Times New Roman"/>
          <w:color w:val="auto"/>
          <w:szCs w:val="24"/>
          <w:highlight w:val="none"/>
        </w:rPr>
        <w:t>各环境要素的评价范围</w:t>
      </w:r>
      <w:r>
        <w:rPr>
          <w:rFonts w:hint="default" w:ascii="Times New Roman" w:hAnsi="Times New Roman" w:eastAsia="宋体" w:cs="Times New Roman"/>
          <w:color w:val="auto"/>
          <w:szCs w:val="24"/>
          <w:highlight w:val="none"/>
          <w:lang w:val="en-US" w:eastAsia="zh-CN"/>
        </w:rPr>
        <w:t>汇总</w:t>
      </w:r>
      <w:r>
        <w:rPr>
          <w:rFonts w:hint="default" w:ascii="Times New Roman" w:hAnsi="Times New Roman" w:eastAsia="宋体" w:cs="Times New Roman"/>
          <w:color w:val="auto"/>
          <w:szCs w:val="24"/>
          <w:highlight w:val="none"/>
        </w:rPr>
        <w:t>见表</w:t>
      </w:r>
      <w:r>
        <w:rPr>
          <w:rFonts w:hint="default" w:ascii="Times New Roman" w:hAnsi="Times New Roman" w:eastAsia="宋体" w:cs="Times New Roman"/>
          <w:color w:val="auto"/>
          <w:szCs w:val="24"/>
          <w:highlight w:val="none"/>
          <w:lang w:val="en-US" w:eastAsia="zh-CN"/>
        </w:rPr>
        <w:t>1.5-14</w:t>
      </w:r>
      <w:r>
        <w:rPr>
          <w:rFonts w:hint="default" w:ascii="Times New Roman" w:hAnsi="Times New Roman" w:eastAsia="宋体" w:cs="Times New Roman"/>
          <w:color w:val="auto"/>
          <w:szCs w:val="24"/>
          <w:highlight w:val="none"/>
        </w:rPr>
        <w:t>，评价范围见图1</w:t>
      </w:r>
      <w:r>
        <w:rPr>
          <w:rFonts w:hint="default" w:ascii="Times New Roman" w:hAnsi="Times New Roman" w:eastAsia="宋体" w:cs="Times New Roman"/>
          <w:color w:val="auto"/>
          <w:szCs w:val="24"/>
          <w:highlight w:val="none"/>
          <w:lang w:val="en-US" w:eastAsia="zh-CN"/>
        </w:rPr>
        <w:t>.</w:t>
      </w:r>
      <w:r>
        <w:rPr>
          <w:rFonts w:hint="default" w:ascii="Times New Roman" w:hAnsi="Times New Roman" w:eastAsia="宋体" w:cs="Times New Roman"/>
          <w:color w:val="auto"/>
          <w:szCs w:val="24"/>
          <w:highlight w:val="none"/>
        </w:rPr>
        <w:t>6-1。</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1.5-14</w:t>
      </w:r>
      <w:r>
        <w:rPr>
          <w:rFonts w:hint="default" w:ascii="Times New Roman" w:hAnsi="Times New Roman" w:eastAsia="宋体" w:cs="Times New Roman"/>
          <w:b/>
          <w:color w:val="auto"/>
          <w:sz w:val="21"/>
          <w:szCs w:val="21"/>
          <w:highlight w:val="none"/>
        </w:rPr>
        <w:t>环境评价范围一览表</w:t>
      </w:r>
    </w:p>
    <w:tbl>
      <w:tblPr>
        <w:tblStyle w:val="46"/>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79"/>
        <w:gridCol w:w="1668"/>
        <w:gridCol w:w="61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环境要素</w:t>
            </w:r>
          </w:p>
        </w:tc>
        <w:tc>
          <w:tcPr>
            <w:tcW w:w="1668"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评价等级</w:t>
            </w:r>
          </w:p>
        </w:tc>
        <w:tc>
          <w:tcPr>
            <w:tcW w:w="613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评价范围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生态环境</w:t>
            </w:r>
          </w:p>
        </w:tc>
        <w:tc>
          <w:tcPr>
            <w:tcW w:w="1668"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eastAsia" w:ascii="Times New Roman" w:hAnsi="Times New Roman" w:eastAsia="宋体" w:cs="Times New Roman"/>
                <w:bCs/>
                <w:color w:val="auto"/>
                <w:sz w:val="21"/>
                <w:szCs w:val="21"/>
                <w:highlight w:val="none"/>
                <w:lang w:val="en-US" w:eastAsia="zh-CN"/>
              </w:rPr>
              <w:t>二</w:t>
            </w:r>
            <w:r>
              <w:rPr>
                <w:rFonts w:hint="default" w:ascii="Times New Roman" w:hAnsi="Times New Roman" w:eastAsia="宋体" w:cs="Times New Roman"/>
                <w:bCs/>
                <w:color w:val="auto"/>
                <w:sz w:val="21"/>
                <w:szCs w:val="21"/>
                <w:highlight w:val="none"/>
              </w:rPr>
              <w:t>级</w:t>
            </w:r>
          </w:p>
        </w:tc>
        <w:tc>
          <w:tcPr>
            <w:tcW w:w="613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矿区及周边外延</w:t>
            </w:r>
            <w:r>
              <w:rPr>
                <w:rFonts w:hint="default" w:ascii="Times New Roman" w:hAnsi="Times New Roman" w:eastAsia="宋体" w:cs="Times New Roman"/>
                <w:bCs/>
                <w:color w:val="auto"/>
                <w:sz w:val="21"/>
                <w:szCs w:val="21"/>
                <w:highlight w:val="none"/>
                <w:lang w:val="en-US" w:eastAsia="zh-CN"/>
              </w:rPr>
              <w:t>5</w:t>
            </w:r>
            <w:r>
              <w:rPr>
                <w:rFonts w:hint="default" w:ascii="Times New Roman" w:hAnsi="Times New Roman" w:eastAsia="宋体" w:cs="Times New Roman"/>
                <w:bCs/>
                <w:color w:val="auto"/>
                <w:sz w:val="21"/>
                <w:szCs w:val="21"/>
                <w:highlight w:val="none"/>
              </w:rPr>
              <w:t>00m的范围，面积</w:t>
            </w:r>
            <w:r>
              <w:rPr>
                <w:rFonts w:hint="eastAsia" w:cs="Times New Roman"/>
                <w:bCs/>
                <w:color w:val="auto"/>
                <w:sz w:val="21"/>
                <w:szCs w:val="21"/>
                <w:highlight w:val="none"/>
                <w:lang w:val="en-US" w:eastAsia="zh-CN"/>
              </w:rPr>
              <w:t>2.79</w:t>
            </w:r>
            <w:r>
              <w:rPr>
                <w:rFonts w:hint="default" w:ascii="Times New Roman" w:hAnsi="Times New Roman" w:eastAsia="宋体" w:cs="Times New Roman"/>
                <w:bCs/>
                <w:color w:val="auto"/>
                <w:sz w:val="21"/>
                <w:szCs w:val="21"/>
                <w:highlight w:val="none"/>
                <w:lang w:val="en-US" w:eastAsia="zh-CN"/>
              </w:rPr>
              <w:t>k</w:t>
            </w:r>
            <w:r>
              <w:rPr>
                <w:rFonts w:hint="default" w:ascii="Times New Roman" w:hAnsi="Times New Roman" w:eastAsia="宋体" w:cs="Times New Roman"/>
                <w:bCs/>
                <w:color w:val="auto"/>
                <w:sz w:val="21"/>
                <w:szCs w:val="21"/>
                <w:highlight w:val="none"/>
              </w:rPr>
              <w:t>m</w:t>
            </w:r>
            <w:r>
              <w:rPr>
                <w:rFonts w:hint="default" w:ascii="Times New Roman" w:hAnsi="Times New Roman" w:eastAsia="宋体" w:cs="Times New Roman"/>
                <w:bCs/>
                <w:color w:val="auto"/>
                <w:sz w:val="21"/>
                <w:szCs w:val="21"/>
                <w:highlight w:val="none"/>
                <w:vertAlign w:val="superscript"/>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环境空气</w:t>
            </w:r>
          </w:p>
        </w:tc>
        <w:tc>
          <w:tcPr>
            <w:tcW w:w="1668"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二级</w:t>
            </w:r>
          </w:p>
        </w:tc>
        <w:tc>
          <w:tcPr>
            <w:tcW w:w="613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大气评价范围为</w:t>
            </w:r>
            <w:r>
              <w:rPr>
                <w:rFonts w:hint="default" w:ascii="Times New Roman" w:hAnsi="Times New Roman" w:eastAsia="宋体" w:cs="Times New Roman"/>
                <w:bCs/>
                <w:color w:val="auto"/>
                <w:sz w:val="21"/>
                <w:szCs w:val="21"/>
                <w:highlight w:val="none"/>
                <w:lang w:val="en-US" w:eastAsia="zh-CN"/>
              </w:rPr>
              <w:t>回风井和工业场地</w:t>
            </w:r>
            <w:r>
              <w:rPr>
                <w:rFonts w:hint="default" w:ascii="Times New Roman" w:hAnsi="Times New Roman" w:eastAsia="宋体" w:cs="Times New Roman"/>
                <w:bCs/>
                <w:color w:val="auto"/>
                <w:sz w:val="21"/>
                <w:szCs w:val="21"/>
                <w:highlight w:val="none"/>
              </w:rPr>
              <w:t>为中心，边长为5km的矩形作为大气环境影响评价范围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4" w:hRule="atLeast"/>
          <w:jc w:val="center"/>
        </w:trPr>
        <w:tc>
          <w:tcPr>
            <w:tcW w:w="147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地下水</w:t>
            </w:r>
          </w:p>
        </w:tc>
        <w:tc>
          <w:tcPr>
            <w:tcW w:w="1668"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三</w:t>
            </w:r>
            <w:r>
              <w:rPr>
                <w:rFonts w:hint="default" w:ascii="Times New Roman" w:hAnsi="Times New Roman" w:eastAsia="宋体" w:cs="Times New Roman"/>
                <w:bCs/>
                <w:color w:val="auto"/>
                <w:sz w:val="21"/>
                <w:szCs w:val="21"/>
                <w:highlight w:val="none"/>
              </w:rPr>
              <w:t>级</w:t>
            </w:r>
          </w:p>
        </w:tc>
        <w:tc>
          <w:tcPr>
            <w:tcW w:w="6139" w:type="dxa"/>
            <w:vAlign w:val="center"/>
          </w:tcPr>
          <w:p>
            <w:pPr>
              <w:spacing w:line="240" w:lineRule="auto"/>
              <w:ind w:firstLine="0" w:firstLineChars="0"/>
              <w:jc w:val="left"/>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本项目所在区域属于中低山丘陵区域，西北侧地貌为山岭区域地势较高，东南侧为平原地势较低，地形地势由西北向东南逐渐降低，以山脊分水岭作为地下水补给边界，两侧为地下水流量边界，项目</w:t>
            </w:r>
            <w:r>
              <w:rPr>
                <w:rFonts w:hint="eastAsia" w:cs="Times New Roman"/>
                <w:bCs/>
                <w:color w:val="auto"/>
                <w:sz w:val="21"/>
                <w:szCs w:val="21"/>
                <w:highlight w:val="none"/>
                <w:lang w:val="en-US" w:eastAsia="zh-CN"/>
              </w:rPr>
              <w:t>东</w:t>
            </w:r>
            <w:r>
              <w:rPr>
                <w:rFonts w:hint="default" w:ascii="Times New Roman" w:hAnsi="Times New Roman" w:eastAsia="宋体" w:cs="Times New Roman"/>
                <w:bCs/>
                <w:color w:val="auto"/>
                <w:sz w:val="21"/>
                <w:szCs w:val="21"/>
                <w:highlight w:val="none"/>
              </w:rPr>
              <w:t>侧小河为地下水排泄区域，以同一水文地质单位内自定义法确定本次地下水环境影响评价范围为</w:t>
            </w:r>
            <w:r>
              <w:rPr>
                <w:rFonts w:hint="eastAsia" w:ascii="Times New Roman" w:hAnsi="Times New Roman" w:eastAsia="宋体" w:cs="Times New Roman"/>
                <w:bCs/>
                <w:color w:val="auto"/>
                <w:sz w:val="21"/>
                <w:szCs w:val="21"/>
                <w:highlight w:val="none"/>
                <w:lang w:val="en-US" w:eastAsia="zh-CN"/>
              </w:rPr>
              <w:t>1.24</w:t>
            </w:r>
            <w:r>
              <w:rPr>
                <w:rFonts w:hint="default" w:ascii="Times New Roman" w:hAnsi="Times New Roman" w:eastAsia="宋体" w:cs="Times New Roman"/>
                <w:bCs/>
                <w:color w:val="auto"/>
                <w:sz w:val="21"/>
                <w:szCs w:val="21"/>
                <w:highlight w:val="none"/>
              </w:rPr>
              <w:t>km</w:t>
            </w:r>
            <w:r>
              <w:rPr>
                <w:rFonts w:hint="default" w:ascii="Times New Roman" w:hAnsi="Times New Roman" w:eastAsia="宋体" w:cs="Times New Roman"/>
                <w:bCs/>
                <w:color w:val="auto"/>
                <w:sz w:val="21"/>
                <w:szCs w:val="21"/>
                <w:highlight w:val="none"/>
                <w:vertAlign w:val="superscript"/>
              </w:rPr>
              <w:t>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噪声</w:t>
            </w:r>
          </w:p>
        </w:tc>
        <w:tc>
          <w:tcPr>
            <w:tcW w:w="1668"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二级</w:t>
            </w:r>
          </w:p>
        </w:tc>
        <w:tc>
          <w:tcPr>
            <w:tcW w:w="613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本项目声环境评价范围为工业场地边界、平硐以及</w:t>
            </w:r>
            <w:r>
              <w:rPr>
                <w:rFonts w:hint="default" w:ascii="Times New Roman" w:hAnsi="Times New Roman" w:eastAsia="宋体" w:cs="Times New Roman"/>
                <w:bCs/>
                <w:color w:val="auto"/>
                <w:sz w:val="21"/>
                <w:szCs w:val="21"/>
                <w:highlight w:val="none"/>
                <w:lang w:val="en-US" w:eastAsia="zh-CN"/>
              </w:rPr>
              <w:t>露天采场</w:t>
            </w:r>
            <w:r>
              <w:rPr>
                <w:rFonts w:hint="default" w:ascii="Times New Roman" w:hAnsi="Times New Roman" w:eastAsia="宋体" w:cs="Times New Roman"/>
                <w:bCs/>
                <w:color w:val="auto"/>
                <w:sz w:val="21"/>
                <w:szCs w:val="21"/>
                <w:highlight w:val="none"/>
              </w:rPr>
              <w:t>外扩200米范围内。运输线路评价范围以道路中心线外侧200米内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土壤环境</w:t>
            </w:r>
          </w:p>
        </w:tc>
        <w:tc>
          <w:tcPr>
            <w:tcW w:w="1668"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三</w:t>
            </w:r>
            <w:r>
              <w:rPr>
                <w:rFonts w:hint="default" w:ascii="Times New Roman" w:hAnsi="Times New Roman" w:eastAsia="宋体" w:cs="Times New Roman"/>
                <w:bCs/>
                <w:color w:val="auto"/>
                <w:sz w:val="21"/>
                <w:szCs w:val="21"/>
                <w:highlight w:val="none"/>
              </w:rPr>
              <w:t>级</w:t>
            </w:r>
          </w:p>
        </w:tc>
        <w:tc>
          <w:tcPr>
            <w:tcW w:w="613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以工业场地、平硐、回风井</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露天采场</w:t>
            </w:r>
            <w:r>
              <w:rPr>
                <w:rFonts w:hint="default" w:ascii="Times New Roman" w:hAnsi="Times New Roman" w:eastAsia="宋体" w:cs="Times New Roman"/>
                <w:bCs/>
                <w:color w:val="auto"/>
                <w:sz w:val="21"/>
                <w:szCs w:val="21"/>
                <w:highlight w:val="none"/>
              </w:rPr>
              <w:t>外扩50m范围内</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47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bookmarkStart w:id="151" w:name="_Toc15376172"/>
            <w:r>
              <w:rPr>
                <w:rFonts w:hint="eastAsia" w:cs="Times New Roman"/>
                <w:bCs/>
                <w:color w:val="auto"/>
                <w:sz w:val="21"/>
                <w:szCs w:val="21"/>
                <w:highlight w:val="none"/>
                <w:lang w:val="en-US" w:eastAsia="zh-CN"/>
              </w:rPr>
              <w:t>环境风险</w:t>
            </w:r>
          </w:p>
        </w:tc>
        <w:tc>
          <w:tcPr>
            <w:tcW w:w="1668"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简要分析</w:t>
            </w:r>
          </w:p>
        </w:tc>
        <w:tc>
          <w:tcPr>
            <w:tcW w:w="6139" w:type="dxa"/>
            <w:vAlign w:val="center"/>
          </w:tcPr>
          <w:p>
            <w:pPr>
              <w:spacing w:line="240" w:lineRule="auto"/>
              <w:ind w:firstLine="0" w:firstLineChars="0"/>
              <w:jc w:val="center"/>
              <w:rPr>
                <w:rFonts w:hint="eastAsia"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eastAsia="zh-CN"/>
              </w:rPr>
              <w:t>—</w:t>
            </w:r>
          </w:p>
        </w:tc>
      </w:tr>
      <w:bookmarkEnd w:id="149"/>
      <w:bookmarkEnd w:id="150"/>
    </w:tbl>
    <w:p>
      <w:pPr>
        <w:pStyle w:val="4"/>
        <w:spacing w:before="120" w:after="120"/>
        <w:ind w:left="0" w:leftChars="0" w:firstLineChars="0"/>
        <w:rPr>
          <w:rFonts w:hint="default" w:ascii="Times New Roman" w:hAnsi="Times New Roman" w:eastAsia="宋体" w:cs="Times New Roman"/>
          <w:color w:val="auto"/>
          <w:highlight w:val="none"/>
        </w:rPr>
      </w:pPr>
      <w:bookmarkStart w:id="152" w:name="_Toc13153"/>
      <w:r>
        <w:rPr>
          <w:rFonts w:hint="default" w:ascii="Times New Roman" w:hAnsi="Times New Roman" w:eastAsia="宋体" w:cs="Times New Roman"/>
          <w:color w:val="auto"/>
          <w:highlight w:val="none"/>
        </w:rPr>
        <w:t>环境保护目标</w:t>
      </w:r>
      <w:bookmarkEnd w:id="151"/>
      <w:bookmarkEnd w:id="152"/>
    </w:p>
    <w:p>
      <w:pPr>
        <w:bidi w:val="0"/>
        <w:rPr>
          <w:rFonts w:hint="default"/>
          <w:color w:val="auto"/>
          <w:lang w:val="en-US" w:eastAsia="zh-CN"/>
        </w:rPr>
      </w:pPr>
      <w:r>
        <w:rPr>
          <w:rFonts w:hint="default"/>
          <w:color w:val="auto"/>
          <w:lang w:val="en-US" w:eastAsia="zh-CN"/>
        </w:rPr>
        <w:t>本项目周边不涉及自然保护区、风景名胜区、水源保护区内，附近无重点保护文物古迹，不属于环境敏感区。因此，本工程主要环境保护目标为项目及周边的生态环境、水环境、环境空气及土壤环境等。</w:t>
      </w:r>
    </w:p>
    <w:p>
      <w:pPr>
        <w:bidi w:val="0"/>
        <w:rPr>
          <w:rFonts w:hint="default"/>
          <w:color w:val="auto"/>
        </w:rPr>
        <w:sectPr>
          <w:headerReference r:id="rId15" w:type="default"/>
          <w:footerReference r:id="rId16" w:type="default"/>
          <w:pgSz w:w="11906" w:h="16838"/>
          <w:pgMar w:top="1418" w:right="1418" w:bottom="1418" w:left="1588" w:header="958" w:footer="1202" w:gutter="0"/>
          <w:pgBorders>
            <w:top w:val="none" w:sz="0" w:space="0"/>
            <w:left w:val="none" w:sz="0" w:space="0"/>
            <w:bottom w:val="none" w:sz="0" w:space="0"/>
            <w:right w:val="none" w:sz="0" w:space="0"/>
          </w:pgBorders>
          <w:pgNumType w:fmt="decimal"/>
          <w:cols w:space="425" w:num="1"/>
          <w:docGrid w:linePitch="312" w:charSpace="0"/>
        </w:sectPr>
      </w:pPr>
      <w:r>
        <w:rPr>
          <w:rFonts w:hint="default"/>
          <w:color w:val="auto"/>
        </w:rPr>
        <w:t>本项目</w:t>
      </w:r>
      <w:r>
        <w:rPr>
          <w:rFonts w:hint="default"/>
          <w:color w:val="auto"/>
          <w:lang w:val="en-US" w:eastAsia="zh-CN"/>
        </w:rPr>
        <w:t>主要环境保护目标详见</w:t>
      </w:r>
      <w:r>
        <w:rPr>
          <w:rFonts w:hint="default"/>
          <w:color w:val="auto"/>
        </w:rPr>
        <w:t>表1.6-</w:t>
      </w:r>
      <w:r>
        <w:rPr>
          <w:rFonts w:hint="default"/>
          <w:color w:val="auto"/>
          <w:lang w:val="en-US" w:eastAsia="zh-CN"/>
        </w:rPr>
        <w:t>1及图1.6-1</w:t>
      </w:r>
      <w:r>
        <w:rPr>
          <w:rFonts w:hint="default"/>
          <w:color w:val="auto"/>
        </w:rPr>
        <w:t>。</w:t>
      </w:r>
    </w:p>
    <w:p>
      <w:pPr>
        <w:pStyle w:val="83"/>
        <w:spacing w:before="120" w:beforeLines="50" w:line="240" w:lineRule="atLeast"/>
        <w:ind w:firstLine="0" w:firstLineChars="0"/>
        <w:jc w:val="center"/>
        <w:rPr>
          <w:rFonts w:hint="default" w:ascii="Times New Roman" w:hAnsi="Times New Roman" w:eastAsia="宋体" w:cs="Times New Roman"/>
          <w:b/>
          <w:bCs w:val="0"/>
          <w:color w:val="auto"/>
          <w:spacing w:val="0"/>
          <w:kern w:val="2"/>
          <w:sz w:val="21"/>
          <w:szCs w:val="21"/>
          <w:highlight w:val="none"/>
        </w:rPr>
      </w:pPr>
      <w:r>
        <w:rPr>
          <w:rFonts w:hint="default" w:ascii="Times New Roman" w:hAnsi="Times New Roman" w:eastAsia="宋体" w:cs="Times New Roman"/>
          <w:b/>
          <w:bCs w:val="0"/>
          <w:color w:val="auto"/>
          <w:spacing w:val="0"/>
          <w:kern w:val="2"/>
          <w:sz w:val="21"/>
          <w:szCs w:val="21"/>
          <w:highlight w:val="none"/>
        </w:rPr>
        <w:t>表1.6-</w:t>
      </w:r>
      <w:r>
        <w:rPr>
          <w:rFonts w:hint="default" w:ascii="Times New Roman" w:hAnsi="Times New Roman" w:eastAsia="宋体" w:cs="Times New Roman"/>
          <w:b/>
          <w:bCs w:val="0"/>
          <w:color w:val="auto"/>
          <w:spacing w:val="0"/>
          <w:kern w:val="2"/>
          <w:sz w:val="21"/>
          <w:szCs w:val="21"/>
          <w:highlight w:val="none"/>
          <w:lang w:val="en-US" w:eastAsia="zh-CN"/>
        </w:rPr>
        <w:t>1</w:t>
      </w:r>
      <w:r>
        <w:rPr>
          <w:rFonts w:hint="default" w:ascii="Times New Roman" w:hAnsi="Times New Roman" w:eastAsia="宋体" w:cs="Times New Roman"/>
          <w:b/>
          <w:bCs w:val="0"/>
          <w:color w:val="auto"/>
          <w:spacing w:val="0"/>
          <w:kern w:val="2"/>
          <w:sz w:val="21"/>
          <w:szCs w:val="21"/>
          <w:highlight w:val="none"/>
        </w:rPr>
        <w:t>环境保护目标</w:t>
      </w:r>
    </w:p>
    <w:tbl>
      <w:tblPr>
        <w:tblStyle w:val="46"/>
        <w:tblW w:w="4997"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38"/>
        <w:gridCol w:w="1305"/>
        <w:gridCol w:w="1294"/>
        <w:gridCol w:w="1294"/>
        <w:gridCol w:w="1294"/>
        <w:gridCol w:w="2058"/>
        <w:gridCol w:w="2059"/>
        <w:gridCol w:w="36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环境要素</w:t>
            </w:r>
          </w:p>
        </w:tc>
        <w:tc>
          <w:tcPr>
            <w:tcW w:w="459"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影响因素</w:t>
            </w:r>
          </w:p>
        </w:tc>
        <w:tc>
          <w:tcPr>
            <w:tcW w:w="1365" w:type="pct"/>
            <w:gridSpan w:val="3"/>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保护目标</w:t>
            </w:r>
          </w:p>
        </w:tc>
        <w:tc>
          <w:tcPr>
            <w:tcW w:w="1448" w:type="pct"/>
            <w:gridSpan w:val="2"/>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szCs w:val="24"/>
                <w:highlight w:val="none"/>
                <w:lang w:val="en-US" w:eastAsia="zh-CN"/>
              </w:rPr>
              <w:t>基本情况</w:t>
            </w:r>
          </w:p>
        </w:tc>
        <w:tc>
          <w:tcPr>
            <w:tcW w:w="1290"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保护要求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restar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生态环境</w:t>
            </w:r>
          </w:p>
        </w:tc>
        <w:tc>
          <w:tcPr>
            <w:tcW w:w="459"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占地</w:t>
            </w:r>
          </w:p>
        </w:tc>
        <w:tc>
          <w:tcPr>
            <w:tcW w:w="1365" w:type="pct"/>
            <w:gridSpan w:val="3"/>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工程建设区的地表植被</w:t>
            </w:r>
          </w:p>
        </w:tc>
        <w:tc>
          <w:tcPr>
            <w:tcW w:w="1448"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矿山现状破坏土地面积为3.8101hm²，预测新增破坏土地面积为13.6291hm²（包括拟塌陷区5.5915hm²），破坏的土地类型为采矿用地和有林地。</w:t>
            </w:r>
          </w:p>
        </w:tc>
        <w:tc>
          <w:tcPr>
            <w:tcW w:w="12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严格控制占地面积；工业场地绿化系数20%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lang w:val="en-US" w:eastAsia="zh-CN"/>
              </w:rPr>
            </w:pPr>
          </w:p>
        </w:tc>
        <w:tc>
          <w:tcPr>
            <w:tcW w:w="459" w:type="pct"/>
            <w:vMerge w:val="restar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地表沉陷</w:t>
            </w:r>
          </w:p>
        </w:tc>
        <w:tc>
          <w:tcPr>
            <w:tcW w:w="1365" w:type="pct"/>
            <w:gridSpan w:val="3"/>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土壤</w:t>
            </w:r>
          </w:p>
        </w:tc>
        <w:tc>
          <w:tcPr>
            <w:tcW w:w="1448"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评价范围属轻度侵蚀区，以风蚀为主，土壤侵蚀模数约为1286t/km</w:t>
            </w:r>
            <w:r>
              <w:rPr>
                <w:rFonts w:hint="default" w:ascii="Times New Roman" w:hAnsi="Times New Roman" w:eastAsia="宋体" w:cs="Times New Roman"/>
                <w:color w:val="auto"/>
                <w:kern w:val="2"/>
                <w:sz w:val="21"/>
                <w:szCs w:val="21"/>
                <w:highlight w:val="none"/>
                <w:vertAlign w:val="superscript"/>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▪a</w:t>
            </w:r>
          </w:p>
        </w:tc>
        <w:tc>
          <w:tcPr>
            <w:tcW w:w="12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控制水土流失，减少土壤扰动，保护表土层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lang w:val="en-US" w:eastAsia="zh-CN"/>
              </w:rPr>
            </w:pPr>
          </w:p>
        </w:tc>
        <w:tc>
          <w:tcPr>
            <w:tcW w:w="459"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p>
        </w:tc>
        <w:tc>
          <w:tcPr>
            <w:tcW w:w="1365" w:type="pct"/>
            <w:gridSpan w:val="3"/>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植被</w:t>
            </w:r>
          </w:p>
        </w:tc>
        <w:tc>
          <w:tcPr>
            <w:tcW w:w="1448"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评价范围以</w:t>
            </w:r>
            <w:r>
              <w:rPr>
                <w:rFonts w:hint="eastAsia" w:ascii="Times New Roman" w:hAnsi="Times New Roman" w:eastAsia="宋体" w:cs="Times New Roman"/>
                <w:color w:val="auto"/>
                <w:kern w:val="2"/>
                <w:sz w:val="21"/>
                <w:szCs w:val="21"/>
                <w:highlight w:val="none"/>
                <w:lang w:val="en-US" w:eastAsia="zh-CN" w:bidi="ar-SA"/>
              </w:rPr>
              <w:t>林地</w:t>
            </w:r>
            <w:r>
              <w:rPr>
                <w:rFonts w:hint="default" w:ascii="Times New Roman" w:hAnsi="Times New Roman" w:eastAsia="宋体" w:cs="Times New Roman"/>
                <w:color w:val="auto"/>
                <w:kern w:val="2"/>
                <w:sz w:val="21"/>
                <w:szCs w:val="21"/>
                <w:highlight w:val="none"/>
                <w:lang w:val="en-US" w:eastAsia="zh-CN" w:bidi="ar-SA"/>
              </w:rPr>
              <w:t>为主，占评价区总面积的</w:t>
            </w:r>
            <w:r>
              <w:rPr>
                <w:rFonts w:hint="eastAsia" w:ascii="Times New Roman" w:hAnsi="Times New Roman" w:eastAsia="宋体" w:cs="Times New Roman"/>
                <w:color w:val="auto"/>
                <w:kern w:val="2"/>
                <w:sz w:val="21"/>
                <w:szCs w:val="21"/>
                <w:highlight w:val="none"/>
                <w:lang w:val="en-US" w:eastAsia="zh-CN" w:bidi="ar-SA"/>
              </w:rPr>
              <w:t>91.21</w:t>
            </w:r>
            <w:r>
              <w:rPr>
                <w:rFonts w:hint="default" w:ascii="Times New Roman" w:hAnsi="Times New Roman" w:eastAsia="宋体" w:cs="Times New Roman"/>
                <w:color w:val="auto"/>
                <w:kern w:val="2"/>
                <w:sz w:val="21"/>
                <w:szCs w:val="21"/>
                <w:highlight w:val="none"/>
                <w:lang w:val="en-US" w:eastAsia="zh-CN" w:bidi="ar-SA"/>
              </w:rPr>
              <w:t>%，</w:t>
            </w:r>
            <w:r>
              <w:rPr>
                <w:rFonts w:hint="eastAsia" w:ascii="Times New Roman" w:hAnsi="Times New Roman" w:eastAsia="宋体" w:cs="Times New Roman"/>
                <w:color w:val="auto"/>
                <w:kern w:val="2"/>
                <w:sz w:val="21"/>
                <w:szCs w:val="21"/>
                <w:highlight w:val="none"/>
                <w:lang w:val="en-US" w:eastAsia="zh-CN" w:bidi="ar-SA"/>
              </w:rPr>
              <w:t>森林</w:t>
            </w:r>
            <w:r>
              <w:rPr>
                <w:rFonts w:hint="default" w:ascii="Times New Roman" w:hAnsi="Times New Roman" w:eastAsia="宋体" w:cs="Times New Roman"/>
                <w:color w:val="auto"/>
                <w:kern w:val="2"/>
                <w:sz w:val="21"/>
                <w:szCs w:val="21"/>
                <w:highlight w:val="none"/>
                <w:lang w:val="en-US" w:eastAsia="zh-CN" w:bidi="ar-SA"/>
              </w:rPr>
              <w:t>主要为油松林、蒙古栎、刺槐林等；灌木主要有胡枝子、虎榛子、连翘等灌丛；草本植物以糙隐子草、白羊草等常见草类为主。</w:t>
            </w:r>
          </w:p>
        </w:tc>
        <w:tc>
          <w:tcPr>
            <w:tcW w:w="12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减少植被破坏并降低生物量损失，土地</w:t>
            </w:r>
            <w:r>
              <w:rPr>
                <w:rFonts w:hint="eastAsia" w:cs="Times New Roman"/>
                <w:color w:val="auto"/>
                <w:kern w:val="2"/>
                <w:sz w:val="21"/>
                <w:szCs w:val="21"/>
                <w:highlight w:val="none"/>
                <w:lang w:val="en-US" w:eastAsia="zh-CN" w:bidi="ar-SA"/>
              </w:rPr>
              <w:t>复垦率82.55%，因露天采坑边坡3.0437hm²坡度较大，无法满足植物生长的立地条件，仅靠平台种植乔木、对边坡进行遮挡式绿化，实际复垦面积为14.3955hm²，矿山可绿化面积达到100%复垦。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lang w:val="en-US" w:eastAsia="zh-CN"/>
              </w:rPr>
            </w:pPr>
          </w:p>
        </w:tc>
        <w:tc>
          <w:tcPr>
            <w:tcW w:w="459"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p>
        </w:tc>
        <w:tc>
          <w:tcPr>
            <w:tcW w:w="1365" w:type="pct"/>
            <w:gridSpan w:val="3"/>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野生动物</w:t>
            </w:r>
          </w:p>
        </w:tc>
        <w:tc>
          <w:tcPr>
            <w:tcW w:w="1448" w:type="pct"/>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评价区调查期间未发现大型野生动物，仅有耐旱荒漠种的小型动物。诸如野兔、乌鸦、麻雀、蟾蜍、枕纹锦蛇、褐家鼠等</w:t>
            </w:r>
            <w:r>
              <w:rPr>
                <w:rFonts w:hint="eastAsia" w:ascii="Times New Roman" w:hAnsi="Times New Roman" w:eastAsia="宋体" w:cs="Times New Roman"/>
                <w:color w:val="auto"/>
                <w:kern w:val="2"/>
                <w:sz w:val="21"/>
                <w:szCs w:val="21"/>
                <w:highlight w:val="none"/>
                <w:lang w:val="en-US" w:eastAsia="zh-CN" w:bidi="ar-SA"/>
              </w:rPr>
              <w:t>。</w:t>
            </w:r>
          </w:p>
        </w:tc>
        <w:tc>
          <w:tcPr>
            <w:tcW w:w="12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减少人为活动对野生动物的干扰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restar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rPr>
              <w:t>地下水</w:t>
            </w:r>
          </w:p>
        </w:tc>
        <w:tc>
          <w:tcPr>
            <w:tcW w:w="459" w:type="pct"/>
            <w:vMerge w:val="restar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地表沉陷及工业场地事故污水</w:t>
            </w:r>
          </w:p>
        </w:tc>
        <w:tc>
          <w:tcPr>
            <w:tcW w:w="1365"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 w:val="21"/>
                <w:szCs w:val="24"/>
                <w:highlight w:val="none"/>
              </w:rPr>
              <w:t>水质、水量评价范围的居民供水井</w:t>
            </w:r>
          </w:p>
        </w:tc>
        <w:tc>
          <w:tcPr>
            <w:tcW w:w="1448" w:type="pct"/>
            <w:gridSpan w:val="2"/>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项目评价范围内矿界下游</w:t>
            </w:r>
            <w:r>
              <w:rPr>
                <w:rFonts w:hint="eastAsia" w:cs="Times New Roman"/>
                <w:color w:val="auto"/>
                <w:kern w:val="2"/>
                <w:sz w:val="21"/>
                <w:szCs w:val="21"/>
                <w:highlight w:val="none"/>
                <w:lang w:val="en-US" w:eastAsia="zh-CN" w:bidi="ar-SA"/>
              </w:rPr>
              <w:t>约2k</w:t>
            </w:r>
            <w:r>
              <w:rPr>
                <w:rFonts w:hint="default" w:ascii="Times New Roman" w:hAnsi="Times New Roman" w:eastAsia="宋体" w:cs="Times New Roman"/>
                <w:color w:val="auto"/>
                <w:kern w:val="2"/>
                <w:sz w:val="21"/>
                <w:szCs w:val="21"/>
                <w:highlight w:val="none"/>
                <w:lang w:val="en-US" w:eastAsia="zh-CN" w:bidi="ar-SA"/>
              </w:rPr>
              <w:t>m贾家堡子分布有1口分散式饮用水水井，供给人数约100~150人，属分散式饮用水水源地</w:t>
            </w:r>
          </w:p>
        </w:tc>
        <w:tc>
          <w:tcPr>
            <w:tcW w:w="1290"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4"/>
                <w:highlight w:val="none"/>
              </w:rPr>
              <w:t>场地分区防渗，设置事故水池，并加强管理，避免事故下发生渗漏对含水层产生影响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p>
        </w:tc>
        <w:tc>
          <w:tcPr>
            <w:tcW w:w="459"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p>
        </w:tc>
        <w:tc>
          <w:tcPr>
            <w:tcW w:w="1365"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有供水意义的含水层</w:t>
            </w:r>
          </w:p>
        </w:tc>
        <w:tc>
          <w:tcPr>
            <w:tcW w:w="1448" w:type="pct"/>
            <w:gridSpan w:val="2"/>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评价范围内的第四系含水层</w:t>
            </w:r>
          </w:p>
        </w:tc>
        <w:tc>
          <w:tcPr>
            <w:tcW w:w="1290"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地表水环境</w:t>
            </w:r>
          </w:p>
        </w:tc>
        <w:tc>
          <w:tcPr>
            <w:tcW w:w="459"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事故排污</w:t>
            </w:r>
          </w:p>
        </w:tc>
        <w:tc>
          <w:tcPr>
            <w:tcW w:w="1365"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沟谷自流溪水</w:t>
            </w:r>
          </w:p>
        </w:tc>
        <w:tc>
          <w:tcPr>
            <w:tcW w:w="1448" w:type="pct"/>
            <w:gridSpan w:val="2"/>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矿区范围无地表水体，汛期有短期地表流水，地表流水由分水岭分界，一部分由南向北汇入古洞河；另一部分由北向南汇入牤牛河。矿区外</w:t>
            </w:r>
            <w:r>
              <w:rPr>
                <w:rFonts w:hint="eastAsia" w:cs="Times New Roman"/>
                <w:color w:val="auto"/>
                <w:kern w:val="2"/>
                <w:sz w:val="21"/>
                <w:szCs w:val="21"/>
                <w:highlight w:val="none"/>
                <w:lang w:val="en-US" w:eastAsia="zh-CN" w:bidi="ar-SA"/>
              </w:rPr>
              <w:t>东侧约</w:t>
            </w:r>
            <w:r>
              <w:rPr>
                <w:rFonts w:hint="default" w:ascii="Times New Roman" w:hAnsi="Times New Roman" w:eastAsia="宋体" w:cs="Times New Roman"/>
                <w:color w:val="auto"/>
                <w:kern w:val="2"/>
                <w:sz w:val="21"/>
                <w:szCs w:val="21"/>
                <w:highlight w:val="none"/>
                <w:lang w:val="en-US" w:eastAsia="zh-CN" w:bidi="ar-SA"/>
              </w:rPr>
              <w:t>100m处有沟谷自流溪水，水流量0.1L/s，因受季节变化，冬季干涸。</w:t>
            </w:r>
          </w:p>
        </w:tc>
        <w:tc>
          <w:tcPr>
            <w:tcW w:w="1290"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污废水全部回用</w:t>
            </w:r>
            <w:r>
              <w:rPr>
                <w:rFonts w:hint="default" w:ascii="Times New Roman" w:hAnsi="Times New Roman" w:eastAsia="宋体" w:cs="Times New Roman"/>
                <w:color w:val="auto"/>
                <w:sz w:val="21"/>
                <w:szCs w:val="24"/>
                <w:highlight w:val="none"/>
              </w:rPr>
              <w:t>，设置事故水池，</w:t>
            </w:r>
            <w:r>
              <w:rPr>
                <w:rFonts w:hint="default" w:ascii="Times New Roman" w:hAnsi="Times New Roman" w:eastAsia="宋体" w:cs="Times New Roman"/>
                <w:color w:val="auto"/>
                <w:highlight w:val="none"/>
                <w:lang w:val="en-US" w:eastAsia="zh-CN"/>
              </w:rPr>
              <w:t>并加强管理，避免事故下发生渗漏对地表水环境产生影响。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restar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rPr>
              <w:t>土壤</w:t>
            </w:r>
            <w:r>
              <w:rPr>
                <w:rFonts w:hint="default" w:ascii="Times New Roman" w:hAnsi="Times New Roman" w:eastAsia="宋体" w:cs="Times New Roman"/>
                <w:color w:val="auto"/>
                <w:kern w:val="0"/>
                <w:highlight w:val="none"/>
                <w:lang w:val="en-US" w:eastAsia="zh-CN"/>
              </w:rPr>
              <w:t>环境</w:t>
            </w:r>
          </w:p>
        </w:tc>
        <w:tc>
          <w:tcPr>
            <w:tcW w:w="459"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地表沉陷</w:t>
            </w:r>
          </w:p>
        </w:tc>
        <w:tc>
          <w:tcPr>
            <w:tcW w:w="1365"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4"/>
                <w:highlight w:val="none"/>
                <w:lang w:val="en-US" w:eastAsia="zh-CN"/>
              </w:rPr>
            </w:pPr>
            <w:r>
              <w:rPr>
                <w:rFonts w:hint="default" w:ascii="Times New Roman" w:hAnsi="Times New Roman" w:eastAsia="宋体" w:cs="Times New Roman"/>
                <w:color w:val="auto"/>
                <w:sz w:val="21"/>
                <w:szCs w:val="24"/>
                <w:highlight w:val="none"/>
                <w:lang w:val="en-US" w:eastAsia="zh-CN"/>
              </w:rPr>
              <w:t>土壤</w:t>
            </w:r>
          </w:p>
        </w:tc>
        <w:tc>
          <w:tcPr>
            <w:tcW w:w="1448" w:type="pct"/>
            <w:gridSpan w:val="2"/>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矿区评价范围内土壤类型为</w:t>
            </w:r>
            <w:r>
              <w:rPr>
                <w:rFonts w:hint="eastAsia" w:ascii="Times New Roman" w:hAnsi="Times New Roman" w:eastAsia="宋体" w:cs="Times New Roman"/>
                <w:color w:val="auto"/>
                <w:kern w:val="2"/>
                <w:sz w:val="21"/>
                <w:szCs w:val="21"/>
                <w:highlight w:val="none"/>
                <w:lang w:val="en-US" w:eastAsia="zh-CN" w:bidi="ar-SA"/>
              </w:rPr>
              <w:t>棕壤</w:t>
            </w:r>
          </w:p>
        </w:tc>
        <w:tc>
          <w:tcPr>
            <w:tcW w:w="1290"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满足《土壤环境质量农用地土壤污染风险管控标准》（GB15618-2018）中筛选值标准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p>
        </w:tc>
        <w:tc>
          <w:tcPr>
            <w:tcW w:w="459"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事故下渗</w:t>
            </w:r>
          </w:p>
        </w:tc>
        <w:tc>
          <w:tcPr>
            <w:tcW w:w="1365"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4"/>
                <w:highlight w:val="none"/>
                <w:lang w:val="en-US" w:eastAsia="zh-CN"/>
              </w:rPr>
            </w:pPr>
            <w:r>
              <w:rPr>
                <w:rFonts w:hint="default" w:ascii="Times New Roman" w:hAnsi="Times New Roman" w:eastAsia="宋体" w:cs="Times New Roman"/>
                <w:color w:val="auto"/>
                <w:sz w:val="21"/>
                <w:szCs w:val="24"/>
                <w:highlight w:val="none"/>
                <w:lang w:val="en-US" w:eastAsia="zh-CN"/>
              </w:rPr>
              <w:t>土壤</w:t>
            </w:r>
          </w:p>
        </w:tc>
        <w:tc>
          <w:tcPr>
            <w:tcW w:w="1448" w:type="pct"/>
            <w:gridSpan w:val="2"/>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工业场地评价范围内土壤类型为</w:t>
            </w:r>
            <w:r>
              <w:rPr>
                <w:rFonts w:hint="eastAsia" w:ascii="Times New Roman" w:hAnsi="Times New Roman" w:eastAsia="宋体" w:cs="Times New Roman"/>
                <w:color w:val="auto"/>
                <w:kern w:val="2"/>
                <w:sz w:val="21"/>
                <w:szCs w:val="21"/>
                <w:highlight w:val="none"/>
                <w:lang w:val="en-US" w:eastAsia="zh-CN" w:bidi="ar-SA"/>
              </w:rPr>
              <w:t>棕壤</w:t>
            </w:r>
          </w:p>
        </w:tc>
        <w:tc>
          <w:tcPr>
            <w:tcW w:w="1290"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满足《土壤环境质量标准建设用地土壤污染风险管控标准》（GB36600-2018）中筛选值标准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声环境</w:t>
            </w:r>
          </w:p>
        </w:tc>
        <w:tc>
          <w:tcPr>
            <w:tcW w:w="459"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4"/>
                <w:highlight w:val="none"/>
              </w:rPr>
              <w:t>厂界噪声</w:t>
            </w:r>
          </w:p>
        </w:tc>
        <w:tc>
          <w:tcPr>
            <w:tcW w:w="1365"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工业场地厂界外200米范围内的村庄及居民聚集区</w:t>
            </w:r>
          </w:p>
        </w:tc>
        <w:tc>
          <w:tcPr>
            <w:tcW w:w="1448" w:type="pct"/>
            <w:gridSpan w:val="2"/>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 w:val="21"/>
                <w:szCs w:val="24"/>
                <w:highlight w:val="none"/>
              </w:rPr>
              <w:t>无</w:t>
            </w:r>
          </w:p>
        </w:tc>
        <w:tc>
          <w:tcPr>
            <w:tcW w:w="129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4"/>
                <w:highlight w:val="none"/>
              </w:rPr>
              <w:t>《声环境质量标准》（GB 3096-2008）中的</w:t>
            </w:r>
            <w:r>
              <w:rPr>
                <w:rFonts w:hint="eastAsia" w:cs="Times New Roman"/>
                <w:color w:val="auto"/>
                <w:sz w:val="21"/>
                <w:szCs w:val="24"/>
                <w:highlight w:val="none"/>
                <w:lang w:val="en-US" w:eastAsia="zh-CN"/>
              </w:rPr>
              <w:t>1</w:t>
            </w:r>
            <w:r>
              <w:rPr>
                <w:rFonts w:hint="default" w:ascii="Times New Roman" w:hAnsi="Times New Roman" w:eastAsia="宋体" w:cs="Times New Roman"/>
                <w:color w:val="auto"/>
                <w:sz w:val="21"/>
                <w:szCs w:val="24"/>
                <w:highlight w:val="none"/>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5" w:type="pct"/>
            <w:vMerge w:val="restar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大气</w:t>
            </w:r>
          </w:p>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环境</w:t>
            </w:r>
          </w:p>
        </w:tc>
        <w:tc>
          <w:tcPr>
            <w:tcW w:w="459" w:type="pct"/>
            <w:vMerge w:val="restar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粉尘</w:t>
            </w:r>
          </w:p>
        </w:tc>
        <w:tc>
          <w:tcPr>
            <w:tcW w:w="45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4"/>
                <w:highlight w:val="none"/>
                <w:lang w:val="en-US" w:eastAsia="zh-CN"/>
              </w:rPr>
            </w:pPr>
            <w:r>
              <w:rPr>
                <w:rFonts w:hint="eastAsia" w:ascii="Times New Roman" w:hAnsi="Times New Roman" w:eastAsia="宋体" w:cs="Times New Roman"/>
                <w:color w:val="auto"/>
                <w:sz w:val="21"/>
                <w:szCs w:val="24"/>
                <w:highlight w:val="none"/>
                <w:lang w:val="en-US" w:eastAsia="zh-CN"/>
              </w:rPr>
              <w:t>名称</w:t>
            </w:r>
          </w:p>
        </w:tc>
        <w:tc>
          <w:tcPr>
            <w:tcW w:w="45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4"/>
                <w:highlight w:val="none"/>
                <w:lang w:val="en-US" w:eastAsia="zh-CN"/>
              </w:rPr>
            </w:pPr>
            <w:r>
              <w:rPr>
                <w:rFonts w:hint="eastAsia" w:ascii="Times New Roman" w:hAnsi="Times New Roman" w:eastAsia="宋体" w:cs="Times New Roman"/>
                <w:color w:val="auto"/>
                <w:sz w:val="21"/>
                <w:szCs w:val="24"/>
                <w:highlight w:val="none"/>
                <w:lang w:val="en-US" w:eastAsia="zh-CN"/>
              </w:rPr>
              <w:t>经度</w:t>
            </w:r>
          </w:p>
        </w:tc>
        <w:tc>
          <w:tcPr>
            <w:tcW w:w="455" w:type="pc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4"/>
                <w:highlight w:val="none"/>
                <w:lang w:val="en-US" w:eastAsia="zh-CN"/>
              </w:rPr>
            </w:pPr>
            <w:r>
              <w:rPr>
                <w:rFonts w:hint="eastAsia" w:ascii="Times New Roman" w:hAnsi="Times New Roman" w:eastAsia="宋体" w:cs="Times New Roman"/>
                <w:color w:val="auto"/>
                <w:sz w:val="21"/>
                <w:szCs w:val="24"/>
                <w:highlight w:val="none"/>
                <w:lang w:val="en-US" w:eastAsia="zh-CN"/>
              </w:rPr>
              <w:t>纬度</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4"/>
                <w:highlight w:val="none"/>
                <w:lang w:val="en-US" w:eastAsia="zh-CN"/>
              </w:rPr>
            </w:pPr>
            <w:r>
              <w:rPr>
                <w:rFonts w:hint="eastAsia" w:ascii="Times New Roman" w:hAnsi="Times New Roman" w:eastAsia="宋体" w:cs="Times New Roman"/>
                <w:color w:val="auto"/>
                <w:sz w:val="21"/>
                <w:szCs w:val="24"/>
                <w:highlight w:val="none"/>
                <w:lang w:val="en-US" w:eastAsia="zh-CN"/>
              </w:rPr>
              <w:t>相对矿界距离</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4"/>
                <w:highlight w:val="none"/>
                <w:lang w:val="en-US" w:eastAsia="zh-CN"/>
              </w:rPr>
            </w:pPr>
            <w:r>
              <w:rPr>
                <w:rFonts w:hint="eastAsia" w:ascii="Times New Roman" w:hAnsi="Times New Roman" w:eastAsia="宋体" w:cs="Times New Roman"/>
                <w:color w:val="auto"/>
                <w:sz w:val="21"/>
                <w:szCs w:val="24"/>
                <w:highlight w:val="none"/>
                <w:lang w:val="en-US" w:eastAsia="zh-CN"/>
              </w:rPr>
              <w:t>人口规模</w:t>
            </w:r>
          </w:p>
        </w:tc>
        <w:tc>
          <w:tcPr>
            <w:tcW w:w="1290"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4"/>
                <w:highlight w:val="none"/>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p>
        </w:tc>
        <w:tc>
          <w:tcPr>
            <w:tcW w:w="459"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eastAsia="zh-CN"/>
              </w:rPr>
              <w:t>贾家堡</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123°21′31.16″</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40°25′49.94″</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南侧1837</w:t>
            </w:r>
            <w:r>
              <w:rPr>
                <w:rFonts w:hint="default" w:ascii="Times New Roman" w:hAnsi="Times New Roman" w:eastAsia="宋体" w:cs="Times New Roman"/>
                <w:color w:val="auto"/>
                <w:highlight w:val="none"/>
              </w:rPr>
              <w:t>m</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户/</w:t>
            </w:r>
            <w:r>
              <w:rPr>
                <w:rFonts w:hint="default" w:ascii="Times New Roman" w:hAnsi="Times New Roman" w:eastAsia="宋体" w:cs="Times New Roman"/>
                <w:color w:val="auto"/>
                <w:highlight w:val="none"/>
                <w:lang w:val="en-US" w:eastAsia="zh-CN"/>
              </w:rPr>
              <w:t>62</w:t>
            </w:r>
            <w:r>
              <w:rPr>
                <w:rFonts w:hint="default" w:ascii="Times New Roman" w:hAnsi="Times New Roman" w:eastAsia="宋体" w:cs="Times New Roman"/>
                <w:color w:val="auto"/>
                <w:highlight w:val="none"/>
              </w:rPr>
              <w:t>人</w:t>
            </w:r>
          </w:p>
        </w:tc>
        <w:tc>
          <w:tcPr>
            <w:tcW w:w="1290"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p>
        </w:tc>
        <w:tc>
          <w:tcPr>
            <w:tcW w:w="459"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大何家</w:t>
            </w:r>
            <w:r>
              <w:rPr>
                <w:rFonts w:hint="default" w:ascii="Times New Roman" w:hAnsi="Times New Roman" w:eastAsia="宋体" w:cs="Times New Roman"/>
                <w:color w:val="auto"/>
                <w:highlight w:val="none"/>
                <w:lang w:eastAsia="zh-CN"/>
              </w:rPr>
              <w:t>堡</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123°21′6.01″</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40°26′10.66″</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西南2013</w:t>
            </w:r>
            <w:r>
              <w:rPr>
                <w:rFonts w:hint="default" w:ascii="Times New Roman" w:hAnsi="Times New Roman" w:eastAsia="宋体" w:cs="Times New Roman"/>
                <w:color w:val="auto"/>
                <w:highlight w:val="none"/>
              </w:rPr>
              <w:t>m</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70</w:t>
            </w:r>
            <w:r>
              <w:rPr>
                <w:rFonts w:hint="default" w:ascii="Times New Roman" w:hAnsi="Times New Roman" w:eastAsia="宋体" w:cs="Times New Roman"/>
                <w:color w:val="auto"/>
                <w:highlight w:val="none"/>
              </w:rPr>
              <w:t>户/</w:t>
            </w:r>
            <w:r>
              <w:rPr>
                <w:rFonts w:hint="default" w:ascii="Times New Roman" w:hAnsi="Times New Roman" w:eastAsia="宋体" w:cs="Times New Roman"/>
                <w:color w:val="auto"/>
                <w:highlight w:val="none"/>
                <w:lang w:val="en-US" w:eastAsia="zh-CN"/>
              </w:rPr>
              <w:t>267</w:t>
            </w:r>
            <w:r>
              <w:rPr>
                <w:rFonts w:hint="default" w:ascii="Times New Roman" w:hAnsi="Times New Roman" w:eastAsia="宋体" w:cs="Times New Roman"/>
                <w:color w:val="auto"/>
                <w:highlight w:val="none"/>
              </w:rPr>
              <w:t>人</w:t>
            </w:r>
          </w:p>
        </w:tc>
        <w:tc>
          <w:tcPr>
            <w:tcW w:w="1290"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p>
        </w:tc>
        <w:tc>
          <w:tcPr>
            <w:tcW w:w="459"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闹沟里</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123°22′32.42″</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40°27′46.06″</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北侧876</w:t>
            </w:r>
            <w:r>
              <w:rPr>
                <w:rFonts w:hint="default" w:ascii="Times New Roman" w:hAnsi="Times New Roman" w:eastAsia="宋体" w:cs="Times New Roman"/>
                <w:color w:val="auto"/>
                <w:highlight w:val="none"/>
              </w:rPr>
              <w:t>m</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30</w:t>
            </w:r>
            <w:r>
              <w:rPr>
                <w:rFonts w:hint="default" w:ascii="Times New Roman" w:hAnsi="Times New Roman" w:eastAsia="宋体" w:cs="Times New Roman"/>
                <w:color w:val="auto"/>
                <w:highlight w:val="none"/>
              </w:rPr>
              <w:t>户/</w:t>
            </w:r>
            <w:r>
              <w:rPr>
                <w:rFonts w:hint="default" w:ascii="Times New Roman" w:hAnsi="Times New Roman" w:eastAsia="宋体" w:cs="Times New Roman"/>
                <w:color w:val="auto"/>
                <w:highlight w:val="none"/>
                <w:lang w:val="en-US" w:eastAsia="zh-CN"/>
              </w:rPr>
              <w:t>113</w:t>
            </w:r>
            <w:r>
              <w:rPr>
                <w:rFonts w:hint="default" w:ascii="Times New Roman" w:hAnsi="Times New Roman" w:eastAsia="宋体" w:cs="Times New Roman"/>
                <w:color w:val="auto"/>
                <w:highlight w:val="none"/>
              </w:rPr>
              <w:t>人</w:t>
            </w:r>
          </w:p>
        </w:tc>
        <w:tc>
          <w:tcPr>
            <w:tcW w:w="1290"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2"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p>
        </w:tc>
        <w:tc>
          <w:tcPr>
            <w:tcW w:w="459"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王</w:t>
            </w:r>
            <w:r>
              <w:rPr>
                <w:rFonts w:hint="default" w:ascii="Times New Roman" w:hAnsi="Times New Roman" w:eastAsia="宋体" w:cs="Times New Roman"/>
                <w:color w:val="auto"/>
                <w:highlight w:val="none"/>
                <w:lang w:eastAsia="zh-CN"/>
              </w:rPr>
              <w:t>家堡</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123°21′27.24″</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40°27′59.83″</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西北852</w:t>
            </w:r>
            <w:r>
              <w:rPr>
                <w:rFonts w:hint="default" w:ascii="Times New Roman" w:hAnsi="Times New Roman" w:eastAsia="宋体" w:cs="Times New Roman"/>
                <w:color w:val="auto"/>
                <w:highlight w:val="none"/>
              </w:rPr>
              <w:t>m</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30</w:t>
            </w:r>
            <w:r>
              <w:rPr>
                <w:rFonts w:hint="default" w:ascii="Times New Roman" w:hAnsi="Times New Roman" w:eastAsia="宋体" w:cs="Times New Roman"/>
                <w:color w:val="auto"/>
                <w:highlight w:val="none"/>
              </w:rPr>
              <w:t>户/</w:t>
            </w:r>
            <w:r>
              <w:rPr>
                <w:rFonts w:hint="default" w:ascii="Times New Roman" w:hAnsi="Times New Roman" w:eastAsia="宋体" w:cs="Times New Roman"/>
                <w:color w:val="auto"/>
                <w:highlight w:val="none"/>
                <w:lang w:val="en-US" w:eastAsia="zh-CN"/>
              </w:rPr>
              <w:t>110</w:t>
            </w:r>
            <w:r>
              <w:rPr>
                <w:rFonts w:hint="default" w:ascii="Times New Roman" w:hAnsi="Times New Roman" w:eastAsia="宋体" w:cs="Times New Roman"/>
                <w:color w:val="auto"/>
                <w:highlight w:val="none"/>
              </w:rPr>
              <w:t>人</w:t>
            </w:r>
          </w:p>
        </w:tc>
        <w:tc>
          <w:tcPr>
            <w:tcW w:w="1290"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0" w:hRule="atLeast"/>
        </w:trPr>
        <w:tc>
          <w:tcPr>
            <w:tcW w:w="435"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highlight w:val="none"/>
              </w:rPr>
            </w:pPr>
          </w:p>
        </w:tc>
        <w:tc>
          <w:tcPr>
            <w:tcW w:w="459"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highlight w:val="none"/>
                <w:lang w:val="en-US" w:eastAsia="zh-CN"/>
              </w:rPr>
            </w:pP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胡家沟</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123°22′15.65″</w:t>
            </w:r>
          </w:p>
        </w:tc>
        <w:tc>
          <w:tcPr>
            <w:tcW w:w="455"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40°25′47.00″</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南侧1767</w:t>
            </w:r>
            <w:r>
              <w:rPr>
                <w:rFonts w:hint="default" w:ascii="Times New Roman" w:hAnsi="Times New Roman" w:eastAsia="宋体" w:cs="Times New Roman"/>
                <w:color w:val="auto"/>
                <w:highlight w:val="none"/>
              </w:rPr>
              <w:t>m</w:t>
            </w:r>
          </w:p>
        </w:tc>
        <w:tc>
          <w:tcPr>
            <w:tcW w:w="724"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lang w:val="en-US" w:eastAsia="zh-CN"/>
              </w:rPr>
              <w:t>27</w:t>
            </w:r>
            <w:r>
              <w:rPr>
                <w:rFonts w:hint="default" w:ascii="Times New Roman" w:hAnsi="Times New Roman" w:eastAsia="宋体" w:cs="Times New Roman"/>
                <w:color w:val="auto"/>
                <w:highlight w:val="none"/>
              </w:rPr>
              <w:t>户/</w:t>
            </w:r>
            <w:r>
              <w:rPr>
                <w:rFonts w:hint="default" w:ascii="Times New Roman" w:hAnsi="Times New Roman" w:eastAsia="宋体" w:cs="Times New Roman"/>
                <w:color w:val="auto"/>
                <w:highlight w:val="none"/>
                <w:lang w:val="en-US" w:eastAsia="zh-CN"/>
              </w:rPr>
              <w:t>106</w:t>
            </w:r>
            <w:r>
              <w:rPr>
                <w:rFonts w:hint="default" w:ascii="Times New Roman" w:hAnsi="Times New Roman" w:eastAsia="宋体" w:cs="Times New Roman"/>
                <w:color w:val="auto"/>
                <w:highlight w:val="none"/>
              </w:rPr>
              <w:t>人</w:t>
            </w:r>
          </w:p>
        </w:tc>
        <w:tc>
          <w:tcPr>
            <w:tcW w:w="1290" w:type="pct"/>
            <w:vMerge w:val="continue"/>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lang w:val="en-US" w:eastAsia="zh-CN"/>
              </w:rPr>
            </w:pPr>
          </w:p>
        </w:tc>
      </w:tr>
    </w:tbl>
    <w:p>
      <w:pPr>
        <w:pStyle w:val="60"/>
        <w:ind w:firstLine="0" w:firstLineChars="0"/>
        <w:jc w:val="both"/>
        <w:rPr>
          <w:rFonts w:hint="default" w:ascii="Times New Roman" w:hAnsi="Times New Roman" w:eastAsia="宋体" w:cs="Times New Roman"/>
          <w:color w:val="auto"/>
          <w:szCs w:val="24"/>
          <w:highlight w:val="none"/>
        </w:rPr>
        <w:sectPr>
          <w:pgSz w:w="16838" w:h="11906" w:orient="landscape"/>
          <w:pgMar w:top="1588" w:right="1418" w:bottom="1418" w:left="1418" w:header="958" w:footer="1202" w:gutter="0"/>
          <w:pgBorders>
            <w:top w:val="none" w:sz="0" w:space="0"/>
            <w:left w:val="none" w:sz="0" w:space="0"/>
            <w:bottom w:val="none" w:sz="0" w:space="0"/>
            <w:right w:val="none" w:sz="0" w:space="0"/>
          </w:pgBorders>
          <w:pgNumType w:fmt="decimal"/>
          <w:cols w:space="425" w:num="1"/>
          <w:docGrid w:linePitch="312" w:charSpace="0"/>
        </w:sectPr>
      </w:pPr>
    </w:p>
    <w:p>
      <w:pPr>
        <w:pStyle w:val="60"/>
        <w:ind w:firstLine="0" w:firstLineChars="0"/>
        <w:jc w:val="center"/>
        <w:rPr>
          <w:color w:val="auto"/>
          <w:highlight w:val="none"/>
        </w:rPr>
      </w:pPr>
      <w:r>
        <w:rPr>
          <w:color w:val="auto"/>
          <w:highlight w:val="none"/>
        </w:rPr>
        <w:drawing>
          <wp:inline distT="0" distB="0" distL="114300" distR="114300">
            <wp:extent cx="10052685" cy="8279130"/>
            <wp:effectExtent l="0" t="0" r="5715" b="7620"/>
            <wp:docPr id="1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7"/>
                    <pic:cNvPicPr>
                      <a:picLocks noChangeAspect="1"/>
                    </pic:cNvPicPr>
                  </pic:nvPicPr>
                  <pic:blipFill>
                    <a:blip r:embed="rId37"/>
                    <a:stretch>
                      <a:fillRect/>
                    </a:stretch>
                  </pic:blipFill>
                  <pic:spPr>
                    <a:xfrm>
                      <a:off x="0" y="0"/>
                      <a:ext cx="10052685" cy="8279130"/>
                    </a:xfrm>
                    <a:prstGeom prst="rect">
                      <a:avLst/>
                    </a:prstGeom>
                    <a:noFill/>
                    <a:ln>
                      <a:noFill/>
                    </a:ln>
                  </pic:spPr>
                </pic:pic>
              </a:graphicData>
            </a:graphic>
          </wp:inline>
        </w:drawing>
      </w:r>
    </w:p>
    <w:p>
      <w:pPr>
        <w:pStyle w:val="60"/>
        <w:ind w:firstLine="0" w:firstLineChars="0"/>
        <w:jc w:val="center"/>
        <w:rPr>
          <w:rFonts w:hint="default" w:ascii="Times New Roman" w:hAnsi="Times New Roman" w:eastAsia="宋体" w:cs="Times New Roman"/>
          <w:b/>
          <w:bCs/>
          <w:color w:val="auto"/>
          <w:highlight w:val="none"/>
          <w:lang w:val="en-US" w:eastAsia="zh-CN"/>
        </w:rPr>
        <w:sectPr>
          <w:pgSz w:w="23811" w:h="16838" w:orient="landscape"/>
          <w:pgMar w:top="1588" w:right="1418" w:bottom="1418" w:left="1418" w:header="958" w:footer="1202"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hAnsi="Times New Roman" w:eastAsia="宋体" w:cs="Times New Roman"/>
          <w:b/>
          <w:bCs/>
          <w:color w:val="auto"/>
          <w:highlight w:val="none"/>
          <w:lang w:val="en-US" w:eastAsia="zh-CN"/>
        </w:rPr>
        <w:t>图1.6-1 建设项目环境保护目标及评价范围图</w:t>
      </w:r>
    </w:p>
    <w:p>
      <w:pPr>
        <w:pStyle w:val="3"/>
        <w:rPr>
          <w:rFonts w:hint="default" w:ascii="Times New Roman" w:hAnsi="Times New Roman" w:eastAsia="宋体" w:cs="Times New Roman"/>
          <w:color w:val="auto"/>
          <w:highlight w:val="none"/>
        </w:rPr>
      </w:pPr>
      <w:bookmarkStart w:id="153" w:name="_Toc16850"/>
      <w:bookmarkStart w:id="154" w:name="_Toc15376183"/>
      <w:bookmarkStart w:id="155" w:name="_Toc515537836"/>
      <w:bookmarkStart w:id="156" w:name="_Toc369000233"/>
      <w:bookmarkStart w:id="157" w:name="_Toc368298908"/>
      <w:bookmarkStart w:id="158" w:name="_Toc377022549"/>
      <w:bookmarkStart w:id="159" w:name="_Toc368298816"/>
      <w:bookmarkStart w:id="160" w:name="_Toc515537843"/>
      <w:bookmarkStart w:id="161" w:name="_Toc450827025"/>
      <w:bookmarkStart w:id="162" w:name="_Toc395187012"/>
      <w:r>
        <w:rPr>
          <w:rFonts w:hint="eastAsia" w:eastAsia="宋体" w:cs="Times New Roman"/>
          <w:color w:val="auto"/>
          <w:highlight w:val="none"/>
          <w:lang w:val="en-US" w:eastAsia="zh-CN"/>
        </w:rPr>
        <w:t>现有工程回顾性分析</w:t>
      </w:r>
      <w:bookmarkEnd w:id="153"/>
    </w:p>
    <w:p>
      <w:pPr>
        <w:pStyle w:val="4"/>
        <w:bidi w:val="0"/>
        <w:rPr>
          <w:rFonts w:hint="default"/>
          <w:color w:val="auto"/>
          <w:lang w:val="en-US"/>
        </w:rPr>
      </w:pPr>
      <w:bookmarkStart w:id="163" w:name="_Toc22182"/>
      <w:r>
        <w:rPr>
          <w:rFonts w:hint="default"/>
          <w:color w:val="auto"/>
          <w:lang w:val="en-US"/>
        </w:rPr>
        <w:t>矿山</w:t>
      </w:r>
      <w:r>
        <w:rPr>
          <w:rFonts w:hint="default"/>
          <w:color w:val="auto"/>
          <w:lang w:val="en-US" w:eastAsia="zh-CN"/>
        </w:rPr>
        <w:t>历程</w:t>
      </w:r>
      <w:bookmarkEnd w:id="163"/>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岫岩满族自治县苏子沟镇大何家堡村钾长石矿，行政区划隶属于辽宁省岫岩县苏子沟镇管辖，矿区位于岫岩县城北东（22°）方向直距21km处，距苏子沟镇政府北西12km，交通较为便利</w:t>
      </w:r>
      <w:r>
        <w:rPr>
          <w:rFonts w:hint="default" w:ascii="Times New Roman" w:hAnsi="Times New Roman" w:eastAsia="宋体" w:cs="Times New Roman"/>
          <w:color w:val="auto"/>
          <w:highlight w:val="none"/>
          <w:lang w:val="en-US"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矿区地理坐标：东经123°21′47.1″—123°22′29.5″</w:t>
      </w:r>
    </w:p>
    <w:p>
      <w:pPr>
        <w:pStyle w:val="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北纬40°26′42.5″—40°27′11.7″</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岫岩满族自治县苏子沟镇大何家堡村钾长石矿成立于199</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10月</w:t>
      </w:r>
      <w:r>
        <w:rPr>
          <w:rFonts w:hint="default" w:ascii="Times New Roman" w:hAnsi="Times New Roman" w:eastAsia="宋体" w:cs="Times New Roman"/>
          <w:color w:val="auto"/>
          <w:highlight w:val="none"/>
        </w:rPr>
        <w:t>，建矿初期进行过露天开采</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2016年</w:t>
      </w:r>
      <w:r>
        <w:rPr>
          <w:rFonts w:hint="default" w:ascii="Times New Roman" w:hAnsi="Times New Roman" w:eastAsia="宋体" w:cs="Times New Roman"/>
          <w:color w:val="auto"/>
          <w:highlight w:val="none"/>
        </w:rPr>
        <w:t>原辽宁省国土资源厅</w:t>
      </w:r>
      <w:r>
        <w:rPr>
          <w:rFonts w:hint="default" w:ascii="Times New Roman" w:hAnsi="Times New Roman" w:eastAsia="宋体" w:cs="Times New Roman"/>
          <w:color w:val="auto"/>
          <w:highlight w:val="none"/>
          <w:lang w:val="en-US" w:eastAsia="zh-CN"/>
        </w:rPr>
        <w:t>为矿区颁布了采矿证，证号C21030020100871200730943，有效期自2016年7月至2017年1月。矿区面积0.475km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，开采标高480m-280m，</w:t>
      </w:r>
      <w:r>
        <w:rPr>
          <w:rFonts w:hint="default" w:ascii="Times New Roman" w:hAnsi="Times New Roman" w:eastAsia="宋体" w:cs="Times New Roman"/>
          <w:color w:val="auto"/>
          <w:highlight w:val="none"/>
          <w:lang w:val="en-US" w:eastAsia="zh-CN"/>
        </w:rPr>
        <w:t>开采矿种为钾长石，年采矿规模5万吨，开采方式为地下开采</w:t>
      </w:r>
      <w:r>
        <w:rPr>
          <w:rFonts w:hint="default" w:ascii="Times New Roman" w:hAnsi="Times New Roman" w:eastAsia="宋体" w:cs="Times New Roman"/>
          <w:color w:val="auto"/>
          <w:highlight w:val="none"/>
          <w:vertAlign w:val="baseline"/>
          <w:lang w:val="en-US" w:eastAsia="zh-CN"/>
        </w:rPr>
        <w:t>，矿区</w:t>
      </w:r>
      <w:r>
        <w:rPr>
          <w:rFonts w:hint="default" w:ascii="Times New Roman" w:hAnsi="Times New Roman" w:eastAsia="宋体" w:cs="Times New Roman"/>
          <w:color w:val="auto"/>
          <w:highlight w:val="none"/>
        </w:rPr>
        <w:t>各拐点坐标见表</w:t>
      </w:r>
      <w:r>
        <w:rPr>
          <w:rFonts w:hint="default" w:ascii="Times New Roman" w:hAnsi="Times New Roman" w:eastAsia="宋体" w:cs="Times New Roman"/>
          <w:color w:val="auto"/>
          <w:highlight w:val="none"/>
          <w:lang w:val="en-US" w:eastAsia="zh-CN"/>
        </w:rPr>
        <w:t>2.1-</w:t>
      </w:r>
      <w:r>
        <w:rPr>
          <w:rFonts w:hint="default" w:ascii="Times New Roman" w:hAnsi="Times New Roman" w:eastAsia="宋体" w:cs="Times New Roman"/>
          <w:color w:val="auto"/>
          <w:highlight w:val="none"/>
        </w:rPr>
        <w:t>1。</w:t>
      </w:r>
    </w:p>
    <w:p>
      <w:pPr>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2.1-</w:t>
      </w:r>
      <w:r>
        <w:rPr>
          <w:rFonts w:hint="default" w:ascii="Times New Roman" w:hAnsi="Times New Roman" w:eastAsia="宋体" w:cs="Times New Roman"/>
          <w:b/>
          <w:bCs/>
          <w:color w:val="auto"/>
          <w:sz w:val="21"/>
          <w:szCs w:val="21"/>
          <w:highlight w:val="none"/>
        </w:rPr>
        <w:t>1矿区范围拐点坐标表</w:t>
      </w:r>
    </w:p>
    <w:tbl>
      <w:tblPr>
        <w:tblStyle w:val="4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2088"/>
        <w:gridCol w:w="2242"/>
        <w:gridCol w:w="1934"/>
        <w:gridCol w:w="2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restart"/>
            <w:tcBorders>
              <w:top w:val="single" w:color="auto" w:sz="12" w:space="0"/>
              <w:lef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点号</w:t>
            </w:r>
          </w:p>
        </w:tc>
        <w:tc>
          <w:tcPr>
            <w:tcW w:w="0" w:type="auto"/>
            <w:gridSpan w:val="2"/>
            <w:tcBorders>
              <w:top w:val="single" w:color="auto" w:sz="12" w:space="0"/>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坐标（国家2000坐标系）</w:t>
            </w:r>
          </w:p>
        </w:tc>
        <w:tc>
          <w:tcPr>
            <w:tcW w:w="0" w:type="auto"/>
            <w:gridSpan w:val="2"/>
            <w:tcBorders>
              <w:top w:val="single" w:color="auto" w:sz="12" w:space="0"/>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坐标（1980西安坐标系）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vMerge w:val="continue"/>
            <w:tcBorders>
              <w:left w:val="nil"/>
            </w:tcBorders>
            <w:noWrap w:val="0"/>
            <w:vAlign w:val="center"/>
          </w:tcPr>
          <w:p>
            <w:pPr>
              <w:pStyle w:val="104"/>
              <w:jc w:val="center"/>
              <w:rPr>
                <w:rFonts w:hint="default" w:ascii="Times New Roman" w:hAnsi="Times New Roman" w:eastAsia="宋体" w:cs="Times New Roman"/>
                <w:color w:val="auto"/>
                <w:kern w:val="0"/>
                <w:highlight w:val="none"/>
              </w:rPr>
            </w:pP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X</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Y</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X</w:t>
            </w:r>
          </w:p>
        </w:tc>
        <w:tc>
          <w:tcPr>
            <w:tcW w:w="0" w:type="auto"/>
            <w:tcBorders>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lef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4479486.0261</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41531156.4454</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4479494.060</w:t>
            </w:r>
          </w:p>
        </w:tc>
        <w:tc>
          <w:tcPr>
            <w:tcW w:w="0" w:type="auto"/>
            <w:tcBorders>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41531037.640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lef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4479056.0202</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41531538.4474</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4479064.056</w:t>
            </w:r>
          </w:p>
        </w:tc>
        <w:tc>
          <w:tcPr>
            <w:tcW w:w="0" w:type="auto"/>
            <w:tcBorders>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41531419.645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lef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4479105.0220</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41531754.4467</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4479113.057</w:t>
            </w:r>
          </w:p>
        </w:tc>
        <w:tc>
          <w:tcPr>
            <w:tcW w:w="0" w:type="auto"/>
            <w:tcBorders>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41531635.647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0" w:type="auto"/>
            <w:tcBorders>
              <w:lef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4479347.0259</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41531577.4459</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4479355.060</w:t>
            </w:r>
          </w:p>
        </w:tc>
        <w:tc>
          <w:tcPr>
            <w:tcW w:w="0" w:type="auto"/>
            <w:tcBorders>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41531458.644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lef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5</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4479956.0351</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41531870.4467</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4479964.067</w:t>
            </w:r>
          </w:p>
        </w:tc>
        <w:tc>
          <w:tcPr>
            <w:tcW w:w="0" w:type="auto"/>
            <w:tcBorders>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41531751.646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lef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6</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4479956.0316</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41530870.4440</w:t>
            </w:r>
          </w:p>
        </w:tc>
        <w:tc>
          <w:tcPr>
            <w:tcW w:w="0" w:type="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4479964.064</w:t>
            </w:r>
          </w:p>
        </w:tc>
        <w:tc>
          <w:tcPr>
            <w:tcW w:w="0" w:type="auto"/>
            <w:tcBorders>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41530751.635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gridSpan w:val="5"/>
            <w:tcBorders>
              <w:left w:val="nil"/>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开采深度：由+480米至+280米标高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gridSpan w:val="5"/>
            <w:tcBorders>
              <w:left w:val="nil"/>
              <w:bottom w:val="single" w:color="auto" w:sz="12" w:space="0"/>
              <w:right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矿区面积：0.4780平方公里</w:t>
            </w:r>
          </w:p>
        </w:tc>
      </w:tr>
    </w:tbl>
    <w:p>
      <w:pPr>
        <w:pStyle w:val="4"/>
        <w:bidi w:val="0"/>
        <w:rPr>
          <w:rFonts w:hint="default"/>
          <w:color w:val="auto"/>
        </w:rPr>
      </w:pPr>
      <w:bookmarkStart w:id="164" w:name="_Toc15908"/>
      <w:r>
        <w:rPr>
          <w:rFonts w:hint="default"/>
          <w:color w:val="auto"/>
          <w:lang w:val="en-US" w:eastAsia="zh-CN"/>
        </w:rPr>
        <w:t>矿山原有环评情况</w:t>
      </w:r>
      <w:bookmarkEnd w:id="164"/>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岫岩满族自治县苏子沟镇大何家堡村钾长石矿20</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委托</w:t>
      </w:r>
      <w:r>
        <w:rPr>
          <w:rFonts w:hint="default" w:ascii="Times New Roman" w:hAnsi="Times New Roman" w:eastAsia="宋体" w:cs="Times New Roman"/>
          <w:color w:val="auto"/>
          <w:highlight w:val="none"/>
        </w:rPr>
        <w:t>辽宁瑞尔工程咨询有限公司编制完成了《岫岩满族自治县苏子沟镇大何家堡村钾长石矿年开采</w:t>
      </w:r>
      <w:r>
        <w:rPr>
          <w:rFonts w:hint="default" w:ascii="Times New Roman" w:hAnsi="Times New Roman" w:eastAsia="宋体" w:cs="Times New Roman"/>
          <w:color w:val="auto"/>
          <w:highlight w:val="none"/>
          <w:lang w:val="en-US" w:eastAsia="zh-CN"/>
        </w:rPr>
        <w:t>5万</w:t>
      </w:r>
      <w:r>
        <w:rPr>
          <w:rFonts w:hint="default" w:ascii="Times New Roman" w:hAnsi="Times New Roman" w:eastAsia="宋体" w:cs="Times New Roman"/>
          <w:color w:val="auto"/>
          <w:highlight w:val="none"/>
        </w:rPr>
        <w:t>吨钾长石建设项目环境影响报告</w:t>
      </w: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rPr>
        <w:t>》，并于20</w:t>
      </w:r>
      <w:r>
        <w:rPr>
          <w:rFonts w:hint="default" w:ascii="Times New Roman" w:hAnsi="Times New Roman" w:eastAsia="宋体" w:cs="Times New Roman"/>
          <w:color w:val="auto"/>
          <w:highlight w:val="none"/>
          <w:lang w:val="en-US" w:eastAsia="zh-CN"/>
        </w:rPr>
        <w:t>13</w:t>
      </w:r>
      <w:r>
        <w:rPr>
          <w:rFonts w:hint="default" w:ascii="Times New Roman" w:hAnsi="Times New Roman" w:eastAsia="宋体" w:cs="Times New Roman"/>
          <w:color w:val="auto"/>
          <w:highlight w:val="none"/>
        </w:rPr>
        <w:t>年5月</w:t>
      </w:r>
      <w:r>
        <w:rPr>
          <w:rFonts w:hint="default" w:ascii="Times New Roman" w:hAnsi="Times New Roman" w:eastAsia="宋体" w:cs="Times New Roman"/>
          <w:color w:val="auto"/>
          <w:highlight w:val="none"/>
          <w:lang w:val="en-US" w:eastAsia="zh-CN"/>
        </w:rPr>
        <w:t>29</w:t>
      </w:r>
      <w:r>
        <w:rPr>
          <w:rFonts w:hint="default" w:ascii="Times New Roman" w:hAnsi="Times New Roman" w:eastAsia="宋体" w:cs="Times New Roman"/>
          <w:color w:val="auto"/>
          <w:highlight w:val="none"/>
        </w:rPr>
        <w:t>日获得</w:t>
      </w:r>
      <w:r>
        <w:rPr>
          <w:rFonts w:hint="default" w:ascii="Times New Roman" w:hAnsi="Times New Roman" w:eastAsia="宋体" w:cs="Times New Roman"/>
          <w:color w:val="auto"/>
          <w:highlight w:val="none"/>
          <w:lang w:val="en-US" w:eastAsia="zh-CN"/>
        </w:rPr>
        <w:t>原</w:t>
      </w:r>
      <w:r>
        <w:rPr>
          <w:rFonts w:hint="default" w:ascii="Times New Roman" w:hAnsi="Times New Roman" w:eastAsia="宋体" w:cs="Times New Roman"/>
          <w:color w:val="auto"/>
          <w:highlight w:val="none"/>
        </w:rPr>
        <w:t>岫岩满族自治县</w:t>
      </w:r>
      <w:r>
        <w:rPr>
          <w:rFonts w:hint="default" w:ascii="Times New Roman" w:hAnsi="Times New Roman" w:eastAsia="宋体" w:cs="Times New Roman"/>
          <w:color w:val="auto"/>
          <w:highlight w:val="none"/>
          <w:lang w:val="en-US" w:eastAsia="zh-CN"/>
        </w:rPr>
        <w:t>环境保护局</w:t>
      </w:r>
      <w:r>
        <w:rPr>
          <w:rFonts w:hint="default" w:ascii="Times New Roman" w:hAnsi="Times New Roman" w:eastAsia="宋体" w:cs="Times New Roman"/>
          <w:color w:val="auto"/>
          <w:highlight w:val="none"/>
        </w:rPr>
        <w:t>的批复，批复文号为</w:t>
      </w:r>
      <w:r>
        <w:rPr>
          <w:rFonts w:hint="default" w:ascii="Times New Roman" w:hAnsi="Times New Roman" w:eastAsia="宋体" w:cs="Times New Roman"/>
          <w:color w:val="auto"/>
          <w:highlight w:val="none"/>
          <w:lang w:val="en-US" w:eastAsia="zh-CN"/>
        </w:rPr>
        <w:t>岫环批</w:t>
      </w:r>
      <w:r>
        <w:rPr>
          <w:rFonts w:hint="default" w:ascii="Times New Roman" w:hAnsi="Times New Roman" w:eastAsia="宋体" w:cs="Times New Roman"/>
          <w:color w:val="auto"/>
          <w:highlight w:val="none"/>
        </w:rPr>
        <w:t>[20</w:t>
      </w:r>
      <w:r>
        <w:rPr>
          <w:rFonts w:hint="default" w:ascii="Times New Roman" w:hAnsi="Times New Roman" w:eastAsia="宋体" w:cs="Times New Roman"/>
          <w:color w:val="auto"/>
          <w:highlight w:val="none"/>
          <w:lang w:val="en-US" w:eastAsia="zh-CN"/>
        </w:rPr>
        <w:t>13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号，具体见附件</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根据</w:t>
      </w:r>
      <w:r>
        <w:rPr>
          <w:rFonts w:hint="default" w:ascii="Times New Roman" w:hAnsi="Times New Roman" w:eastAsia="宋体" w:cs="Times New Roman"/>
          <w:color w:val="auto"/>
          <w:sz w:val="24"/>
          <w:highlight w:val="none"/>
        </w:rPr>
        <w:t>岫岩满族自治县金源勘查有限公司最新动态监测资料显示</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kern w:val="0"/>
          <w:sz w:val="24"/>
          <w:highlight w:val="none"/>
        </w:rPr>
        <w:t>该矿</w:t>
      </w:r>
      <w:r>
        <w:rPr>
          <w:rFonts w:hint="default" w:ascii="Times New Roman" w:hAnsi="Times New Roman" w:eastAsia="宋体" w:cs="Times New Roman"/>
          <w:color w:val="auto"/>
          <w:sz w:val="24"/>
          <w:highlight w:val="none"/>
        </w:rPr>
        <w:t>自</w:t>
      </w:r>
      <w:r>
        <w:rPr>
          <w:rFonts w:hint="eastAsia" w:cs="Times New Roman"/>
          <w:color w:val="auto"/>
          <w:sz w:val="24"/>
          <w:highlight w:val="none"/>
          <w:lang w:val="en-US" w:eastAsia="zh-CN"/>
        </w:rPr>
        <w:t>取得采矿证</w:t>
      </w:r>
      <w:r>
        <w:rPr>
          <w:rFonts w:hint="default" w:ascii="Times New Roman" w:hAnsi="Times New Roman" w:eastAsia="宋体" w:cs="Times New Roman"/>
          <w:color w:val="auto"/>
          <w:sz w:val="24"/>
          <w:highlight w:val="none"/>
        </w:rPr>
        <w:t>至今，一直</w:t>
      </w:r>
      <w:r>
        <w:rPr>
          <w:rFonts w:hint="eastAsia" w:cs="Times New Roman"/>
          <w:color w:val="auto"/>
          <w:sz w:val="24"/>
          <w:highlight w:val="none"/>
          <w:lang w:val="en-US" w:eastAsia="zh-CN"/>
        </w:rPr>
        <w:t>未进行建设</w:t>
      </w:r>
      <w:r>
        <w:rPr>
          <w:rFonts w:hint="eastAsia" w:cs="Times New Roman"/>
          <w:color w:val="auto"/>
          <w:sz w:val="24"/>
          <w:highlight w:val="none"/>
          <w:lang w:eastAsia="zh-CN"/>
        </w:rPr>
        <w:t>。</w:t>
      </w:r>
      <w:r>
        <w:rPr>
          <w:rFonts w:hint="eastAsia" w:cs="Times New Roman"/>
          <w:color w:val="auto"/>
          <w:highlight w:val="none"/>
          <w:lang w:val="en-US" w:eastAsia="zh-CN"/>
        </w:rPr>
        <w:t>依据《</w:t>
      </w:r>
      <w:r>
        <w:rPr>
          <w:rFonts w:hint="default" w:ascii="Times New Roman" w:hAnsi="Times New Roman" w:eastAsia="宋体" w:cs="Times New Roman"/>
          <w:color w:val="auto"/>
          <w:highlight w:val="none"/>
          <w:lang w:eastAsia="zh-CN"/>
        </w:rPr>
        <w:t>中华人民共和国环境影响评价法</w:t>
      </w:r>
      <w:r>
        <w:rPr>
          <w:rFonts w:hint="eastAsia" w:cs="Times New Roman"/>
          <w:color w:val="auto"/>
          <w:highlight w:val="none"/>
          <w:lang w:val="en-US" w:eastAsia="zh-CN"/>
        </w:rPr>
        <w:t>》第二十四条：</w:t>
      </w:r>
      <w:r>
        <w:rPr>
          <w:rFonts w:hint="eastAsia" w:ascii="Times New Roman" w:hAnsi="Times New Roman" w:eastAsia="宋体" w:cs="Times New Roman"/>
          <w:color w:val="auto"/>
          <w:sz w:val="24"/>
          <w:highlight w:val="none"/>
          <w:lang w:eastAsia="zh-CN"/>
        </w:rPr>
        <w:t>建设项目的环境影响评价文件自批准之日起超过五年，方决定该项目开工建设的，其环境影响评价文件应当报原审批部门重新审核。</w:t>
      </w:r>
      <w:r>
        <w:rPr>
          <w:rFonts w:hint="default" w:ascii="Times New Roman" w:hAnsi="Times New Roman" w:eastAsia="宋体" w:cs="Times New Roman"/>
          <w:color w:val="auto"/>
          <w:highlight w:val="none"/>
        </w:rPr>
        <w:t>岫岩满族自治县苏子沟镇大何家堡村钾长石矿年开采</w:t>
      </w:r>
      <w:r>
        <w:rPr>
          <w:rFonts w:hint="default" w:ascii="Times New Roman" w:hAnsi="Times New Roman" w:eastAsia="宋体" w:cs="Times New Roman"/>
          <w:color w:val="auto"/>
          <w:highlight w:val="none"/>
          <w:lang w:val="en-US" w:eastAsia="zh-CN"/>
        </w:rPr>
        <w:t>5万</w:t>
      </w:r>
      <w:r>
        <w:rPr>
          <w:rFonts w:hint="default" w:ascii="Times New Roman" w:hAnsi="Times New Roman" w:eastAsia="宋体" w:cs="Times New Roman"/>
          <w:color w:val="auto"/>
          <w:highlight w:val="none"/>
        </w:rPr>
        <w:t>吨钾长石项目</w:t>
      </w:r>
      <w:r>
        <w:rPr>
          <w:rFonts w:hint="eastAsia" w:ascii="Times New Roman" w:hAnsi="Times New Roman" w:eastAsia="宋体" w:cs="Times New Roman"/>
          <w:color w:val="auto"/>
          <w:highlight w:val="none"/>
          <w:lang w:val="en-US" w:eastAsia="zh-CN"/>
        </w:rPr>
        <w:t>自取得环评文件后10年</w:t>
      </w:r>
      <w:r>
        <w:rPr>
          <w:rFonts w:hint="default" w:ascii="Times New Roman" w:hAnsi="Times New Roman" w:eastAsia="宋体" w:cs="Times New Roman"/>
          <w:color w:val="auto"/>
          <w:highlight w:val="none"/>
        </w:rPr>
        <w:t>一直未</w:t>
      </w:r>
      <w:r>
        <w:rPr>
          <w:rFonts w:hint="default" w:ascii="Times New Roman" w:hAnsi="Times New Roman" w:eastAsia="宋体" w:cs="Times New Roman"/>
          <w:color w:val="auto"/>
          <w:highlight w:val="none"/>
          <w:lang w:val="en-US" w:eastAsia="zh-CN"/>
        </w:rPr>
        <w:t>建设</w:t>
      </w: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sz w:val="24"/>
          <w:highlight w:val="none"/>
          <w:lang w:val="en-US" w:eastAsia="zh-CN"/>
        </w:rPr>
        <w:t>原有</w:t>
      </w:r>
      <w:r>
        <w:rPr>
          <w:rFonts w:hint="default" w:ascii="Times New Roman" w:hAnsi="Times New Roman" w:eastAsia="宋体" w:cs="Times New Roman"/>
          <w:color w:val="auto"/>
          <w:highlight w:val="none"/>
          <w:lang w:val="en-US" w:eastAsia="zh-CN"/>
        </w:rPr>
        <w:t>环评文件</w:t>
      </w:r>
      <w:r>
        <w:rPr>
          <w:rFonts w:hint="default" w:ascii="Times New Roman" w:hAnsi="Times New Roman" w:eastAsia="宋体" w:cs="Times New Roman"/>
          <w:color w:val="auto"/>
          <w:highlight w:val="none"/>
        </w:rPr>
        <w:t>已</w:t>
      </w:r>
      <w:r>
        <w:rPr>
          <w:rFonts w:hint="eastAsia" w:cs="Times New Roman"/>
          <w:color w:val="auto"/>
          <w:highlight w:val="none"/>
          <w:lang w:val="en-US" w:eastAsia="zh-CN"/>
        </w:rPr>
        <w:t>失效</w:t>
      </w:r>
      <w:r>
        <w:rPr>
          <w:rFonts w:hint="default" w:ascii="Times New Roman" w:hAnsi="Times New Roman" w:eastAsia="宋体" w:cs="Times New Roman"/>
          <w:color w:val="auto"/>
          <w:highlight w:val="none"/>
        </w:rPr>
        <w:t>。</w:t>
      </w:r>
    </w:p>
    <w:p>
      <w:pPr>
        <w:pStyle w:val="4"/>
        <w:bidi w:val="0"/>
        <w:rPr>
          <w:rFonts w:hint="default"/>
          <w:color w:val="auto"/>
        </w:rPr>
      </w:pPr>
      <w:bookmarkStart w:id="165" w:name="_Toc8808"/>
      <w:r>
        <w:rPr>
          <w:rFonts w:hint="default"/>
          <w:color w:val="auto"/>
        </w:rPr>
        <w:t>现存主要生态破坏情况</w:t>
      </w:r>
      <w:bookmarkEnd w:id="165"/>
    </w:p>
    <w:p>
      <w:pPr>
        <w:spacing w:line="360" w:lineRule="auto"/>
        <w:ind w:firstLine="480" w:firstLineChars="200"/>
        <w:contextualSpacing/>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highlight w:val="none"/>
          <w:lang w:val="en-US" w:eastAsia="zh-CN"/>
        </w:rPr>
        <w:t>矿山已有20多年开采历史，建矿初期进行过露天开采，已荒废多年，无近期开采痕迹。2016年后开采方式改为地下开采，</w:t>
      </w:r>
      <w:r>
        <w:rPr>
          <w:rFonts w:hint="default" w:ascii="Times New Roman" w:hAnsi="Times New Roman" w:eastAsia="宋体" w:cs="Times New Roman"/>
          <w:color w:val="auto"/>
          <w:highlight w:val="none"/>
          <w:lang w:eastAsia="zh-CN"/>
        </w:rPr>
        <w:t>受市场行情影响</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highlight w:val="none"/>
          <w:lang w:eastAsia="zh-CN"/>
        </w:rPr>
        <w:t>仅</w:t>
      </w:r>
      <w:r>
        <w:rPr>
          <w:rFonts w:hint="default" w:ascii="Times New Roman" w:hAnsi="Times New Roman" w:eastAsia="宋体" w:cs="Times New Roman"/>
          <w:color w:val="auto"/>
          <w:highlight w:val="none"/>
          <w:lang w:val="en-US" w:eastAsia="zh-CN"/>
        </w:rPr>
        <w:t>在</w:t>
      </w:r>
      <w:r>
        <w:rPr>
          <w:rFonts w:hint="eastAsia" w:cs="Times New Roman"/>
          <w:color w:val="auto"/>
          <w:highlight w:val="none"/>
          <w:lang w:val="en-US" w:eastAsia="zh-CN"/>
        </w:rPr>
        <w:t>探矿</w:t>
      </w:r>
      <w:r>
        <w:rPr>
          <w:rFonts w:hint="default" w:ascii="Times New Roman" w:hAnsi="Times New Roman" w:eastAsia="宋体" w:cs="Times New Roman"/>
          <w:color w:val="auto"/>
          <w:highlight w:val="none"/>
          <w:lang w:val="en-US" w:eastAsia="zh-CN"/>
        </w:rPr>
        <w:t>过程形成</w:t>
      </w:r>
      <w:r>
        <w:rPr>
          <w:rFonts w:hint="eastAsia" w:cs="Times New Roman"/>
          <w:color w:val="auto"/>
          <w:highlight w:val="none"/>
          <w:lang w:val="en-US" w:eastAsia="zh-CN"/>
        </w:rPr>
        <w:t>井口</w:t>
      </w:r>
      <w:r>
        <w:rPr>
          <w:rFonts w:hint="default" w:ascii="Times New Roman" w:hAnsi="Times New Roman" w:eastAsia="宋体" w:cs="Times New Roman"/>
          <w:color w:val="auto"/>
          <w:highlight w:val="none"/>
          <w:lang w:val="en-US" w:eastAsia="zh-CN"/>
        </w:rPr>
        <w:t>2处</w:t>
      </w:r>
      <w:r>
        <w:rPr>
          <w:rFonts w:hint="default" w:ascii="Times New Roman" w:hAnsi="Times New Roman" w:eastAsia="宋体" w:cs="Times New Roman"/>
          <w:color w:val="auto"/>
          <w:highlight w:val="none"/>
          <w:lang w:eastAsia="zh-CN"/>
        </w:rPr>
        <w:t>，项目一直未</w:t>
      </w:r>
      <w:r>
        <w:rPr>
          <w:rFonts w:hint="eastAsia" w:cs="Times New Roman"/>
          <w:color w:val="auto"/>
          <w:highlight w:val="none"/>
          <w:lang w:val="en-US" w:eastAsia="zh-CN"/>
        </w:rPr>
        <w:t>建设</w:t>
      </w:r>
      <w:r>
        <w:rPr>
          <w:rFonts w:hint="default" w:ascii="Times New Roman" w:hAnsi="Times New Roman" w:eastAsia="宋体" w:cs="Times New Roman"/>
          <w:color w:val="auto"/>
          <w:highlight w:val="none"/>
          <w:lang w:eastAsia="zh-CN"/>
        </w:rPr>
        <w:t>。矿区内零零散散的堆积着</w:t>
      </w:r>
      <w:r>
        <w:rPr>
          <w:rFonts w:hint="default" w:ascii="Times New Roman" w:hAnsi="Times New Roman" w:eastAsia="宋体" w:cs="Times New Roman"/>
          <w:color w:val="auto"/>
          <w:highlight w:val="none"/>
          <w:lang w:val="en-US" w:eastAsia="zh-CN"/>
        </w:rPr>
        <w:t>多</w:t>
      </w:r>
      <w:r>
        <w:rPr>
          <w:rFonts w:hint="default" w:ascii="Times New Roman" w:hAnsi="Times New Roman" w:eastAsia="宋体" w:cs="Times New Roman"/>
          <w:color w:val="auto"/>
          <w:highlight w:val="none"/>
          <w:lang w:eastAsia="zh-CN"/>
        </w:rPr>
        <w:t>处排岩</w:t>
      </w:r>
      <w:r>
        <w:rPr>
          <w:rFonts w:hint="default" w:ascii="Times New Roman" w:hAnsi="Times New Roman" w:eastAsia="宋体" w:cs="Times New Roman"/>
          <w:color w:val="auto"/>
          <w:sz w:val="24"/>
          <w:szCs w:val="24"/>
          <w:highlight w:val="none"/>
        </w:rPr>
        <w:t>场，近些年通过自然恢复和矿山治理，部分排岩场已经恢复植被。</w:t>
      </w:r>
      <w:r>
        <w:rPr>
          <w:rFonts w:hint="eastAsia" w:cs="Times New Roman"/>
          <w:color w:val="auto"/>
          <w:sz w:val="24"/>
          <w:szCs w:val="24"/>
          <w:highlight w:val="none"/>
          <w:lang w:val="en-US" w:eastAsia="zh-CN"/>
        </w:rPr>
        <w:t>现存遗留未治理的有</w:t>
      </w:r>
      <w:r>
        <w:rPr>
          <w:rFonts w:hint="default" w:ascii="Times New Roman" w:hAnsi="Times New Roman" w:eastAsia="宋体" w:cs="Times New Roman"/>
          <w:color w:val="auto"/>
          <w:highlight w:val="none"/>
          <w:lang w:val="en-US" w:eastAsia="zh-CN"/>
        </w:rPr>
        <w:t>4个露天采坑，</w:t>
      </w:r>
      <w:r>
        <w:rPr>
          <w:rFonts w:hint="eastAsia" w:cs="Times New Roman"/>
          <w:bCs/>
          <w:color w:val="auto"/>
          <w:sz w:val="24"/>
          <w:highlight w:val="none"/>
          <w:lang w:val="en-US" w:eastAsia="zh-CN"/>
        </w:rPr>
        <w:t>4个</w:t>
      </w:r>
      <w:r>
        <w:rPr>
          <w:rFonts w:hint="default" w:ascii="Times New Roman" w:hAnsi="Times New Roman" w:eastAsia="宋体" w:cs="Times New Roman"/>
          <w:bCs/>
          <w:color w:val="auto"/>
          <w:sz w:val="24"/>
          <w:highlight w:val="none"/>
        </w:rPr>
        <w:t>排岩场</w:t>
      </w:r>
      <w:r>
        <w:rPr>
          <w:rFonts w:hint="eastAsia" w:ascii="Times New Roman" w:hAnsi="Times New Roman" w:eastAsia="宋体" w:cs="Times New Roman"/>
          <w:bCs/>
          <w:color w:val="auto"/>
          <w:sz w:val="24"/>
          <w:highlight w:val="none"/>
          <w:lang w:val="en-US" w:eastAsia="zh-CN"/>
        </w:rPr>
        <w:t>和2个井口及运输道路</w:t>
      </w:r>
      <w:r>
        <w:rPr>
          <w:rFonts w:hint="default" w:ascii="Times New Roman" w:hAnsi="Times New Roman" w:eastAsia="宋体" w:cs="Times New Roman"/>
          <w:bCs/>
          <w:color w:val="auto"/>
          <w:sz w:val="24"/>
          <w:highlight w:val="none"/>
        </w:rPr>
        <w:t>。</w:t>
      </w:r>
    </w:p>
    <w:p>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（1）露天采场</w:t>
      </w:r>
      <w:r>
        <w:rPr>
          <w:rFonts w:hint="default" w:ascii="Times New Roman" w:hAnsi="Times New Roman" w:eastAsia="宋体" w:cs="Times New Roman"/>
          <w:color w:val="auto"/>
          <w:sz w:val="24"/>
          <w:highlight w:val="none"/>
          <w:lang w:val="en-US" w:eastAsia="zh-CN"/>
        </w:rPr>
        <w:t>情况</w:t>
      </w:r>
    </w:p>
    <w:p>
      <w:pPr>
        <w:spacing w:line="360" w:lineRule="auto"/>
        <w:ind w:firstLine="480" w:firstLineChars="200"/>
        <w:contextualSpacing/>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en-US" w:eastAsia="zh-CN"/>
        </w:rPr>
        <w:t>矿区内</w:t>
      </w:r>
      <w:r>
        <w:rPr>
          <w:rFonts w:hint="default" w:ascii="Times New Roman" w:hAnsi="Times New Roman" w:eastAsia="宋体" w:cs="Times New Roman"/>
          <w:bCs/>
          <w:color w:val="auto"/>
          <w:sz w:val="24"/>
          <w:highlight w:val="none"/>
        </w:rPr>
        <w:t>已形成4处露天采场，分别编号为露天采坑1、2、3、4，面积合计为1.0957hm²。其中露天采坑1位于矿区南部，规模62m×37m，边坡高39m左右，坡度65°，挖损土地面积0.2426hm²。露天采坑2位于矿区南部，规模90m×80m，边坡高57m左右，坡度70°，挖损土地面积0.6791hm²。露天采坑3位于矿区东部，规模65m×11m，边坡高9m左右，坡度65°，挖损土地面积0.1197hm²。露天采坑4位于矿区东北部，规模23m×28m，边坡高11m左右，坡度60°，挖损土地面积0.0543hm²。各露天采坑损毁土地类型为采矿用地和有林地</w:t>
      </w:r>
      <w:r>
        <w:rPr>
          <w:rFonts w:hint="default" w:ascii="Times New Roman" w:hAnsi="Times New Roman" w:eastAsia="宋体" w:cs="Times New Roman"/>
          <w:bCs/>
          <w:color w:val="auto"/>
          <w:sz w:val="24"/>
          <w:highlight w:val="none"/>
          <w:lang w:eastAsia="zh-CN"/>
        </w:rPr>
        <w:t>。</w:t>
      </w:r>
    </w:p>
    <w:p>
      <w:pPr>
        <w:spacing w:line="360" w:lineRule="auto"/>
        <w:ind w:left="0" w:leftChars="0" w:firstLine="0" w:firstLineChars="0"/>
        <w:rPr>
          <w:rFonts w:hint="default" w:ascii="Times New Roman" w:hAnsi="Times New Roman" w:eastAsia="宋体" w:cs="Times New Roman"/>
          <w:color w:val="auto"/>
          <w:sz w:val="28"/>
          <w:szCs w:val="28"/>
          <w:highlight w:val="none"/>
          <w:lang w:val="en-US" w:eastAsia="zh-CN"/>
        </w:rPr>
      </w:pPr>
      <w:r>
        <w:rPr>
          <w:rFonts w:hint="default" w:ascii="Times New Roman" w:hAnsi="Times New Roman" w:eastAsia="宋体" w:cs="Times New Roman"/>
          <w:color w:val="auto"/>
          <w:highlight w:val="none"/>
        </w:rPr>
        <w:drawing>
          <wp:inline distT="0" distB="0" distL="114300" distR="114300">
            <wp:extent cx="2997200" cy="2112645"/>
            <wp:effectExtent l="0" t="0" r="12700" b="1905"/>
            <wp:docPr id="192" name="图片 2" descr="采坑西平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 descr="采坑西平台3"/>
                    <pic:cNvPicPr>
                      <a:picLocks noChangeAspect="1"/>
                    </pic:cNvPicPr>
                  </pic:nvPicPr>
                  <pic:blipFill>
                    <a:blip r:embed="rId38"/>
                    <a:stretch>
                      <a:fillRect/>
                    </a:stretch>
                  </pic:blipFill>
                  <pic:spPr>
                    <a:xfrm>
                      <a:off x="0" y="0"/>
                      <a:ext cx="2997200" cy="2112645"/>
                    </a:xfrm>
                    <a:prstGeom prst="rect">
                      <a:avLst/>
                    </a:prstGeom>
                    <a:noFill/>
                    <a:ln>
                      <a:noFill/>
                    </a:ln>
                  </pic:spPr>
                </pic:pic>
              </a:graphicData>
            </a:graphic>
          </wp:inline>
        </w:drawing>
      </w:r>
      <w:r>
        <w:rPr>
          <w:rFonts w:hint="default" w:ascii="Times New Roman" w:hAnsi="Times New Roman" w:eastAsia="宋体" w:cs="Times New Roman"/>
          <w:color w:val="auto"/>
          <w:highlight w:val="none"/>
        </w:rPr>
        <w:drawing>
          <wp:inline distT="0" distB="0" distL="114300" distR="114300">
            <wp:extent cx="2647315" cy="2126615"/>
            <wp:effectExtent l="0" t="0" r="635" b="6985"/>
            <wp:docPr id="19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6"/>
                    <pic:cNvPicPr>
                      <a:picLocks noChangeAspect="1"/>
                    </pic:cNvPicPr>
                  </pic:nvPicPr>
                  <pic:blipFill>
                    <a:blip r:embed="rId39"/>
                    <a:stretch>
                      <a:fillRect/>
                    </a:stretch>
                  </pic:blipFill>
                  <pic:spPr>
                    <a:xfrm>
                      <a:off x="0" y="0"/>
                      <a:ext cx="2647315" cy="2126615"/>
                    </a:xfrm>
                    <a:prstGeom prst="rect">
                      <a:avLst/>
                    </a:prstGeom>
                    <a:noFill/>
                    <a:ln>
                      <a:noFill/>
                    </a:ln>
                  </pic:spPr>
                </pic:pic>
              </a:graphicData>
            </a:graphic>
          </wp:inline>
        </w:drawing>
      </w:r>
    </w:p>
    <w:p>
      <w:pPr>
        <w:spacing w:line="360" w:lineRule="auto"/>
        <w:ind w:left="0" w:leftChars="0" w:firstLine="0" w:firstLineChars="0"/>
        <w:contextualSpacing/>
        <w:jc w:val="center"/>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图</w:t>
      </w:r>
      <w:r>
        <w:rPr>
          <w:rFonts w:hint="default" w:ascii="Times New Roman" w:hAnsi="Times New Roman" w:eastAsia="宋体" w:cs="Times New Roman"/>
          <w:b/>
          <w:color w:val="auto"/>
          <w:sz w:val="24"/>
          <w:highlight w:val="none"/>
        </w:rPr>
        <w:t>2</w:t>
      </w:r>
      <w:r>
        <w:rPr>
          <w:rFonts w:hint="default" w:ascii="Times New Roman" w:hAnsi="Times New Roman" w:eastAsia="宋体" w:cs="Times New Roman"/>
          <w:b/>
          <w:color w:val="auto"/>
          <w:sz w:val="24"/>
          <w:highlight w:val="none"/>
          <w:lang w:val="en-US" w:eastAsia="zh-CN"/>
        </w:rPr>
        <w:t>.</w:t>
      </w:r>
      <w:r>
        <w:rPr>
          <w:rFonts w:hint="eastAsia" w:cs="Times New Roman"/>
          <w:b/>
          <w:color w:val="auto"/>
          <w:sz w:val="24"/>
          <w:highlight w:val="none"/>
          <w:lang w:val="en-US" w:eastAsia="zh-CN"/>
        </w:rPr>
        <w:t>3</w:t>
      </w:r>
      <w:r>
        <w:rPr>
          <w:rFonts w:hint="default" w:ascii="Times New Roman" w:hAnsi="Times New Roman" w:eastAsia="宋体" w:cs="Times New Roman"/>
          <w:b/>
          <w:color w:val="auto"/>
          <w:sz w:val="24"/>
          <w:highlight w:val="none"/>
        </w:rPr>
        <w:t>-1露天采场</w:t>
      </w:r>
    </w:p>
    <w:p>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2</w:t>
      </w:r>
      <w:r>
        <w:rPr>
          <w:rFonts w:hint="default" w:ascii="Times New Roman" w:hAnsi="Times New Roman" w:eastAsia="宋体" w:cs="Times New Roman"/>
          <w:color w:val="auto"/>
          <w:sz w:val="24"/>
          <w:highlight w:val="none"/>
        </w:rPr>
        <w:t>）</w:t>
      </w:r>
      <w:r>
        <w:rPr>
          <w:rFonts w:hint="eastAsia" w:cs="Times New Roman"/>
          <w:color w:val="auto"/>
          <w:sz w:val="24"/>
          <w:highlight w:val="none"/>
          <w:lang w:val="en-US" w:eastAsia="zh-CN"/>
        </w:rPr>
        <w:t>井口情况</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w:t>
      </w:r>
      <w:r>
        <w:rPr>
          <w:rFonts w:hint="default" w:ascii="Times New Roman" w:hAnsi="Times New Roman" w:eastAsia="宋体" w:cs="Times New Roman"/>
          <w:color w:val="auto"/>
          <w:highlight w:val="none"/>
          <w:lang w:val="en-US" w:eastAsia="zh-CN"/>
        </w:rPr>
        <w:t>只在初期探矿过程中形成</w:t>
      </w:r>
      <w:r>
        <w:rPr>
          <w:rFonts w:hint="eastAsia" w:cs="Times New Roman"/>
          <w:color w:val="auto"/>
          <w:highlight w:val="none"/>
          <w:lang w:val="en-US" w:eastAsia="zh-CN"/>
        </w:rPr>
        <w:t>井口</w:t>
      </w:r>
      <w:r>
        <w:rPr>
          <w:rFonts w:hint="default" w:ascii="Times New Roman" w:hAnsi="Times New Roman" w:eastAsia="宋体" w:cs="Times New Roman"/>
          <w:bCs/>
          <w:color w:val="auto"/>
          <w:sz w:val="24"/>
          <w:highlight w:val="none"/>
        </w:rPr>
        <w:t>2处，分别编号为</w:t>
      </w:r>
      <w:r>
        <w:rPr>
          <w:rFonts w:hint="eastAsia" w:cs="Times New Roman"/>
          <w:bCs/>
          <w:color w:val="auto"/>
          <w:sz w:val="24"/>
          <w:highlight w:val="none"/>
          <w:lang w:val="en-US" w:eastAsia="zh-CN"/>
        </w:rPr>
        <w:t>井口</w:t>
      </w:r>
      <w:r>
        <w:rPr>
          <w:rFonts w:hint="default" w:ascii="Times New Roman" w:hAnsi="Times New Roman" w:eastAsia="宋体" w:cs="Times New Roman"/>
          <w:bCs/>
          <w:color w:val="auto"/>
          <w:sz w:val="24"/>
          <w:highlight w:val="none"/>
        </w:rPr>
        <w:t>1、2，破坏方式为挖损，其中井口1挖损面积与露天采坑损毁位置重叠，为防止面积的重复计算，只对井口2进行土地资源破坏评估。</w:t>
      </w:r>
      <w:r>
        <w:rPr>
          <w:rFonts w:hint="eastAsia" w:cs="Times New Roman"/>
          <w:bCs/>
          <w:color w:val="auto"/>
          <w:sz w:val="24"/>
          <w:highlight w:val="none"/>
          <w:lang w:val="en-US" w:eastAsia="zh-CN"/>
        </w:rPr>
        <w:t>井口</w:t>
      </w:r>
      <w:r>
        <w:rPr>
          <w:rFonts w:hint="default"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rPr>
        <w:t>破坏土地面积0.0145hm²，破坏土地类型为有林地</w:t>
      </w:r>
      <w:r>
        <w:rPr>
          <w:rFonts w:hint="default" w:ascii="Times New Roman" w:hAnsi="Times New Roman" w:eastAsia="宋体" w:cs="Times New Roman"/>
          <w:color w:val="auto"/>
          <w:highlight w:val="none"/>
        </w:rPr>
        <w:t>。</w:t>
      </w:r>
    </w:p>
    <w:p>
      <w:pPr>
        <w:bidi w:val="0"/>
        <w:ind w:left="0" w:leftChars="0" w:firstLine="0" w:firstLineChars="0"/>
        <w:jc w:val="both"/>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2747645" cy="3319780"/>
            <wp:effectExtent l="0" t="0" r="14605" b="13970"/>
            <wp:docPr id="188" name="图片 188" descr="763a36cdc1928e92d9cdd1d0bd4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763a36cdc1928e92d9cdd1d0bd47314"/>
                    <pic:cNvPicPr>
                      <a:picLocks noChangeAspect="1"/>
                    </pic:cNvPicPr>
                  </pic:nvPicPr>
                  <pic:blipFill>
                    <a:blip r:embed="rId40"/>
                    <a:srcRect r="-511" b="31705"/>
                    <a:stretch>
                      <a:fillRect/>
                    </a:stretch>
                  </pic:blipFill>
                  <pic:spPr>
                    <a:xfrm>
                      <a:off x="0" y="0"/>
                      <a:ext cx="2747645" cy="33197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drawing>
          <wp:inline distT="0" distB="0" distL="114300" distR="114300">
            <wp:extent cx="2747645" cy="3319780"/>
            <wp:effectExtent l="0" t="0" r="14605" b="13970"/>
            <wp:docPr id="18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5"/>
                    <pic:cNvPicPr>
                      <a:picLocks noChangeAspect="1"/>
                    </pic:cNvPicPr>
                  </pic:nvPicPr>
                  <pic:blipFill>
                    <a:blip r:embed="rId41"/>
                    <a:srcRect b="28725"/>
                    <a:stretch>
                      <a:fillRect/>
                    </a:stretch>
                  </pic:blipFill>
                  <pic:spPr>
                    <a:xfrm>
                      <a:off x="0" y="0"/>
                      <a:ext cx="2747645" cy="331978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t xml:space="preserve">  </w:t>
      </w:r>
    </w:p>
    <w:p>
      <w:pPr>
        <w:bidi w:val="0"/>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color w:val="auto"/>
          <w:sz w:val="24"/>
          <w:highlight w:val="none"/>
          <w:lang w:val="en-US" w:eastAsia="zh-CN"/>
        </w:rPr>
        <w:t>图</w:t>
      </w:r>
      <w:r>
        <w:rPr>
          <w:rFonts w:hint="default" w:ascii="Times New Roman" w:hAnsi="Times New Roman" w:eastAsia="宋体" w:cs="Times New Roman"/>
          <w:b/>
          <w:color w:val="auto"/>
          <w:sz w:val="24"/>
          <w:highlight w:val="none"/>
        </w:rPr>
        <w:t>2</w:t>
      </w:r>
      <w:r>
        <w:rPr>
          <w:rFonts w:hint="default" w:ascii="Times New Roman" w:hAnsi="Times New Roman" w:eastAsia="宋体" w:cs="Times New Roman"/>
          <w:b/>
          <w:color w:val="auto"/>
          <w:sz w:val="24"/>
          <w:highlight w:val="none"/>
          <w:lang w:val="en-US" w:eastAsia="zh-CN"/>
        </w:rPr>
        <w:t>.</w:t>
      </w:r>
      <w:r>
        <w:rPr>
          <w:rFonts w:hint="eastAsia" w:cs="Times New Roman"/>
          <w:b/>
          <w:color w:val="auto"/>
          <w:sz w:val="24"/>
          <w:highlight w:val="none"/>
          <w:lang w:val="en-US" w:eastAsia="zh-CN"/>
        </w:rPr>
        <w:t>3</w:t>
      </w:r>
      <w:r>
        <w:rPr>
          <w:rFonts w:hint="default" w:ascii="Times New Roman" w:hAnsi="Times New Roman" w:eastAsia="宋体" w:cs="Times New Roman"/>
          <w:b/>
          <w:color w:val="auto"/>
          <w:sz w:val="24"/>
          <w:highlight w:val="none"/>
        </w:rPr>
        <w:t>-</w:t>
      </w:r>
      <w:r>
        <w:rPr>
          <w:rFonts w:hint="default" w:ascii="Times New Roman" w:hAnsi="Times New Roman" w:eastAsia="宋体" w:cs="Times New Roman"/>
          <w:b/>
          <w:color w:val="auto"/>
          <w:sz w:val="24"/>
          <w:highlight w:val="none"/>
          <w:lang w:val="en-US" w:eastAsia="zh-CN"/>
        </w:rPr>
        <w:t>2井口</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（3）排岩场</w:t>
      </w:r>
    </w:p>
    <w:p>
      <w:pPr>
        <w:spacing w:line="360" w:lineRule="auto"/>
        <w:ind w:firstLine="480" w:firstLineChars="200"/>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val="vi-VN"/>
        </w:rPr>
        <w:t>经调查，</w:t>
      </w:r>
      <w:r>
        <w:rPr>
          <w:rFonts w:hint="default" w:ascii="Times New Roman" w:hAnsi="Times New Roman" w:eastAsia="宋体" w:cs="Times New Roman"/>
          <w:bCs/>
          <w:color w:val="auto"/>
          <w:sz w:val="24"/>
          <w:highlight w:val="none"/>
          <w:lang w:val="en-US" w:eastAsia="zh-CN"/>
        </w:rPr>
        <w:t>矿区</w:t>
      </w:r>
      <w:r>
        <w:rPr>
          <w:rFonts w:hint="default" w:ascii="Times New Roman" w:hAnsi="Times New Roman" w:eastAsia="宋体" w:cs="Times New Roman"/>
          <w:bCs/>
          <w:color w:val="auto"/>
          <w:sz w:val="24"/>
          <w:highlight w:val="none"/>
          <w:lang w:val="vi-VN"/>
        </w:rPr>
        <w:t>内零星分布有大大小小多处排岩场，</w:t>
      </w:r>
      <w:r>
        <w:rPr>
          <w:rFonts w:hint="default" w:ascii="Times New Roman" w:hAnsi="Times New Roman" w:eastAsia="宋体" w:cs="Times New Roman"/>
          <w:bCs/>
          <w:color w:val="auto"/>
          <w:sz w:val="24"/>
          <w:highlight w:val="none"/>
        </w:rPr>
        <w:t>2021年矿山通过自行施工对矿区范围内部分排岩场进行了修砌挡土墙、排水沟、客土栽植刺槐等治理恢复工程，现存4处未治理排岩场。</w:t>
      </w:r>
    </w:p>
    <w:p>
      <w:pPr>
        <w:spacing w:line="360" w:lineRule="auto"/>
        <w:ind w:firstLine="480" w:firstLineChars="200"/>
        <w:contextualSpacing/>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val="vi-VN"/>
        </w:rPr>
        <w:t>其中</w:t>
      </w:r>
      <w:r>
        <w:rPr>
          <w:rFonts w:hint="default" w:ascii="Times New Roman" w:hAnsi="Times New Roman" w:eastAsia="宋体" w:cs="Times New Roman"/>
          <w:bCs/>
          <w:color w:val="auto"/>
          <w:sz w:val="24"/>
          <w:highlight w:val="none"/>
        </w:rPr>
        <w:t>排岩场1平台长约46m，宽约30m，压占土地面积0.1260hm²；边坡长约50m，宽约25m，压占土地面积0.1165hm²</w:t>
      </w:r>
      <w:r>
        <w:rPr>
          <w:rFonts w:hint="default" w:ascii="Times New Roman" w:hAnsi="Times New Roman" w:eastAsia="宋体" w:cs="Times New Roman"/>
          <w:bCs/>
          <w:color w:val="auto"/>
          <w:sz w:val="24"/>
          <w:highlight w:val="none"/>
          <w:lang w:val="vi-VN"/>
        </w:rPr>
        <w:t>。排岩场</w:t>
      </w:r>
      <w:r>
        <w:rPr>
          <w:rFonts w:hint="default" w:ascii="Times New Roman" w:hAnsi="Times New Roman" w:eastAsia="宋体" w:cs="Times New Roman"/>
          <w:bCs/>
          <w:color w:val="auto"/>
          <w:sz w:val="24"/>
          <w:highlight w:val="none"/>
        </w:rPr>
        <w:t>2</w:t>
      </w:r>
      <w:r>
        <w:rPr>
          <w:rFonts w:hint="default" w:ascii="Times New Roman" w:hAnsi="Times New Roman" w:eastAsia="宋体" w:cs="Times New Roman"/>
          <w:bCs/>
          <w:color w:val="auto"/>
          <w:sz w:val="24"/>
          <w:highlight w:val="none"/>
          <w:lang w:val="vi-VN"/>
        </w:rPr>
        <w:t>规模50m×29m</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bCs/>
          <w:color w:val="auto"/>
          <w:sz w:val="24"/>
          <w:highlight w:val="none"/>
          <w:lang w:val="vi-VN"/>
        </w:rPr>
        <w:t>压占土地面积</w:t>
      </w:r>
      <w:r>
        <w:rPr>
          <w:rFonts w:hint="default" w:ascii="Times New Roman" w:hAnsi="Times New Roman" w:eastAsia="宋体" w:cs="Times New Roman"/>
          <w:bCs/>
          <w:color w:val="auto"/>
          <w:sz w:val="24"/>
          <w:highlight w:val="none"/>
        </w:rPr>
        <w:t>0.1181</w:t>
      </w:r>
      <w:r>
        <w:rPr>
          <w:rFonts w:hint="default" w:ascii="Times New Roman" w:hAnsi="Times New Roman" w:eastAsia="宋体" w:cs="Times New Roman"/>
          <w:bCs/>
          <w:color w:val="auto"/>
          <w:sz w:val="24"/>
          <w:highlight w:val="none"/>
          <w:lang w:val="vi-VN"/>
        </w:rPr>
        <w:t>hm²</w:t>
      </w:r>
      <w:r>
        <w:rPr>
          <w:rFonts w:hint="default" w:ascii="Times New Roman" w:hAnsi="Times New Roman" w:eastAsia="宋体" w:cs="Times New Roman"/>
          <w:bCs/>
          <w:color w:val="auto"/>
          <w:sz w:val="24"/>
          <w:highlight w:val="none"/>
          <w:lang w:val="vi-VN" w:eastAsia="zh-CN"/>
        </w:rPr>
        <w:t>。</w:t>
      </w:r>
      <w:r>
        <w:rPr>
          <w:rFonts w:hint="default" w:ascii="Times New Roman" w:hAnsi="Times New Roman" w:eastAsia="宋体" w:cs="Times New Roman"/>
          <w:bCs/>
          <w:color w:val="auto"/>
          <w:sz w:val="24"/>
          <w:highlight w:val="none"/>
          <w:lang w:val="vi-VN"/>
        </w:rPr>
        <w:t>排岩场</w:t>
      </w:r>
      <w:r>
        <w:rPr>
          <w:rFonts w:hint="default" w:ascii="Times New Roman" w:hAnsi="Times New Roman" w:eastAsia="宋体" w:cs="Times New Roman"/>
          <w:bCs/>
          <w:color w:val="auto"/>
          <w:sz w:val="24"/>
          <w:highlight w:val="none"/>
        </w:rPr>
        <w:t>3长约33m，宽约31m，压占土地面积0.1279hm²；边坡长约33m，宽约32m，压占土地面积0.1010hm²</w:t>
      </w:r>
      <w:r>
        <w:rPr>
          <w:rFonts w:hint="default" w:ascii="Times New Roman" w:hAnsi="Times New Roman" w:eastAsia="宋体" w:cs="Times New Roman"/>
          <w:bCs/>
          <w:color w:val="auto"/>
          <w:sz w:val="24"/>
          <w:highlight w:val="none"/>
          <w:lang w:val="vi-VN" w:eastAsia="zh-CN"/>
        </w:rPr>
        <w:t>。</w:t>
      </w:r>
      <w:r>
        <w:rPr>
          <w:rFonts w:hint="default" w:ascii="Times New Roman" w:hAnsi="Times New Roman" w:eastAsia="宋体" w:cs="Times New Roman"/>
          <w:bCs/>
          <w:color w:val="auto"/>
          <w:sz w:val="24"/>
          <w:highlight w:val="none"/>
        </w:rPr>
        <w:t>排岩场4平台长约40m，宽约38m，压占土地面积0.1561hm²；边坡长约13m，宽约78m，压占土地面积0.1275hm²。各排岩场</w:t>
      </w:r>
      <w:r>
        <w:rPr>
          <w:rFonts w:hint="default" w:ascii="Times New Roman" w:hAnsi="Times New Roman" w:eastAsia="宋体" w:cs="Times New Roman"/>
          <w:bCs/>
          <w:color w:val="auto"/>
          <w:sz w:val="24"/>
          <w:highlight w:val="none"/>
          <w:lang w:val="vi-VN"/>
        </w:rPr>
        <w:t>损毁土地类型为采矿用地、有林地</w:t>
      </w:r>
      <w:r>
        <w:rPr>
          <w:rFonts w:hint="default" w:ascii="Times New Roman" w:hAnsi="Times New Roman" w:eastAsia="宋体" w:cs="Times New Roman"/>
          <w:bCs/>
          <w:color w:val="auto"/>
          <w:sz w:val="24"/>
          <w:highlight w:val="none"/>
          <w:lang w:val="vi-VN" w:eastAsia="zh-CN"/>
        </w:rPr>
        <w:t>。</w:t>
      </w:r>
    </w:p>
    <w:p>
      <w:pPr>
        <w:pStyle w:val="2"/>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8"/>
          <w:szCs w:val="28"/>
          <w:highlight w:val="none"/>
        </w:rPr>
        <w:drawing>
          <wp:inline distT="0" distB="0" distL="114300" distR="114300">
            <wp:extent cx="2833370" cy="2125345"/>
            <wp:effectExtent l="0" t="0" r="5080" b="8255"/>
            <wp:docPr id="198" name="图片 72" descr="DSC0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72" descr="DSC00071"/>
                    <pic:cNvPicPr>
                      <a:picLocks noChangeAspect="1"/>
                    </pic:cNvPicPr>
                  </pic:nvPicPr>
                  <pic:blipFill>
                    <a:blip r:embed="rId42"/>
                    <a:stretch>
                      <a:fillRect/>
                    </a:stretch>
                  </pic:blipFill>
                  <pic:spPr>
                    <a:xfrm>
                      <a:off x="0" y="0"/>
                      <a:ext cx="2833370" cy="2125345"/>
                    </a:xfrm>
                    <a:prstGeom prst="rect">
                      <a:avLst/>
                    </a:prstGeom>
                    <a:noFill/>
                    <a:ln>
                      <a:noFill/>
                    </a:ln>
                  </pic:spPr>
                </pic:pic>
              </a:graphicData>
            </a:graphic>
          </wp:inline>
        </w:drawing>
      </w:r>
      <w:r>
        <w:rPr>
          <w:rFonts w:hint="default" w:ascii="Times New Roman" w:hAnsi="Times New Roman" w:eastAsia="宋体" w:cs="Times New Roman"/>
          <w:color w:val="auto"/>
          <w:highlight w:val="none"/>
        </w:rPr>
        <w:drawing>
          <wp:inline distT="0" distB="0" distL="114300" distR="114300">
            <wp:extent cx="2880360" cy="2175510"/>
            <wp:effectExtent l="0" t="0" r="15240" b="15240"/>
            <wp:docPr id="197"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75"/>
                    <pic:cNvPicPr>
                      <a:picLocks noChangeAspect="1"/>
                    </pic:cNvPicPr>
                  </pic:nvPicPr>
                  <pic:blipFill>
                    <a:blip r:embed="rId43"/>
                    <a:stretch>
                      <a:fillRect/>
                    </a:stretch>
                  </pic:blipFill>
                  <pic:spPr>
                    <a:xfrm>
                      <a:off x="0" y="0"/>
                      <a:ext cx="2880360" cy="2175510"/>
                    </a:xfrm>
                    <a:prstGeom prst="rect">
                      <a:avLst/>
                    </a:prstGeom>
                    <a:noFill/>
                    <a:ln>
                      <a:noFill/>
                    </a:ln>
                  </pic:spPr>
                </pic:pic>
              </a:graphicData>
            </a:graphic>
          </wp:inline>
        </w:drawing>
      </w:r>
    </w:p>
    <w:p>
      <w:pPr>
        <w:spacing w:line="360" w:lineRule="auto"/>
        <w:jc w:val="center"/>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图</w:t>
      </w:r>
      <w:r>
        <w:rPr>
          <w:rFonts w:hint="default" w:ascii="Times New Roman" w:hAnsi="Times New Roman" w:eastAsia="宋体" w:cs="Times New Roman"/>
          <w:b/>
          <w:color w:val="auto"/>
          <w:sz w:val="24"/>
          <w:highlight w:val="none"/>
        </w:rPr>
        <w:t>2</w:t>
      </w:r>
      <w:r>
        <w:rPr>
          <w:rFonts w:hint="default" w:ascii="Times New Roman" w:hAnsi="Times New Roman" w:eastAsia="宋体" w:cs="Times New Roman"/>
          <w:b/>
          <w:color w:val="auto"/>
          <w:sz w:val="24"/>
          <w:highlight w:val="none"/>
          <w:lang w:val="en-US" w:eastAsia="zh-CN"/>
        </w:rPr>
        <w:t>.</w:t>
      </w:r>
      <w:r>
        <w:rPr>
          <w:rFonts w:hint="eastAsia" w:cs="Times New Roman"/>
          <w:b/>
          <w:color w:val="auto"/>
          <w:sz w:val="24"/>
          <w:highlight w:val="none"/>
          <w:lang w:val="en-US" w:eastAsia="zh-CN"/>
        </w:rPr>
        <w:t>3</w:t>
      </w:r>
      <w:r>
        <w:rPr>
          <w:rFonts w:hint="default" w:ascii="Times New Roman" w:hAnsi="Times New Roman" w:eastAsia="宋体" w:cs="Times New Roman"/>
          <w:b/>
          <w:color w:val="auto"/>
          <w:sz w:val="24"/>
          <w:highlight w:val="none"/>
        </w:rPr>
        <w:t>-</w:t>
      </w:r>
      <w:r>
        <w:rPr>
          <w:rFonts w:hint="default"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rPr>
        <w:t>排岩场</w:t>
      </w:r>
    </w:p>
    <w:p>
      <w:pPr>
        <w:spacing w:line="360" w:lineRule="auto"/>
        <w:contextualSpacing/>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（4）运输道路对土地资源的破坏</w:t>
      </w:r>
    </w:p>
    <w:p>
      <w:pPr>
        <w:spacing w:line="360" w:lineRule="auto"/>
        <w:ind w:firstLine="480" w:firstLineChars="200"/>
        <w:contextualSpacing/>
        <w:rPr>
          <w:rFonts w:hint="default" w:ascii="Times New Roman" w:hAnsi="Times New Roman" w:eastAsia="宋体" w:cs="Times New Roman"/>
          <w:bCs/>
          <w:color w:val="auto"/>
          <w:sz w:val="24"/>
          <w:highlight w:val="none"/>
          <w:lang w:val="vi-VN" w:eastAsia="zh-CN"/>
        </w:rPr>
      </w:pPr>
      <w:r>
        <w:rPr>
          <w:rFonts w:hint="default" w:ascii="Times New Roman" w:hAnsi="Times New Roman" w:eastAsia="宋体" w:cs="Times New Roman"/>
          <w:bCs/>
          <w:color w:val="auto"/>
          <w:sz w:val="24"/>
          <w:highlight w:val="none"/>
          <w:lang w:val="en-US" w:eastAsia="zh-CN"/>
        </w:rPr>
        <w:t>矿区</w:t>
      </w:r>
      <w:r>
        <w:rPr>
          <w:rFonts w:hint="default" w:ascii="Times New Roman" w:hAnsi="Times New Roman" w:eastAsia="宋体" w:cs="Times New Roman"/>
          <w:bCs/>
          <w:color w:val="auto"/>
          <w:sz w:val="24"/>
          <w:highlight w:val="none"/>
          <w:lang w:val="vi-VN"/>
        </w:rPr>
        <w:t>内现有</w:t>
      </w:r>
      <w:r>
        <w:rPr>
          <w:rFonts w:hint="default" w:ascii="Times New Roman" w:hAnsi="Times New Roman" w:eastAsia="宋体" w:cs="Times New Roman"/>
          <w:bCs/>
          <w:color w:val="auto"/>
          <w:sz w:val="24"/>
          <w:highlight w:val="none"/>
        </w:rPr>
        <w:t>1条</w:t>
      </w:r>
      <w:r>
        <w:rPr>
          <w:rFonts w:hint="default" w:ascii="Times New Roman" w:hAnsi="Times New Roman" w:eastAsia="宋体" w:cs="Times New Roman"/>
          <w:bCs/>
          <w:color w:val="auto"/>
          <w:sz w:val="24"/>
          <w:highlight w:val="none"/>
          <w:lang w:val="vi-VN"/>
        </w:rPr>
        <w:t>运输道路，</w:t>
      </w:r>
      <w:r>
        <w:rPr>
          <w:rFonts w:hint="default" w:ascii="Times New Roman" w:hAnsi="Times New Roman" w:eastAsia="宋体" w:cs="Times New Roman"/>
          <w:bCs/>
          <w:color w:val="auto"/>
          <w:sz w:val="24"/>
          <w:highlight w:val="none"/>
        </w:rPr>
        <w:t>路面宽3-5m，</w:t>
      </w:r>
      <w:r>
        <w:rPr>
          <w:rFonts w:hint="default" w:ascii="Times New Roman" w:hAnsi="Times New Roman" w:eastAsia="宋体" w:cs="Times New Roman"/>
          <w:bCs/>
          <w:color w:val="auto"/>
          <w:sz w:val="24"/>
          <w:highlight w:val="none"/>
          <w:lang w:val="vi-VN"/>
        </w:rPr>
        <w:t>破坏土地的方式为压占破坏，破坏土地面积为</w:t>
      </w:r>
      <w:r>
        <w:rPr>
          <w:rFonts w:hint="default" w:ascii="Times New Roman" w:hAnsi="Times New Roman" w:eastAsia="宋体" w:cs="Times New Roman"/>
          <w:bCs/>
          <w:color w:val="auto"/>
          <w:sz w:val="24"/>
          <w:highlight w:val="none"/>
        </w:rPr>
        <w:t>1.7439hm²，土地</w:t>
      </w:r>
      <w:r>
        <w:rPr>
          <w:rFonts w:hint="default" w:ascii="Times New Roman" w:hAnsi="Times New Roman" w:eastAsia="宋体" w:cs="Times New Roman"/>
          <w:bCs/>
          <w:color w:val="auto"/>
          <w:sz w:val="24"/>
          <w:highlight w:val="none"/>
          <w:lang w:val="vi-VN"/>
        </w:rPr>
        <w:t>类型为有林地、采矿用地、裸地、其他草地</w:t>
      </w:r>
      <w:r>
        <w:rPr>
          <w:rFonts w:hint="default" w:ascii="Times New Roman" w:hAnsi="Times New Roman" w:eastAsia="宋体" w:cs="Times New Roman"/>
          <w:bCs/>
          <w:color w:val="auto"/>
          <w:sz w:val="24"/>
          <w:highlight w:val="none"/>
          <w:lang w:val="vi-VN" w:eastAsia="zh-CN"/>
        </w:rPr>
        <w:t>。</w:t>
      </w:r>
    </w:p>
    <w:p>
      <w:pPr>
        <w:spacing w:line="360" w:lineRule="auto"/>
        <w:ind w:left="0" w:leftChars="0" w:firstLine="0" w:firstLineChars="0"/>
        <w:rPr>
          <w:rFonts w:hint="default" w:ascii="Times New Roman" w:hAnsi="Times New Roman" w:eastAsia="宋体" w:cs="Times New Roman"/>
          <w:bCs/>
          <w:color w:val="auto"/>
          <w:sz w:val="24"/>
          <w:highlight w:val="none"/>
          <w:lang w:val="vi-VN"/>
        </w:rPr>
      </w:pPr>
      <w:r>
        <w:rPr>
          <w:rFonts w:hint="default" w:ascii="Times New Roman" w:hAnsi="Times New Roman" w:eastAsia="宋体" w:cs="Times New Roman"/>
          <w:bCs/>
          <w:color w:val="auto"/>
          <w:sz w:val="24"/>
          <w:highlight w:val="none"/>
          <w:lang w:val="vi-VN"/>
        </w:rPr>
        <w:drawing>
          <wp:inline distT="0" distB="0" distL="114300" distR="114300">
            <wp:extent cx="2840355" cy="2130425"/>
            <wp:effectExtent l="0" t="0" r="17145" b="3175"/>
            <wp:docPr id="175" name="图片 63" descr="DSC0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63" descr="DSC00038"/>
                    <pic:cNvPicPr>
                      <a:picLocks noChangeAspect="1"/>
                    </pic:cNvPicPr>
                  </pic:nvPicPr>
                  <pic:blipFill>
                    <a:blip r:embed="rId44"/>
                    <a:stretch>
                      <a:fillRect/>
                    </a:stretch>
                  </pic:blipFill>
                  <pic:spPr>
                    <a:xfrm>
                      <a:off x="0" y="0"/>
                      <a:ext cx="2840355" cy="2130425"/>
                    </a:xfrm>
                    <a:prstGeom prst="rect">
                      <a:avLst/>
                    </a:prstGeom>
                    <a:noFill/>
                    <a:ln>
                      <a:noFill/>
                    </a:ln>
                  </pic:spPr>
                </pic:pic>
              </a:graphicData>
            </a:graphic>
          </wp:inline>
        </w:drawing>
      </w:r>
      <w:r>
        <w:rPr>
          <w:rFonts w:hint="default" w:ascii="Times New Roman" w:hAnsi="Times New Roman" w:eastAsia="宋体" w:cs="Times New Roman"/>
          <w:color w:val="auto"/>
          <w:highlight w:val="none"/>
        </w:rPr>
        <w:drawing>
          <wp:inline distT="0" distB="0" distL="114300" distR="114300">
            <wp:extent cx="2879725" cy="2148205"/>
            <wp:effectExtent l="0" t="0" r="15875" b="4445"/>
            <wp:docPr id="199" name="图片 4" descr="微信图片_2021043010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 descr="微信图片_20210430103621"/>
                    <pic:cNvPicPr>
                      <a:picLocks noChangeAspect="1"/>
                    </pic:cNvPicPr>
                  </pic:nvPicPr>
                  <pic:blipFill>
                    <a:blip r:embed="rId45"/>
                    <a:stretch>
                      <a:fillRect/>
                    </a:stretch>
                  </pic:blipFill>
                  <pic:spPr>
                    <a:xfrm>
                      <a:off x="0" y="0"/>
                      <a:ext cx="2879725" cy="2148205"/>
                    </a:xfrm>
                    <a:prstGeom prst="rect">
                      <a:avLst/>
                    </a:prstGeom>
                    <a:noFill/>
                    <a:ln>
                      <a:noFill/>
                    </a:ln>
                  </pic:spPr>
                </pic:pic>
              </a:graphicData>
            </a:graphic>
          </wp:inline>
        </w:drawing>
      </w:r>
    </w:p>
    <w:p>
      <w:pPr>
        <w:spacing w:line="360" w:lineRule="auto"/>
        <w:ind w:firstLine="3253" w:firstLineChars="135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lang w:val="en-US" w:eastAsia="zh-CN"/>
        </w:rPr>
        <w:t>图</w:t>
      </w:r>
      <w:r>
        <w:rPr>
          <w:rFonts w:hint="default" w:ascii="Times New Roman" w:hAnsi="Times New Roman" w:eastAsia="宋体" w:cs="Times New Roman"/>
          <w:b/>
          <w:color w:val="auto"/>
          <w:sz w:val="24"/>
          <w:highlight w:val="none"/>
        </w:rPr>
        <w:t>2</w:t>
      </w:r>
      <w:r>
        <w:rPr>
          <w:rFonts w:hint="default" w:ascii="Times New Roman" w:hAnsi="Times New Roman" w:eastAsia="宋体" w:cs="Times New Roman"/>
          <w:b/>
          <w:color w:val="auto"/>
          <w:sz w:val="24"/>
          <w:highlight w:val="none"/>
          <w:lang w:val="en-US" w:eastAsia="zh-CN"/>
        </w:rPr>
        <w:t>.</w:t>
      </w:r>
      <w:r>
        <w:rPr>
          <w:rFonts w:hint="eastAsia" w:cs="Times New Roman"/>
          <w:b/>
          <w:color w:val="auto"/>
          <w:sz w:val="24"/>
          <w:highlight w:val="none"/>
          <w:lang w:val="en-US" w:eastAsia="zh-CN"/>
        </w:rPr>
        <w:t>3</w:t>
      </w:r>
      <w:r>
        <w:rPr>
          <w:rFonts w:hint="default" w:ascii="Times New Roman" w:hAnsi="Times New Roman" w:eastAsia="宋体" w:cs="Times New Roman"/>
          <w:b/>
          <w:color w:val="auto"/>
          <w:sz w:val="24"/>
          <w:highlight w:val="none"/>
        </w:rPr>
        <w:t>-</w:t>
      </w:r>
      <w:r>
        <w:rPr>
          <w:rFonts w:hint="default"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rPr>
        <w:t>运输道路</w:t>
      </w:r>
    </w:p>
    <w:p>
      <w:pPr>
        <w:spacing w:line="360" w:lineRule="auto"/>
        <w:ind w:firstLine="480" w:firstLineChars="200"/>
        <w:rPr>
          <w:rFonts w:hint="default" w:ascii="Times New Roman" w:hAnsi="Times New Roman" w:eastAsia="宋体" w:cs="Times New Roman"/>
          <w:bCs/>
          <w:color w:val="auto"/>
          <w:sz w:val="24"/>
          <w:highlight w:val="none"/>
          <w:lang w:val="vi-VN"/>
        </w:rPr>
      </w:pPr>
      <w:r>
        <w:rPr>
          <w:rFonts w:hint="default" w:ascii="Times New Roman" w:hAnsi="Times New Roman" w:eastAsia="宋体" w:cs="Times New Roman"/>
          <w:bCs/>
          <w:color w:val="auto"/>
          <w:sz w:val="24"/>
          <w:highlight w:val="none"/>
          <w:lang w:val="vi-VN"/>
        </w:rPr>
        <w:t>（</w:t>
      </w:r>
      <w:r>
        <w:rPr>
          <w:rFonts w:hint="default" w:ascii="Times New Roman" w:hAnsi="Times New Roman" w:eastAsia="宋体" w:cs="Times New Roman"/>
          <w:bCs/>
          <w:color w:val="auto"/>
          <w:sz w:val="24"/>
          <w:highlight w:val="none"/>
        </w:rPr>
        <w:t>5</w:t>
      </w:r>
      <w:r>
        <w:rPr>
          <w:rFonts w:hint="default" w:ascii="Times New Roman" w:hAnsi="Times New Roman" w:eastAsia="宋体" w:cs="Times New Roman"/>
          <w:bCs/>
          <w:color w:val="auto"/>
          <w:sz w:val="24"/>
          <w:highlight w:val="none"/>
          <w:lang w:val="vi-VN"/>
        </w:rPr>
        <w:t>）现状损毁土地小结</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lang w:val="vi-VN"/>
        </w:rPr>
        <w:t>经现场调查，</w:t>
      </w:r>
      <w:r>
        <w:rPr>
          <w:rFonts w:hint="default" w:ascii="Times New Roman" w:hAnsi="Times New Roman" w:eastAsia="宋体" w:cs="Times New Roman"/>
          <w:bCs/>
          <w:color w:val="auto"/>
          <w:sz w:val="24"/>
          <w:highlight w:val="none"/>
        </w:rPr>
        <w:t>矿区内开采活动对土地资源的影响和破坏分为两部分，一是以井口、露天采坑开拓对土地的挖损破坏，二是以排岩场、运输道路等形成的对土地的压占破坏。经统计，各单元破坏土地面积合计为3.8101hm²，其中，以挖损形式破坏的土地面积1.1102hm²，以压占破坏的土地面积2.6999hm²。破坏的土地类型为有林地、采矿用地、裸地、其他草地，</w:t>
      </w:r>
      <w:r>
        <w:rPr>
          <w:rFonts w:hint="default" w:ascii="Times New Roman" w:hAnsi="Times New Roman" w:eastAsia="宋体" w:cs="Times New Roman"/>
          <w:color w:val="auto"/>
          <w:sz w:val="24"/>
          <w:highlight w:val="none"/>
        </w:rPr>
        <w:t>破坏林地及草地面积2.6044hm²</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color w:val="auto"/>
          <w:sz w:val="24"/>
          <w:highlight w:val="none"/>
        </w:rPr>
        <w:t>详见表</w:t>
      </w:r>
      <w:r>
        <w:rPr>
          <w:rFonts w:hint="default" w:ascii="Times New Roman" w:hAnsi="Times New Roman" w:eastAsia="宋体" w:cs="Times New Roman"/>
          <w:color w:val="auto"/>
          <w:sz w:val="24"/>
          <w:highlight w:val="none"/>
          <w:lang w:val="en-US" w:eastAsia="zh-CN"/>
        </w:rPr>
        <w:t>2.</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w:t>
      </w:r>
      <w:r>
        <w:rPr>
          <w:rFonts w:hint="eastAsia" w:cs="Times New Roman"/>
          <w:color w:val="auto"/>
          <w:sz w:val="24"/>
          <w:highlight w:val="none"/>
          <w:lang w:val="en-US" w:eastAsia="zh-CN"/>
        </w:rPr>
        <w:t>1</w:t>
      </w:r>
      <w:r>
        <w:rPr>
          <w:rFonts w:hint="default" w:ascii="Times New Roman" w:hAnsi="Times New Roman" w:eastAsia="宋体" w:cs="Times New Roman"/>
          <w:color w:val="auto"/>
          <w:sz w:val="24"/>
          <w:highlight w:val="none"/>
          <w:lang w:val="en-US" w:eastAsia="zh-CN"/>
        </w:rPr>
        <w:t>及图2.</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rPr>
        <w:t>。</w:t>
      </w:r>
    </w:p>
    <w:p>
      <w:pPr>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2.</w:t>
      </w:r>
      <w:r>
        <w:rPr>
          <w:rFonts w:hint="eastAsia"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 xml:space="preserve"> 现状破坏土地资源及类型统计结果表</w:t>
      </w:r>
    </w:p>
    <w:tbl>
      <w:tblPr>
        <w:tblStyle w:val="45"/>
        <w:tblW w:w="8809"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30"/>
        <w:gridCol w:w="1470"/>
        <w:gridCol w:w="690"/>
        <w:gridCol w:w="1026"/>
        <w:gridCol w:w="1398"/>
        <w:gridCol w:w="850"/>
        <w:gridCol w:w="1185"/>
        <w:gridCol w:w="156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vMerge w:val="restart"/>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序号</w:t>
            </w:r>
          </w:p>
        </w:tc>
        <w:tc>
          <w:tcPr>
            <w:tcW w:w="1470" w:type="dxa"/>
            <w:vMerge w:val="restart"/>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破坏单元</w:t>
            </w:r>
          </w:p>
        </w:tc>
        <w:tc>
          <w:tcPr>
            <w:tcW w:w="690" w:type="dxa"/>
            <w:vMerge w:val="restart"/>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破坏</w:t>
            </w:r>
          </w:p>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方式</w:t>
            </w:r>
          </w:p>
        </w:tc>
        <w:tc>
          <w:tcPr>
            <w:tcW w:w="4459" w:type="dxa"/>
            <w:gridSpan w:val="4"/>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破坏土地类型（hm</w:t>
            </w:r>
            <w:r>
              <w:rPr>
                <w:rFonts w:hint="default" w:ascii="Times New Roman" w:hAnsi="Times New Roman" w:eastAsia="宋体" w:cs="Times New Roman"/>
                <w:color w:val="auto"/>
                <w:kern w:val="0"/>
                <w:highlight w:val="none"/>
                <w:vertAlign w:val="superscript"/>
                <w:lang w:val="en-US" w:eastAsia="zh-CN"/>
              </w:rPr>
              <w:t>2</w:t>
            </w:r>
            <w:r>
              <w:rPr>
                <w:rFonts w:hint="default" w:ascii="Times New Roman" w:hAnsi="Times New Roman" w:eastAsia="宋体" w:cs="Times New Roman"/>
                <w:color w:val="auto"/>
                <w:kern w:val="0"/>
                <w:highlight w:val="none"/>
              </w:rPr>
              <w:t>）</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合计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vMerge w:val="continue"/>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p>
        </w:tc>
        <w:tc>
          <w:tcPr>
            <w:tcW w:w="1470" w:type="dxa"/>
            <w:vMerge w:val="continue"/>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p>
        </w:tc>
        <w:tc>
          <w:tcPr>
            <w:tcW w:w="690" w:type="dxa"/>
            <w:vMerge w:val="continue"/>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lang w:val="vi-VN"/>
              </w:rPr>
              <w:t>有林地</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lang w:val="vi-VN"/>
              </w:rPr>
              <w:t>采矿用地</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裸地</w:t>
            </w:r>
          </w:p>
        </w:tc>
        <w:tc>
          <w:tcPr>
            <w:tcW w:w="1185" w:type="dxa"/>
            <w:tcBorders>
              <w:tl2br w:val="nil"/>
              <w:tr2bl w:val="nil"/>
            </w:tcBorders>
            <w:noWrap w:val="0"/>
            <w:vAlign w:val="top"/>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其他草地</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（hm</w:t>
            </w:r>
            <w:r>
              <w:rPr>
                <w:rFonts w:hint="default" w:ascii="Times New Roman" w:hAnsi="Times New Roman" w:eastAsia="宋体" w:cs="Times New Roman"/>
                <w:color w:val="auto"/>
                <w:kern w:val="0"/>
                <w:highlight w:val="none"/>
                <w:vertAlign w:val="superscript"/>
                <w:lang w:val="en-US" w:eastAsia="zh-CN"/>
              </w:rPr>
              <w:t>2</w:t>
            </w:r>
            <w:r>
              <w:rPr>
                <w:rFonts w:hint="default" w:ascii="Times New Roman" w:hAnsi="Times New Roman" w:eastAsia="宋体" w:cs="Times New Roman"/>
                <w:color w:val="auto"/>
                <w:kern w:val="0"/>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露天采坑1</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挖损</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0.2426</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0.2426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露天采坑2</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挖损</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0.0270</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0.6521</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0.6791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露天采坑3</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挖损</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0.1197</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0.1197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露天采坑4</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挖损</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0.0543</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0.0543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5</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井口</w:t>
            </w:r>
            <w:r>
              <w:rPr>
                <w:rFonts w:hint="default" w:ascii="Times New Roman" w:hAnsi="Times New Roman" w:eastAsia="宋体" w:cs="Times New Roman"/>
                <w:color w:val="auto"/>
                <w:kern w:val="0"/>
                <w:highlight w:val="none"/>
                <w:lang w:val="en-US" w:eastAsia="zh-CN"/>
              </w:rPr>
              <w:t>2</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挖损</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0.0145</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0.0145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6</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排岩场1</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压占</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0.0223</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0.2202</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0.2425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7</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排岩场2</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压占</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0.1181</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0.1181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8</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排岩场3</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压占</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0.2289</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0.2289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9</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排岩场4</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压占</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0.2836</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0.2836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3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10</w:t>
            </w:r>
          </w:p>
        </w:tc>
        <w:tc>
          <w:tcPr>
            <w:tcW w:w="147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lang w:val="vi-VN"/>
              </w:rPr>
              <w:t>运输道路</w:t>
            </w:r>
            <w:r>
              <w:rPr>
                <w:rFonts w:hint="default" w:ascii="Times New Roman" w:hAnsi="Times New Roman" w:eastAsia="宋体" w:cs="Times New Roman"/>
                <w:color w:val="auto"/>
                <w:kern w:val="0"/>
                <w:highlight w:val="none"/>
              </w:rPr>
              <w:t>1</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lang w:val="vi-VN"/>
              </w:rPr>
              <w:t>压占</w:t>
            </w: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1.6586</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0.0473</w:t>
            </w:r>
          </w:p>
        </w:tc>
        <w:tc>
          <w:tcPr>
            <w:tcW w:w="850" w:type="dxa"/>
            <w:tcBorders>
              <w:tl2br w:val="nil"/>
              <w:tr2bl w:val="nil"/>
            </w:tcBorders>
            <w:noWrap w:val="0"/>
            <w:vAlign w:val="top"/>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0.0435</w:t>
            </w:r>
          </w:p>
        </w:tc>
        <w:tc>
          <w:tcPr>
            <w:tcW w:w="1185" w:type="dxa"/>
            <w:tcBorders>
              <w:tl2br w:val="nil"/>
              <w:tr2bl w:val="nil"/>
            </w:tcBorders>
            <w:noWrap w:val="0"/>
            <w:vAlign w:val="top"/>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0.0774</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1.8268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100" w:type="dxa"/>
            <w:gridSpan w:val="2"/>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合计</w:t>
            </w:r>
          </w:p>
        </w:tc>
        <w:tc>
          <w:tcPr>
            <w:tcW w:w="69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p>
        </w:tc>
        <w:tc>
          <w:tcPr>
            <w:tcW w:w="1026"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2.5270</w:t>
            </w:r>
          </w:p>
        </w:tc>
        <w:tc>
          <w:tcPr>
            <w:tcW w:w="1398"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1.1622</w:t>
            </w:r>
          </w:p>
        </w:tc>
        <w:tc>
          <w:tcPr>
            <w:tcW w:w="85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0.0435</w:t>
            </w:r>
          </w:p>
        </w:tc>
        <w:tc>
          <w:tcPr>
            <w:tcW w:w="1185"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0.0774</w:t>
            </w:r>
          </w:p>
        </w:tc>
        <w:tc>
          <w:tcPr>
            <w:tcW w:w="1560" w:type="dxa"/>
            <w:tcBorders>
              <w:tl2br w:val="nil"/>
              <w:tr2bl w:val="nil"/>
            </w:tcBorders>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3.8101</w:t>
            </w:r>
          </w:p>
        </w:tc>
      </w:tr>
    </w:tbl>
    <w:p>
      <w:pPr>
        <w:spacing w:line="360" w:lineRule="auto"/>
        <w:ind w:left="0" w:leftChars="0" w:firstLine="0" w:firstLineChars="0"/>
        <w:rPr>
          <w:color w:val="auto"/>
        </w:rPr>
      </w:pPr>
      <w:r>
        <w:rPr>
          <w:color w:val="auto"/>
        </w:rPr>
        <w:drawing>
          <wp:inline distT="0" distB="0" distL="114300" distR="114300">
            <wp:extent cx="5757545" cy="5398135"/>
            <wp:effectExtent l="0" t="0" r="14605" b="12065"/>
            <wp:docPr id="9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9"/>
                    <pic:cNvPicPr>
                      <a:picLocks noChangeAspect="1"/>
                    </pic:cNvPicPr>
                  </pic:nvPicPr>
                  <pic:blipFill>
                    <a:blip r:embed="rId46"/>
                    <a:stretch>
                      <a:fillRect/>
                    </a:stretch>
                  </pic:blipFill>
                  <pic:spPr>
                    <a:xfrm>
                      <a:off x="0" y="0"/>
                      <a:ext cx="5757545" cy="5398135"/>
                    </a:xfrm>
                    <a:prstGeom prst="rect">
                      <a:avLst/>
                    </a:prstGeom>
                    <a:noFill/>
                    <a:ln>
                      <a:noFill/>
                    </a:ln>
                  </pic:spPr>
                </pic:pic>
              </a:graphicData>
            </a:graphic>
          </wp:inline>
        </w:drawing>
      </w:r>
    </w:p>
    <w:p>
      <w:pPr>
        <w:spacing w:line="360" w:lineRule="auto"/>
        <w:ind w:left="0" w:lef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图2.</w:t>
      </w:r>
      <w:r>
        <w:rPr>
          <w:rFonts w:hint="eastAsia" w:cs="Times New Roman"/>
          <w:b/>
          <w:bCs/>
          <w:color w:val="auto"/>
          <w:highlight w:val="none"/>
          <w:lang w:val="en-US" w:eastAsia="zh-CN"/>
        </w:rPr>
        <w:t>3</w:t>
      </w:r>
      <w:r>
        <w:rPr>
          <w:rFonts w:hint="default" w:ascii="Times New Roman" w:hAnsi="Times New Roman" w:eastAsia="宋体" w:cs="Times New Roman"/>
          <w:b/>
          <w:bCs/>
          <w:color w:val="auto"/>
          <w:highlight w:val="none"/>
          <w:lang w:val="en-US" w:eastAsia="zh-CN"/>
        </w:rPr>
        <w:t>-4 建设项目生态破坏现状图</w:t>
      </w:r>
    </w:p>
    <w:p>
      <w:pPr>
        <w:pStyle w:val="4"/>
        <w:bidi w:val="0"/>
        <w:rPr>
          <w:rFonts w:hint="default"/>
          <w:color w:val="auto"/>
        </w:rPr>
      </w:pPr>
      <w:bookmarkStart w:id="166" w:name="_Toc16210"/>
      <w:r>
        <w:rPr>
          <w:rFonts w:hint="default"/>
          <w:color w:val="auto"/>
        </w:rPr>
        <w:t>现</w:t>
      </w:r>
      <w:r>
        <w:rPr>
          <w:rFonts w:hint="default"/>
          <w:color w:val="auto"/>
          <w:lang w:val="en-US" w:eastAsia="zh-CN"/>
        </w:rPr>
        <w:t>有生态恢复</w:t>
      </w:r>
      <w:r>
        <w:rPr>
          <w:rFonts w:hint="default"/>
          <w:color w:val="auto"/>
        </w:rPr>
        <w:t>情况</w:t>
      </w:r>
      <w:bookmarkEnd w:id="166"/>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岫岩满族自治县苏子沟镇大何家堡子村钾长石矿为续建矿山，于2009年7月编制了《岫岩满族自治县苏子沟镇大何家堡子村钾长石矿矿山地质环境保护与恢复治理方案》，由于企业一直</w:t>
      </w:r>
      <w:r>
        <w:rPr>
          <w:rFonts w:hint="eastAsia" w:cs="Times New Roman"/>
          <w:color w:val="auto"/>
          <w:highlight w:val="none"/>
          <w:lang w:val="en-US" w:eastAsia="zh-CN"/>
        </w:rPr>
        <w:t>未生产</w:t>
      </w:r>
      <w:r>
        <w:rPr>
          <w:rFonts w:hint="default" w:ascii="Times New Roman" w:hAnsi="Times New Roman" w:eastAsia="宋体" w:cs="Times New Roman"/>
          <w:color w:val="auto"/>
          <w:highlight w:val="none"/>
        </w:rPr>
        <w:t>，该方案已过期。</w:t>
      </w:r>
      <w:r>
        <w:rPr>
          <w:rFonts w:hint="default" w:ascii="Times New Roman" w:hAnsi="Times New Roman" w:eastAsia="宋体" w:cs="Times New Roman"/>
          <w:snapToGrid w:val="0"/>
          <w:color w:val="auto"/>
          <w:sz w:val="24"/>
          <w:highlight w:val="none"/>
        </w:rPr>
        <w:t>根据《国土资源部办公厅关于做好矿山地质环境保护与土地复垦方案编报有关工作的通知》（国土资规[2016]21号）规定及要求，</w:t>
      </w:r>
      <w:r>
        <w:rPr>
          <w:rFonts w:hint="default" w:ascii="Times New Roman" w:hAnsi="Times New Roman" w:eastAsia="宋体" w:cs="Times New Roman"/>
          <w:color w:val="auto"/>
          <w:highlight w:val="none"/>
        </w:rPr>
        <w:t>矿山2021年4月</w:t>
      </w:r>
      <w:r>
        <w:rPr>
          <w:rFonts w:hint="default" w:ascii="Times New Roman" w:hAnsi="Times New Roman" w:eastAsia="宋体" w:cs="Times New Roman"/>
          <w:color w:val="auto"/>
          <w:highlight w:val="none"/>
          <w:lang w:val="en-US" w:eastAsia="zh-CN"/>
        </w:rPr>
        <w:t>委托</w:t>
      </w:r>
      <w:r>
        <w:rPr>
          <w:rFonts w:hint="default" w:ascii="Times New Roman" w:hAnsi="Times New Roman" w:eastAsia="宋体" w:cs="Times New Roman"/>
          <w:color w:val="auto"/>
          <w:sz w:val="24"/>
          <w:highlight w:val="none"/>
        </w:rPr>
        <w:t>岫岩满族自治县金源勘查有限公司</w:t>
      </w:r>
      <w:r>
        <w:rPr>
          <w:rFonts w:hint="default" w:ascii="Times New Roman" w:hAnsi="Times New Roman" w:eastAsia="宋体" w:cs="Times New Roman"/>
          <w:color w:val="auto"/>
          <w:highlight w:val="none"/>
        </w:rPr>
        <w:t>编制了《岫岩满族自治县苏子沟镇大何家堡村钾长石矿2021年度矿山地质环境保护与恢复治理工程实施方案》。</w:t>
      </w:r>
      <w:r>
        <w:rPr>
          <w:rFonts w:hint="default" w:ascii="Times New Roman" w:hAnsi="Times New Roman" w:eastAsia="宋体" w:cs="Times New Roman"/>
          <w:color w:val="auto"/>
          <w:highlight w:val="none"/>
          <w:lang w:val="en-US" w:eastAsia="zh-CN"/>
        </w:rPr>
        <w:t>矿山按照方案</w:t>
      </w:r>
      <w:r>
        <w:rPr>
          <w:rFonts w:hint="default" w:ascii="Times New Roman" w:hAnsi="Times New Roman" w:eastAsia="宋体" w:cs="Times New Roman"/>
          <w:color w:val="auto"/>
          <w:highlight w:val="none"/>
        </w:rPr>
        <w:t>对部分排岩场平台、排岩场边坡进行了植被恢复，同时修筑挡土墙与排水沟，合计完成施工平整石方388m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，平整土方259m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；客土1944m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；栽植刺槐3887株；撒播草籽0.3887hm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；砌筑挡土墙，浆砌筑工程量171m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。挖方工程量87m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，U型槽86m。道路修缮896m。共计恢复面积0.7528hm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（合11.29亩）。治理工程投入费用共计17.8521万元。竣工工程量详见下表</w:t>
      </w:r>
      <w:r>
        <w:rPr>
          <w:rFonts w:hint="default"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4</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，竣工后经专家验收合格</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矿山地质环境治理恢复验收合格证见附件3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pPr>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2.</w:t>
      </w:r>
      <w:r>
        <w:rPr>
          <w:rFonts w:hint="eastAsia"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 xml:space="preserve">  岫岩满族自治县苏子沟镇大何家堡村钾长石矿竣工工程量统计表</w:t>
      </w:r>
    </w:p>
    <w:tbl>
      <w:tblPr>
        <w:tblStyle w:val="45"/>
        <w:tblW w:w="4998" w:type="pct"/>
        <w:jc w:val="center"/>
        <w:tblLayout w:type="autofit"/>
        <w:tblCellMar>
          <w:top w:w="0" w:type="dxa"/>
          <w:left w:w="108" w:type="dxa"/>
          <w:bottom w:w="0" w:type="dxa"/>
          <w:right w:w="108" w:type="dxa"/>
        </w:tblCellMar>
      </w:tblPr>
      <w:tblGrid>
        <w:gridCol w:w="1307"/>
        <w:gridCol w:w="1532"/>
        <w:gridCol w:w="2383"/>
        <w:gridCol w:w="11"/>
        <w:gridCol w:w="2025"/>
        <w:gridCol w:w="2025"/>
      </w:tblGrid>
      <w:tr>
        <w:tblPrEx>
          <w:tblCellMar>
            <w:top w:w="0" w:type="dxa"/>
            <w:left w:w="108" w:type="dxa"/>
            <w:bottom w:w="0" w:type="dxa"/>
            <w:right w:w="108" w:type="dxa"/>
          </w:tblCellMar>
        </w:tblPrEx>
        <w:trPr>
          <w:trHeight w:val="285" w:hRule="atLeast"/>
          <w:jc w:val="center"/>
        </w:trPr>
        <w:tc>
          <w:tcPr>
            <w:tcW w:w="704" w:type="pct"/>
            <w:tcBorders>
              <w:top w:val="single" w:color="auto" w:sz="12"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序号</w:t>
            </w:r>
          </w:p>
        </w:tc>
        <w:tc>
          <w:tcPr>
            <w:tcW w:w="2114" w:type="pct"/>
            <w:gridSpan w:val="3"/>
            <w:tcBorders>
              <w:top w:val="single" w:color="auto" w:sz="12"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分项工程</w:t>
            </w:r>
          </w:p>
        </w:tc>
        <w:tc>
          <w:tcPr>
            <w:tcW w:w="1090" w:type="pct"/>
            <w:tcBorders>
              <w:top w:val="single" w:color="auto" w:sz="12"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计算单位</w:t>
            </w:r>
          </w:p>
        </w:tc>
        <w:tc>
          <w:tcPr>
            <w:tcW w:w="1090" w:type="pct"/>
            <w:tcBorders>
              <w:top w:val="single" w:color="auto" w:sz="12"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工作量</w:t>
            </w:r>
          </w:p>
        </w:tc>
      </w:tr>
      <w:tr>
        <w:tblPrEx>
          <w:tblCellMar>
            <w:top w:w="0" w:type="dxa"/>
            <w:left w:w="108" w:type="dxa"/>
            <w:bottom w:w="0" w:type="dxa"/>
            <w:right w:w="108" w:type="dxa"/>
          </w:tblCellMar>
        </w:tblPrEx>
        <w:trPr>
          <w:trHeight w:val="330"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平整石方</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3</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388</w:t>
            </w:r>
          </w:p>
        </w:tc>
      </w:tr>
      <w:tr>
        <w:tblPrEx>
          <w:tblCellMar>
            <w:top w:w="0" w:type="dxa"/>
            <w:left w:w="108" w:type="dxa"/>
            <w:bottom w:w="0" w:type="dxa"/>
            <w:right w:w="108" w:type="dxa"/>
          </w:tblCellMar>
        </w:tblPrEx>
        <w:trPr>
          <w:trHeight w:val="330"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平整土方</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3</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259</w:t>
            </w:r>
          </w:p>
        </w:tc>
      </w:tr>
      <w:tr>
        <w:tblPrEx>
          <w:tblCellMar>
            <w:top w:w="0" w:type="dxa"/>
            <w:left w:w="108" w:type="dxa"/>
            <w:bottom w:w="0" w:type="dxa"/>
            <w:right w:w="108" w:type="dxa"/>
          </w:tblCellMar>
        </w:tblPrEx>
        <w:trPr>
          <w:trHeight w:val="330" w:hRule="atLeast"/>
          <w:jc w:val="center"/>
        </w:trPr>
        <w:tc>
          <w:tcPr>
            <w:tcW w:w="704" w:type="pct"/>
            <w:vMerge w:val="restar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w:t>
            </w:r>
          </w:p>
        </w:tc>
        <w:tc>
          <w:tcPr>
            <w:tcW w:w="825"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挡土墙</w:t>
            </w:r>
          </w:p>
        </w:tc>
        <w:tc>
          <w:tcPr>
            <w:tcW w:w="1289"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挡土墙开挖</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top"/>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3</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52</w:t>
            </w:r>
          </w:p>
        </w:tc>
      </w:tr>
      <w:tr>
        <w:tblPrEx>
          <w:tblCellMar>
            <w:top w:w="0" w:type="dxa"/>
            <w:left w:w="108" w:type="dxa"/>
            <w:bottom w:w="0" w:type="dxa"/>
            <w:right w:w="108" w:type="dxa"/>
          </w:tblCellMar>
        </w:tblPrEx>
        <w:trPr>
          <w:trHeight w:val="330" w:hRule="atLeast"/>
          <w:jc w:val="center"/>
        </w:trPr>
        <w:tc>
          <w:tcPr>
            <w:tcW w:w="704" w:type="pct"/>
            <w:vMerge w:val="continue"/>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p>
        </w:tc>
        <w:tc>
          <w:tcPr>
            <w:tcW w:w="82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p>
        </w:tc>
        <w:tc>
          <w:tcPr>
            <w:tcW w:w="1289"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挡土墙砌筑</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top"/>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3</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171</w:t>
            </w:r>
          </w:p>
        </w:tc>
      </w:tr>
      <w:tr>
        <w:tblPrEx>
          <w:tblCellMar>
            <w:top w:w="0" w:type="dxa"/>
            <w:left w:w="108" w:type="dxa"/>
            <w:bottom w:w="0" w:type="dxa"/>
            <w:right w:w="108" w:type="dxa"/>
          </w:tblCellMar>
        </w:tblPrEx>
        <w:trPr>
          <w:trHeight w:val="330" w:hRule="atLeast"/>
          <w:jc w:val="center"/>
        </w:trPr>
        <w:tc>
          <w:tcPr>
            <w:tcW w:w="704" w:type="pct"/>
            <w:vMerge w:val="restar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w:t>
            </w:r>
          </w:p>
        </w:tc>
        <w:tc>
          <w:tcPr>
            <w:tcW w:w="825"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排水沟</w:t>
            </w:r>
          </w:p>
        </w:tc>
        <w:tc>
          <w:tcPr>
            <w:tcW w:w="128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排水沟开挖</w:t>
            </w:r>
          </w:p>
        </w:tc>
        <w:tc>
          <w:tcPr>
            <w:tcW w:w="1095"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2</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35</w:t>
            </w:r>
          </w:p>
        </w:tc>
      </w:tr>
      <w:tr>
        <w:tblPrEx>
          <w:tblCellMar>
            <w:top w:w="0" w:type="dxa"/>
            <w:left w:w="108" w:type="dxa"/>
            <w:bottom w:w="0" w:type="dxa"/>
            <w:right w:w="108" w:type="dxa"/>
          </w:tblCellMar>
        </w:tblPrEx>
        <w:trPr>
          <w:trHeight w:val="330" w:hRule="atLeast"/>
          <w:jc w:val="center"/>
        </w:trPr>
        <w:tc>
          <w:tcPr>
            <w:tcW w:w="704" w:type="pct"/>
            <w:vMerge w:val="continue"/>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p>
        </w:tc>
        <w:tc>
          <w:tcPr>
            <w:tcW w:w="825"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p>
        </w:tc>
        <w:tc>
          <w:tcPr>
            <w:tcW w:w="128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U型槽</w:t>
            </w:r>
          </w:p>
        </w:tc>
        <w:tc>
          <w:tcPr>
            <w:tcW w:w="1095" w:type="pct"/>
            <w:gridSpan w:val="2"/>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86</w:t>
            </w:r>
          </w:p>
        </w:tc>
      </w:tr>
      <w:tr>
        <w:tblPrEx>
          <w:tblCellMar>
            <w:top w:w="0" w:type="dxa"/>
            <w:left w:w="108" w:type="dxa"/>
            <w:bottom w:w="0" w:type="dxa"/>
            <w:right w:w="108" w:type="dxa"/>
          </w:tblCellMar>
        </w:tblPrEx>
        <w:trPr>
          <w:trHeight w:val="330"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5</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道路修缮</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2</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3641</w:t>
            </w:r>
          </w:p>
        </w:tc>
      </w:tr>
      <w:tr>
        <w:tblPrEx>
          <w:tblCellMar>
            <w:top w:w="0" w:type="dxa"/>
            <w:left w:w="108" w:type="dxa"/>
            <w:bottom w:w="0" w:type="dxa"/>
            <w:right w:w="108" w:type="dxa"/>
          </w:tblCellMar>
        </w:tblPrEx>
        <w:trPr>
          <w:trHeight w:val="285"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6</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客土购买</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3</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1944</w:t>
            </w:r>
          </w:p>
        </w:tc>
      </w:tr>
      <w:tr>
        <w:tblPrEx>
          <w:tblCellMar>
            <w:top w:w="0" w:type="dxa"/>
            <w:left w:w="108" w:type="dxa"/>
            <w:bottom w:w="0" w:type="dxa"/>
            <w:right w:w="108" w:type="dxa"/>
          </w:tblCellMar>
        </w:tblPrEx>
        <w:trPr>
          <w:trHeight w:val="285"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7</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覆土工程</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3</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1944</w:t>
            </w:r>
          </w:p>
        </w:tc>
      </w:tr>
      <w:tr>
        <w:tblPrEx>
          <w:tblCellMar>
            <w:top w:w="0" w:type="dxa"/>
            <w:left w:w="108" w:type="dxa"/>
            <w:bottom w:w="0" w:type="dxa"/>
            <w:right w:w="108" w:type="dxa"/>
          </w:tblCellMar>
        </w:tblPrEx>
        <w:trPr>
          <w:trHeight w:val="285"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8</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刺槐</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株</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3887</w:t>
            </w:r>
          </w:p>
        </w:tc>
      </w:tr>
      <w:tr>
        <w:tblPrEx>
          <w:tblCellMar>
            <w:top w:w="0" w:type="dxa"/>
            <w:left w:w="108" w:type="dxa"/>
            <w:bottom w:w="0" w:type="dxa"/>
            <w:right w:w="108" w:type="dxa"/>
          </w:tblCellMar>
        </w:tblPrEx>
        <w:trPr>
          <w:trHeight w:val="285"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9</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草籽</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hm</w:t>
            </w:r>
            <w:r>
              <w:rPr>
                <w:rFonts w:hint="default" w:ascii="Times New Roman" w:hAnsi="Times New Roman" w:eastAsia="宋体" w:cs="Times New Roman"/>
                <w:color w:val="auto"/>
                <w:kern w:val="0"/>
                <w:highlight w:val="none"/>
                <w:vertAlign w:val="superscript"/>
              </w:rPr>
              <w:t>2</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0.3887</w:t>
            </w:r>
          </w:p>
        </w:tc>
      </w:tr>
      <w:tr>
        <w:tblPrEx>
          <w:tblCellMar>
            <w:top w:w="0" w:type="dxa"/>
            <w:left w:w="108" w:type="dxa"/>
            <w:bottom w:w="0" w:type="dxa"/>
            <w:right w:w="108" w:type="dxa"/>
          </w:tblCellMar>
        </w:tblPrEx>
        <w:trPr>
          <w:trHeight w:val="285"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10</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灌溉工程</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m</w:t>
            </w:r>
            <w:r>
              <w:rPr>
                <w:rFonts w:hint="default" w:ascii="Times New Roman" w:hAnsi="Times New Roman" w:eastAsia="宋体" w:cs="Times New Roman"/>
                <w:color w:val="auto"/>
                <w:kern w:val="0"/>
                <w:highlight w:val="none"/>
                <w:vertAlign w:val="superscript"/>
              </w:rPr>
              <w:t>3</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76</w:t>
            </w:r>
          </w:p>
        </w:tc>
      </w:tr>
      <w:tr>
        <w:tblPrEx>
          <w:tblCellMar>
            <w:top w:w="0" w:type="dxa"/>
            <w:left w:w="108" w:type="dxa"/>
            <w:bottom w:w="0" w:type="dxa"/>
            <w:right w:w="108" w:type="dxa"/>
          </w:tblCellMar>
        </w:tblPrEx>
        <w:trPr>
          <w:trHeight w:val="285"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11</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监测</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个×年</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4</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rPr>
              <w:t>1</w:t>
            </w:r>
          </w:p>
        </w:tc>
      </w:tr>
      <w:tr>
        <w:tblPrEx>
          <w:tblCellMar>
            <w:top w:w="0" w:type="dxa"/>
            <w:left w:w="108" w:type="dxa"/>
            <w:bottom w:w="0" w:type="dxa"/>
            <w:right w:w="108" w:type="dxa"/>
          </w:tblCellMar>
        </w:tblPrEx>
        <w:trPr>
          <w:trHeight w:val="285" w:hRule="atLeast"/>
          <w:jc w:val="center"/>
        </w:trPr>
        <w:tc>
          <w:tcPr>
            <w:tcW w:w="704" w:type="pct"/>
            <w:tcBorders>
              <w:top w:val="single" w:color="auto" w:sz="4" w:space="0"/>
              <w:left w:val="nil"/>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12</w:t>
            </w:r>
          </w:p>
        </w:tc>
        <w:tc>
          <w:tcPr>
            <w:tcW w:w="2114" w:type="pct"/>
            <w:gridSpan w:val="3"/>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管护工程</w:t>
            </w:r>
          </w:p>
        </w:tc>
        <w:tc>
          <w:tcPr>
            <w:tcW w:w="1090"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公顷×月</w:t>
            </w:r>
          </w:p>
        </w:tc>
        <w:tc>
          <w:tcPr>
            <w:tcW w:w="1090" w:type="pct"/>
            <w:tcBorders>
              <w:top w:val="single" w:color="auto" w:sz="4" w:space="0"/>
              <w:left w:val="single" w:color="auto" w:sz="4" w:space="0"/>
              <w:bottom w:val="single" w:color="auto" w:sz="4"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0.3887*3</w:t>
            </w:r>
          </w:p>
        </w:tc>
      </w:tr>
      <w:tr>
        <w:tblPrEx>
          <w:tblCellMar>
            <w:top w:w="0" w:type="dxa"/>
            <w:left w:w="108" w:type="dxa"/>
            <w:bottom w:w="0" w:type="dxa"/>
            <w:right w:w="108" w:type="dxa"/>
          </w:tblCellMar>
        </w:tblPrEx>
        <w:trPr>
          <w:trHeight w:val="330" w:hRule="atLeast"/>
          <w:jc w:val="center"/>
        </w:trPr>
        <w:tc>
          <w:tcPr>
            <w:tcW w:w="704" w:type="pct"/>
            <w:tcBorders>
              <w:top w:val="single" w:color="auto" w:sz="4" w:space="0"/>
              <w:left w:val="nil"/>
              <w:bottom w:val="single" w:color="auto" w:sz="12"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13</w:t>
            </w:r>
          </w:p>
        </w:tc>
        <w:tc>
          <w:tcPr>
            <w:tcW w:w="2114" w:type="pct"/>
            <w:gridSpan w:val="3"/>
            <w:tcBorders>
              <w:top w:val="single" w:color="auto" w:sz="4" w:space="0"/>
              <w:left w:val="single" w:color="auto" w:sz="4" w:space="0"/>
              <w:bottom w:val="single" w:color="auto" w:sz="12"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合计</w:t>
            </w:r>
          </w:p>
        </w:tc>
        <w:tc>
          <w:tcPr>
            <w:tcW w:w="1090" w:type="pct"/>
            <w:tcBorders>
              <w:top w:val="single" w:color="auto" w:sz="4" w:space="0"/>
              <w:left w:val="single" w:color="auto" w:sz="4" w:space="0"/>
              <w:bottom w:val="single" w:color="auto" w:sz="12" w:space="0"/>
              <w:right w:val="single" w:color="auto" w:sz="4" w:space="0"/>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p>
        </w:tc>
        <w:tc>
          <w:tcPr>
            <w:tcW w:w="1090" w:type="pct"/>
            <w:tcBorders>
              <w:top w:val="single" w:color="auto" w:sz="4" w:space="0"/>
              <w:left w:val="single" w:color="auto" w:sz="4" w:space="0"/>
              <w:bottom w:val="single" w:color="auto" w:sz="12" w:space="0"/>
              <w:right w:val="nil"/>
            </w:tcBorders>
            <w:shd w:val="clear" w:color="auto" w:fill="auto"/>
            <w:noWrap w:val="0"/>
            <w:vAlign w:val="center"/>
          </w:tcPr>
          <w:p>
            <w:pPr>
              <w:pStyle w:val="104"/>
              <w:jc w:val="center"/>
              <w:rPr>
                <w:rFonts w:hint="default" w:ascii="Times New Roman" w:hAnsi="Times New Roman" w:eastAsia="宋体" w:cs="Times New Roman"/>
                <w:color w:val="auto"/>
                <w:kern w:val="0"/>
                <w:highlight w:val="none"/>
              </w:rPr>
            </w:pPr>
          </w:p>
        </w:tc>
      </w:tr>
    </w:tbl>
    <w:p>
      <w:pPr>
        <w:spacing w:line="360" w:lineRule="auto"/>
        <w:rPr>
          <w:rFonts w:hint="default" w:ascii="Times New Roman" w:hAnsi="Times New Roman" w:eastAsia="宋体" w:cs="Times New Roman"/>
          <w:color w:val="auto"/>
          <w:highlight w:val="none"/>
        </w:rPr>
      </w:pPr>
    </w:p>
    <w:p>
      <w:pPr>
        <w:spacing w:line="360" w:lineRule="auto"/>
        <w:rPr>
          <w:rFonts w:hint="default" w:ascii="Times New Roman" w:hAnsi="Times New Roman" w:eastAsia="宋体" w:cs="Times New Roman"/>
          <w:snapToGrid w:val="0"/>
          <w:color w:val="auto"/>
          <w:sz w:val="24"/>
          <w:highlight w:val="none"/>
        </w:rPr>
      </w:pPr>
      <w:r>
        <w:rPr>
          <w:rFonts w:hint="default" w:ascii="Times New Roman" w:hAnsi="Times New Roman" w:eastAsia="宋体" w:cs="Times New Roman"/>
          <w:color w:val="auto"/>
          <w:highlight w:val="none"/>
        </w:rPr>
        <w:drawing>
          <wp:inline distT="0" distB="0" distL="114300" distR="114300">
            <wp:extent cx="2397125" cy="1797685"/>
            <wp:effectExtent l="9525" t="9525" r="12700" b="21590"/>
            <wp:docPr id="28" name="图片 60" descr="DSC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0" descr="DSC00042"/>
                    <pic:cNvPicPr>
                      <a:picLocks noChangeAspect="1"/>
                    </pic:cNvPicPr>
                  </pic:nvPicPr>
                  <pic:blipFill>
                    <a:blip r:embed="rId47"/>
                    <a:stretch>
                      <a:fillRect/>
                    </a:stretch>
                  </pic:blipFill>
                  <pic:spPr>
                    <a:xfrm>
                      <a:off x="0" y="0"/>
                      <a:ext cx="2397125" cy="1797685"/>
                    </a:xfrm>
                    <a:prstGeom prst="rect">
                      <a:avLst/>
                    </a:prstGeom>
                    <a:noFill/>
                    <a:ln>
                      <a:solidFill>
                        <a:schemeClr val="tx1"/>
                      </a:solidFill>
                    </a:ln>
                  </pic:spPr>
                </pic:pic>
              </a:graphicData>
            </a:graphic>
          </wp:inline>
        </w:drawing>
      </w:r>
      <w:r>
        <w:rPr>
          <w:rFonts w:hint="default" w:ascii="Times New Roman" w:hAnsi="Times New Roman" w:eastAsia="宋体" w:cs="Times New Roman"/>
          <w:color w:val="auto"/>
          <w:sz w:val="28"/>
          <w:szCs w:val="28"/>
          <w:highlight w:val="none"/>
        </w:rPr>
        <w:t xml:space="preserve">    </w:t>
      </w:r>
      <w:r>
        <w:rPr>
          <w:rFonts w:hint="default" w:ascii="Times New Roman" w:hAnsi="Times New Roman" w:eastAsia="宋体" w:cs="Times New Roman"/>
          <w:color w:val="auto"/>
          <w:sz w:val="28"/>
          <w:szCs w:val="28"/>
          <w:highlight w:val="none"/>
        </w:rPr>
        <w:drawing>
          <wp:inline distT="0" distB="0" distL="114300" distR="114300">
            <wp:extent cx="2397125" cy="1797685"/>
            <wp:effectExtent l="9525" t="9525" r="12700" b="21590"/>
            <wp:docPr id="30" name="图片 61" descr="DSC0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1" descr="DSC00071"/>
                    <pic:cNvPicPr>
                      <a:picLocks noChangeAspect="1"/>
                    </pic:cNvPicPr>
                  </pic:nvPicPr>
                  <pic:blipFill>
                    <a:blip r:embed="rId48"/>
                    <a:stretch>
                      <a:fillRect/>
                    </a:stretch>
                  </pic:blipFill>
                  <pic:spPr>
                    <a:xfrm>
                      <a:off x="0" y="0"/>
                      <a:ext cx="2397125" cy="1797685"/>
                    </a:xfrm>
                    <a:prstGeom prst="rect">
                      <a:avLst/>
                    </a:prstGeom>
                    <a:noFill/>
                    <a:ln>
                      <a:solidFill>
                        <a:schemeClr val="tx1"/>
                      </a:solidFill>
                    </a:ln>
                  </pic:spPr>
                </pic:pic>
              </a:graphicData>
            </a:graphic>
          </wp:inline>
        </w:drawing>
      </w:r>
    </w:p>
    <w:p>
      <w:pPr>
        <w:spacing w:line="360" w:lineRule="auto"/>
        <w:ind w:firstLine="964" w:firstLineChars="4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照片1 排岩场平台种植刺槐           照片2 排岩场边坡治理效果</w:t>
      </w:r>
    </w:p>
    <w:p>
      <w:pPr>
        <w:spacing w:line="360" w:lineRule="auto"/>
        <w:rPr>
          <w:rFonts w:hint="default" w:ascii="Times New Roman" w:hAnsi="Times New Roman" w:eastAsia="宋体" w:cs="Times New Roman"/>
          <w:snapToGrid w:val="0"/>
          <w:color w:val="auto"/>
          <w:sz w:val="24"/>
          <w:highlight w:val="none"/>
        </w:rPr>
      </w:pPr>
      <w:r>
        <w:rPr>
          <w:rFonts w:hint="default" w:ascii="Times New Roman" w:hAnsi="Times New Roman" w:eastAsia="宋体" w:cs="Times New Roman"/>
          <w:color w:val="auto"/>
          <w:sz w:val="28"/>
          <w:szCs w:val="28"/>
          <w:highlight w:val="none"/>
        </w:rPr>
        <w:drawing>
          <wp:inline distT="0" distB="0" distL="114300" distR="114300">
            <wp:extent cx="2530475" cy="1964690"/>
            <wp:effectExtent l="9525" t="9525" r="12700" b="26035"/>
            <wp:docPr id="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2"/>
                    <pic:cNvPicPr>
                      <a:picLocks noChangeAspect="1"/>
                    </pic:cNvPicPr>
                  </pic:nvPicPr>
                  <pic:blipFill>
                    <a:blip r:embed="rId49"/>
                    <a:stretch>
                      <a:fillRect/>
                    </a:stretch>
                  </pic:blipFill>
                  <pic:spPr>
                    <a:xfrm>
                      <a:off x="0" y="0"/>
                      <a:ext cx="2530475" cy="1964690"/>
                    </a:xfrm>
                    <a:prstGeom prst="rect">
                      <a:avLst/>
                    </a:prstGeom>
                    <a:noFill/>
                    <a:ln>
                      <a:solidFill>
                        <a:schemeClr val="tx1"/>
                      </a:solidFill>
                    </a:ln>
                  </pic:spPr>
                </pic:pic>
              </a:graphicData>
            </a:graphic>
          </wp:inline>
        </w:drawing>
      </w:r>
      <w:r>
        <w:rPr>
          <w:rFonts w:hint="default" w:ascii="Times New Roman" w:hAnsi="Times New Roman" w:eastAsia="宋体" w:cs="Times New Roman"/>
          <w:color w:val="auto"/>
          <w:sz w:val="28"/>
          <w:szCs w:val="28"/>
          <w:highlight w:val="none"/>
        </w:rPr>
        <w:t xml:space="preserve">  </w:t>
      </w:r>
      <w:r>
        <w:rPr>
          <w:rFonts w:hint="default" w:ascii="Times New Roman" w:hAnsi="Times New Roman" w:eastAsia="宋体" w:cs="Times New Roman"/>
          <w:color w:val="auto"/>
          <w:sz w:val="28"/>
          <w:szCs w:val="28"/>
          <w:highlight w:val="none"/>
        </w:rPr>
        <w:drawing>
          <wp:inline distT="0" distB="0" distL="114300" distR="114300">
            <wp:extent cx="2451735" cy="1964055"/>
            <wp:effectExtent l="9525" t="9525" r="15240" b="26670"/>
            <wp:docPr id="2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3"/>
                    <pic:cNvPicPr>
                      <a:picLocks noChangeAspect="1"/>
                    </pic:cNvPicPr>
                  </pic:nvPicPr>
                  <pic:blipFill>
                    <a:blip r:embed="rId50"/>
                    <a:stretch>
                      <a:fillRect/>
                    </a:stretch>
                  </pic:blipFill>
                  <pic:spPr>
                    <a:xfrm>
                      <a:off x="0" y="0"/>
                      <a:ext cx="2451735" cy="1964055"/>
                    </a:xfrm>
                    <a:prstGeom prst="rect">
                      <a:avLst/>
                    </a:prstGeom>
                    <a:noFill/>
                    <a:ln>
                      <a:solidFill>
                        <a:schemeClr val="tx1"/>
                      </a:solidFill>
                    </a:ln>
                  </pic:spPr>
                </pic:pic>
              </a:graphicData>
            </a:graphic>
          </wp:inline>
        </w:drawing>
      </w:r>
    </w:p>
    <w:p>
      <w:pPr>
        <w:spacing w:line="360" w:lineRule="auto"/>
        <w:ind w:firstLine="1687" w:firstLineChars="700"/>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照片3排水沟照片                照片3挡土墙效果照片</w:t>
      </w:r>
    </w:p>
    <w:p>
      <w:pPr>
        <w:spacing w:line="360" w:lineRule="auto"/>
        <w:ind w:firstLine="1687" w:firstLineChars="700"/>
        <w:rPr>
          <w:rFonts w:hint="default" w:ascii="Times New Roman" w:hAnsi="Times New Roman" w:eastAsia="宋体" w:cs="Times New Roman"/>
          <w:b/>
          <w:color w:val="auto"/>
          <w:sz w:val="24"/>
          <w:highlight w:val="none"/>
          <w:lang w:val="en-US" w:eastAsia="zh-CN"/>
        </w:rPr>
      </w:pPr>
    </w:p>
    <w:p>
      <w:pPr>
        <w:spacing w:line="360" w:lineRule="auto"/>
        <w:ind w:firstLine="1687" w:firstLineChars="700"/>
        <w:rPr>
          <w:rFonts w:hint="default" w:ascii="Times New Roman" w:hAnsi="Times New Roman" w:eastAsia="宋体" w:cs="Times New Roman"/>
          <w:b/>
          <w:color w:val="auto"/>
          <w:sz w:val="24"/>
          <w:highlight w:val="none"/>
          <w:lang w:val="en-US" w:eastAsia="zh-CN"/>
        </w:rPr>
        <w:sectPr>
          <w:headerReference r:id="rId17" w:type="default"/>
          <w:footerReference r:id="rId18" w:type="default"/>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2"/>
        <w:ind w:left="0" w:leftChars="0" w:firstLine="0" w:firstLineChars="0"/>
        <w:jc w:val="center"/>
        <w:rPr>
          <w:rFonts w:hint="default" w:ascii="Times New Roman" w:hAnsi="Times New Roman" w:eastAsia="宋体" w:cs="Times New Roman"/>
          <w:color w:val="auto"/>
          <w:highlight w:val="none"/>
          <w:lang w:eastAsia="zh-CN"/>
        </w:rPr>
      </w:pPr>
      <w:r>
        <w:rPr>
          <w:color w:val="auto"/>
          <w:sz w:val="24"/>
        </w:rPr>
        <mc:AlternateContent>
          <mc:Choice Requires="wps">
            <w:drawing>
              <wp:anchor distT="0" distB="0" distL="114300" distR="114300" simplePos="0" relativeHeight="251753472" behindDoc="0" locked="0" layoutInCell="1" allowOverlap="1">
                <wp:simplePos x="0" y="0"/>
                <wp:positionH relativeFrom="column">
                  <wp:posOffset>5471795</wp:posOffset>
                </wp:positionH>
                <wp:positionV relativeFrom="paragraph">
                  <wp:posOffset>1544320</wp:posOffset>
                </wp:positionV>
                <wp:extent cx="478790" cy="1598295"/>
                <wp:effectExtent l="29210" t="0" r="25400" b="20955"/>
                <wp:wrapNone/>
                <wp:docPr id="334" name="直接箭头连接符 334"/>
                <wp:cNvGraphicFramePr/>
                <a:graphic xmlns:a="http://schemas.openxmlformats.org/drawingml/2006/main">
                  <a:graphicData uri="http://schemas.microsoft.com/office/word/2010/wordprocessingShape">
                    <wps:wsp>
                      <wps:cNvCnPr>
                        <a:stCxn id="332" idx="0"/>
                      </wps:cNvCnPr>
                      <wps:spPr>
                        <a:xfrm flipH="1" flipV="1">
                          <a:off x="0" y="0"/>
                          <a:ext cx="478790" cy="1598295"/>
                        </a:xfrm>
                        <a:prstGeom prst="straightConnector1">
                          <a:avLst/>
                        </a:prstGeom>
                        <a:ln w="28575">
                          <a:solidFill>
                            <a:srgbClr val="FFBCF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430.85pt;margin-top:121.6pt;height:125.85pt;width:37.7pt;z-index:251753472;mso-width-relative:page;mso-height-relative:page;" filled="f" stroked="t" coordsize="21600,21600" o:gfxdata="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IxYeYtoAAAALAQAADwAAAAAAAAABACAAAAAiAAAAZHJzL2Rvd25yZXYueG1sUEsB&#10;AhQAFAAAAAgAh07iQGUc3jMsAgAAJAQAAA4AAAAAAAAAAQAgAAAAKQEAAGRycy9lMm9Eb2MueG1s&#10;UEsFBgAAAAAGAAYAWQEAAMcFAAAAAA==&#10;">
                <v:fill on="f" focussize="0,0"/>
                <v:stroke weight="2.25pt" color="#FFBCFF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52448" behindDoc="0" locked="0" layoutInCell="1" allowOverlap="1">
                <wp:simplePos x="0" y="0"/>
                <wp:positionH relativeFrom="column">
                  <wp:posOffset>4900295</wp:posOffset>
                </wp:positionH>
                <wp:positionV relativeFrom="paragraph">
                  <wp:posOffset>2773045</wp:posOffset>
                </wp:positionV>
                <wp:extent cx="542290" cy="532130"/>
                <wp:effectExtent l="0" t="0" r="10160" b="20320"/>
                <wp:wrapNone/>
                <wp:docPr id="333" name="直接箭头连接符 333"/>
                <wp:cNvGraphicFramePr/>
                <a:graphic xmlns:a="http://schemas.openxmlformats.org/drawingml/2006/main">
                  <a:graphicData uri="http://schemas.microsoft.com/office/word/2010/wordprocessingShape">
                    <wps:wsp>
                      <wps:cNvCnPr>
                        <a:stCxn id="332" idx="1"/>
                      </wps:cNvCnPr>
                      <wps:spPr>
                        <a:xfrm flipH="1" flipV="1">
                          <a:off x="5800725" y="3673475"/>
                          <a:ext cx="542290" cy="532130"/>
                        </a:xfrm>
                        <a:prstGeom prst="straightConnector1">
                          <a:avLst/>
                        </a:prstGeom>
                        <a:ln w="28575">
                          <a:solidFill>
                            <a:srgbClr val="FFBCF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85.85pt;margin-top:218.35pt;height:41.9pt;width:42.7pt;z-index:251752448;mso-width-relative:page;mso-height-relative:page;" filled="f" stroked="t" coordsize="21600,21600" o:gfxdata="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f0S9vbAAAACwEAAA8AAAAAAAAAAQAgAAAAIgAAAGRycy9k&#10;b3ducmV2LnhtbFBLAQIUABQAAAAIAIdO4kDAVVFgOAIAAC8EAAAOAAAAAAAAAAEAIAAAACoBAABk&#10;cnMvZTJvRG9jLnhtbFBLBQYAAAAABgAGAFkBAADUBQAAAAA=&#10;">
                <v:fill on="f" focussize="0,0"/>
                <v:stroke weight="2.25pt" color="#FFBCFF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51424" behindDoc="0" locked="0" layoutInCell="1" allowOverlap="1">
                <wp:simplePos x="0" y="0"/>
                <wp:positionH relativeFrom="column">
                  <wp:posOffset>5442585</wp:posOffset>
                </wp:positionH>
                <wp:positionV relativeFrom="paragraph">
                  <wp:posOffset>3142615</wp:posOffset>
                </wp:positionV>
                <wp:extent cx="1015365" cy="324485"/>
                <wp:effectExtent l="0" t="0" r="13335" b="18415"/>
                <wp:wrapNone/>
                <wp:docPr id="332" name="圆角矩形标注 332"/>
                <wp:cNvGraphicFramePr/>
                <a:graphic xmlns:a="http://schemas.openxmlformats.org/drawingml/2006/main">
                  <a:graphicData uri="http://schemas.microsoft.com/office/word/2010/wordprocessingShape">
                    <wps:wsp>
                      <wps:cNvSpPr/>
                      <wps:spPr>
                        <a:xfrm>
                          <a:off x="6386830" y="4243070"/>
                          <a:ext cx="1015365" cy="324485"/>
                        </a:xfrm>
                        <a:prstGeom prst="wedgeRoundRectCallout">
                          <a:avLst>
                            <a:gd name="adj1" fmla="val -20827"/>
                            <a:gd name="adj2" fmla="val 45072"/>
                            <a:gd name="adj3" fmla="val 16667"/>
                          </a:avLst>
                        </a:prstGeom>
                        <a:solidFill>
                          <a:srgbClr val="FFBEF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both"/>
                              <w:rPr>
                                <w:rFonts w:hint="default" w:eastAsia="宋体"/>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遗留未恢复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28.55pt;margin-top:247.45pt;height:25.55pt;width:79.95pt;z-index:251751424;v-text-anchor:middle;mso-width-relative:page;mso-height-relative:page;" fillcolor="#FFBEFE" filled="t" stroked="f" coordsize="21600,21600" o:gfxdata="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MwNxIvbAAAADAEAAA8AAAAAAAAAAQAgAAAAIgAAAGRycy9kb3ducmV2LnhtbFBL&#10;AQIUABQAAAAIAIdO4kCXtyv11wIAAHkFAAAOAAAAAAAAAAEAIAAAACoBAABkcnMvZTJvRG9jLnht&#10;bFBLBQYAAAAABgAGAFkBAABzBgAAAAA=&#10;" adj="6301,20536,14400">
                <v:fill on="t" focussize="0,0"/>
                <v:stroke on="f" weight="1pt" miterlimit="8" joinstyle="miter"/>
                <v:imagedata o:title=""/>
                <o:lock v:ext="edit" aspectratio="f"/>
                <v:textbox>
                  <w:txbxContent>
                    <w:p>
                      <w:pPr>
                        <w:ind w:left="0" w:leftChars="0" w:firstLine="0" w:firstLineChars="0"/>
                        <w:jc w:val="both"/>
                        <w:rPr>
                          <w:rFonts w:hint="default" w:eastAsia="宋体"/>
                          <w:color w:val="auto"/>
                          <w:lang w:val="en-US" w:eastAsia="zh-CN"/>
                          <w14:textOutline w14:w="9525">
                            <w14:solidFill>
                              <w14:srgbClr w14:val="000000"/>
                            </w14:solidFill>
                            <w14:round/>
                          </w14:textOutline>
                        </w:rPr>
                      </w:pPr>
                      <w:r>
                        <w:rPr>
                          <w:rFonts w:hint="eastAsia"/>
                          <w:color w:val="auto"/>
                          <w:lang w:val="en-US" w:eastAsia="zh-CN"/>
                          <w14:textOutline w14:w="9525">
                            <w14:solidFill>
                              <w14:srgbClr w14:val="000000"/>
                            </w14:solidFill>
                            <w14:round/>
                          </w14:textOutline>
                        </w:rPr>
                        <w:t>遗留未恢复</w:t>
                      </w:r>
                    </w:p>
                  </w:txbxContent>
                </v:textbox>
              </v:shape>
            </w:pict>
          </mc:Fallback>
        </mc:AlternateContent>
      </w:r>
      <w:r>
        <w:rPr>
          <w:color w:val="auto"/>
          <w:sz w:val="24"/>
        </w:rPr>
        <mc:AlternateContent>
          <mc:Choice Requires="wps">
            <w:drawing>
              <wp:anchor distT="0" distB="0" distL="114300" distR="114300" simplePos="0" relativeHeight="251750400" behindDoc="0" locked="0" layoutInCell="1" allowOverlap="1">
                <wp:simplePos x="0" y="0"/>
                <wp:positionH relativeFrom="column">
                  <wp:posOffset>1035050</wp:posOffset>
                </wp:positionH>
                <wp:positionV relativeFrom="paragraph">
                  <wp:posOffset>3968115</wp:posOffset>
                </wp:positionV>
                <wp:extent cx="2318385" cy="1029970"/>
                <wp:effectExtent l="5080" t="4445" r="19685" b="13335"/>
                <wp:wrapNone/>
                <wp:docPr id="331" name="文本框 331"/>
                <wp:cNvGraphicFramePr/>
                <a:graphic xmlns:a="http://schemas.openxmlformats.org/drawingml/2006/main">
                  <a:graphicData uri="http://schemas.microsoft.com/office/word/2010/wordprocessingShape">
                    <wps:wsp>
                      <wps:cNvSpPr txBox="1"/>
                      <wps:spPr>
                        <a:xfrm>
                          <a:off x="2595880" y="4760595"/>
                          <a:ext cx="2318385" cy="1029970"/>
                        </a:xfrm>
                        <a:prstGeom prst="rect">
                          <a:avLst/>
                        </a:prstGeom>
                        <a:solidFill>
                          <a:srgbClr val="FFFFFF"/>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已恢复工程量</w:t>
                            </w:r>
                          </w:p>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textAlignment w:val="auto"/>
                              <w:rPr>
                                <w:color w:val="auto"/>
                                <w:sz w:val="18"/>
                                <w:szCs w:val="18"/>
                              </w:rPr>
                            </w:pPr>
                            <w:r>
                              <w:rPr>
                                <w:rFonts w:hint="default" w:ascii="Times New Roman" w:hAnsi="Times New Roman" w:eastAsia="宋体" w:cs="Times New Roman"/>
                                <w:color w:val="auto"/>
                                <w:sz w:val="18"/>
                                <w:szCs w:val="18"/>
                                <w:highlight w:val="none"/>
                              </w:rPr>
                              <w:t>施工平整石方388m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，平整土方259m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；客土1944m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；栽植刺槐3887株；撒播草籽0.3887hm</w:t>
                            </w:r>
                            <w:r>
                              <w:rPr>
                                <w:rFonts w:hint="default" w:ascii="Times New Roman" w:hAnsi="Times New Roman" w:eastAsia="宋体" w:cs="Times New Roman"/>
                                <w:color w:val="auto"/>
                                <w:sz w:val="18"/>
                                <w:szCs w:val="18"/>
                                <w:highlight w:val="none"/>
                                <w:vertAlign w:val="superscript"/>
                              </w:rPr>
                              <w:t>2</w:t>
                            </w:r>
                            <w:r>
                              <w:rPr>
                                <w:rFonts w:hint="default" w:ascii="Times New Roman" w:hAnsi="Times New Roman" w:eastAsia="宋体" w:cs="Times New Roman"/>
                                <w:color w:val="auto"/>
                                <w:sz w:val="18"/>
                                <w:szCs w:val="18"/>
                                <w:highlight w:val="none"/>
                              </w:rPr>
                              <w:t>；砌筑挡土墙，浆砌筑工程量171m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。挖方工程量87m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，U型槽86m。道路修缮896m。共计恢复面积0.7528hm</w:t>
                            </w:r>
                            <w:r>
                              <w:rPr>
                                <w:rFonts w:hint="default" w:ascii="Times New Roman" w:hAnsi="Times New Roman" w:eastAsia="宋体" w:cs="Times New Roman"/>
                                <w:color w:val="auto"/>
                                <w:sz w:val="18"/>
                                <w:szCs w:val="18"/>
                                <w:highlight w:val="none"/>
                                <w:vertAlign w:val="superscript"/>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5pt;margin-top:312.45pt;height:81.1pt;width:182.55pt;z-index:251750400;mso-width-relative:page;mso-height-relative:page;" fillcolor="#FFFFFF" filled="t" stroked="t" coordsize="21600,21600" o:gfxdata="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HrfktgAAAALAQAADwAAAAAAAAABACAAAAAiAAAAZHJzL2Rvd25yZXYueG1sUEsB&#10;AhQAFAAAAAgAh07iQP0WgnxnAgAAyQQAAA4AAAAAAAAAAQAgAAAAJwEAAGRycy9lMm9Eb2MueG1s&#10;UEsFBgAAAAAGAAYAWQEAAAAGAAAAAA==&#10;">
                <v:fill on="t" focussize="0,0"/>
                <v:stroke weight="0.5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已恢复工程量</w:t>
                      </w:r>
                    </w:p>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textAlignment w:val="auto"/>
                        <w:rPr>
                          <w:color w:val="auto"/>
                          <w:sz w:val="18"/>
                          <w:szCs w:val="18"/>
                        </w:rPr>
                      </w:pPr>
                      <w:r>
                        <w:rPr>
                          <w:rFonts w:hint="default" w:ascii="Times New Roman" w:hAnsi="Times New Roman" w:eastAsia="宋体" w:cs="Times New Roman"/>
                          <w:color w:val="auto"/>
                          <w:sz w:val="18"/>
                          <w:szCs w:val="18"/>
                          <w:highlight w:val="none"/>
                        </w:rPr>
                        <w:t>施工平整石方388m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，平整土方259m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；客土1944m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；栽植刺槐3887株；撒播草籽0.3887hm</w:t>
                      </w:r>
                      <w:r>
                        <w:rPr>
                          <w:rFonts w:hint="default" w:ascii="Times New Roman" w:hAnsi="Times New Roman" w:eastAsia="宋体" w:cs="Times New Roman"/>
                          <w:color w:val="auto"/>
                          <w:sz w:val="18"/>
                          <w:szCs w:val="18"/>
                          <w:highlight w:val="none"/>
                          <w:vertAlign w:val="superscript"/>
                        </w:rPr>
                        <w:t>2</w:t>
                      </w:r>
                      <w:r>
                        <w:rPr>
                          <w:rFonts w:hint="default" w:ascii="Times New Roman" w:hAnsi="Times New Roman" w:eastAsia="宋体" w:cs="Times New Roman"/>
                          <w:color w:val="auto"/>
                          <w:sz w:val="18"/>
                          <w:szCs w:val="18"/>
                          <w:highlight w:val="none"/>
                        </w:rPr>
                        <w:t>；砌筑挡土墙，浆砌筑工程量171m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。挖方工程量87m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，U型槽86m。道路修缮896m。共计恢复面积0.7528hm</w:t>
                      </w:r>
                      <w:r>
                        <w:rPr>
                          <w:rFonts w:hint="default" w:ascii="Times New Roman" w:hAnsi="Times New Roman" w:eastAsia="宋体" w:cs="Times New Roman"/>
                          <w:color w:val="auto"/>
                          <w:sz w:val="18"/>
                          <w:szCs w:val="18"/>
                          <w:highlight w:val="none"/>
                          <w:vertAlign w:val="superscript"/>
                          <w:lang w:val="en-US" w:eastAsia="zh-CN"/>
                        </w:rPr>
                        <w:t>2</w:t>
                      </w:r>
                    </w:p>
                  </w:txbxContent>
                </v:textbox>
              </v:shape>
            </w:pict>
          </mc:Fallback>
        </mc:AlternateContent>
      </w:r>
      <w:r>
        <w:rPr>
          <w:color w:val="auto"/>
          <w:sz w:val="24"/>
        </w:rPr>
        <mc:AlternateContent>
          <mc:Choice Requires="wps">
            <w:drawing>
              <wp:anchor distT="0" distB="0" distL="114300" distR="114300" simplePos="0" relativeHeight="251749376" behindDoc="0" locked="0" layoutInCell="1" allowOverlap="1">
                <wp:simplePos x="0" y="0"/>
                <wp:positionH relativeFrom="column">
                  <wp:posOffset>3672205</wp:posOffset>
                </wp:positionH>
                <wp:positionV relativeFrom="paragraph">
                  <wp:posOffset>3240405</wp:posOffset>
                </wp:positionV>
                <wp:extent cx="353695" cy="570230"/>
                <wp:effectExtent l="0" t="0" r="0" b="0"/>
                <wp:wrapNone/>
                <wp:docPr id="327" name="文本框 327"/>
                <wp:cNvGraphicFramePr/>
                <a:graphic xmlns:a="http://schemas.openxmlformats.org/drawingml/2006/main">
                  <a:graphicData uri="http://schemas.microsoft.com/office/word/2010/wordprocessingShape">
                    <wps:wsp>
                      <wps:cNvSpPr txBox="1"/>
                      <wps:spPr>
                        <a:xfrm rot="20760000">
                          <a:off x="0" y="0"/>
                          <a:ext cx="353695" cy="5702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textAlignment w:val="auto"/>
                              <w:rPr>
                                <w:rFonts w:hint="eastAsia" w:eastAsia="宋体"/>
                                <w:b/>
                                <w:bCs/>
                                <w:color w:val="auto"/>
                                <w:sz w:val="18"/>
                                <w:szCs w:val="18"/>
                                <w:highlight w:val="none"/>
                                <w:lang w:val="en-US" w:eastAsia="zh-CN"/>
                              </w:rPr>
                            </w:pPr>
                            <w:r>
                              <w:rPr>
                                <w:rFonts w:hint="eastAsia" w:eastAsia="宋体"/>
                                <w:b/>
                                <w:bCs/>
                                <w:color w:val="auto"/>
                                <w:sz w:val="18"/>
                                <w:szCs w:val="18"/>
                                <w:highlight w:val="none"/>
                                <w:lang w:val="en-US" w:eastAsia="zh-CN"/>
                              </w:rPr>
                              <w:t>已</w:t>
                            </w:r>
                          </w:p>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textAlignment w:val="auto"/>
                              <w:rPr>
                                <w:rFonts w:hint="eastAsia" w:eastAsia="宋体"/>
                                <w:b/>
                                <w:bCs/>
                                <w:color w:val="auto"/>
                                <w:sz w:val="18"/>
                                <w:szCs w:val="18"/>
                                <w:highlight w:val="none"/>
                                <w:lang w:val="en-US" w:eastAsia="zh-CN"/>
                              </w:rPr>
                            </w:pPr>
                            <w:r>
                              <w:rPr>
                                <w:rFonts w:hint="eastAsia" w:eastAsia="宋体"/>
                                <w:b/>
                                <w:bCs/>
                                <w:color w:val="auto"/>
                                <w:sz w:val="18"/>
                                <w:szCs w:val="18"/>
                                <w:highlight w:val="none"/>
                                <w:lang w:val="en-US" w:eastAsia="zh-CN"/>
                              </w:rPr>
                              <w:t>恢</w:t>
                            </w:r>
                          </w:p>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textAlignment w:val="auto"/>
                              <w:rPr>
                                <w:rFonts w:hint="default" w:eastAsia="宋体"/>
                                <w:b/>
                                <w:bCs/>
                                <w:color w:val="auto"/>
                                <w:sz w:val="18"/>
                                <w:szCs w:val="18"/>
                                <w:highlight w:val="none"/>
                                <w:lang w:val="en-US" w:eastAsia="zh-CN"/>
                              </w:rPr>
                            </w:pPr>
                            <w:r>
                              <w:rPr>
                                <w:rFonts w:hint="eastAsia" w:eastAsia="宋体"/>
                                <w:b/>
                                <w:bCs/>
                                <w:color w:val="auto"/>
                                <w:sz w:val="18"/>
                                <w:szCs w:val="18"/>
                                <w:highlight w:val="none"/>
                                <w:lang w:val="en-US" w:eastAsia="zh-CN"/>
                              </w:rPr>
                              <w:t>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15pt;margin-top:255.15pt;height:44.9pt;width:27.85pt;rotation:-917504f;z-index:251749376;mso-width-relative:page;mso-height-relative:page;" filled="f" stroked="f" coordsize="21600,21600" o:gfxdata="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iHTNbaAAAACwEAAA8AAAAAAAAA&#10;AQAgAAAAIgAAAGRycy9kb3ducmV2LnhtbFBLAQIUABQAAAAIAIdO4kDwaYecSAIAAHgEAAAOAAAA&#10;AAAAAAEAIAAAACkBAABkcnMvZTJvRG9jLnhtbFBLBQYAAAAABgAGAFkBAADj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textAlignment w:val="auto"/>
                        <w:rPr>
                          <w:rFonts w:hint="eastAsia" w:eastAsia="宋体"/>
                          <w:b/>
                          <w:bCs/>
                          <w:color w:val="auto"/>
                          <w:sz w:val="18"/>
                          <w:szCs w:val="18"/>
                          <w:highlight w:val="none"/>
                          <w:lang w:val="en-US" w:eastAsia="zh-CN"/>
                        </w:rPr>
                      </w:pPr>
                      <w:r>
                        <w:rPr>
                          <w:rFonts w:hint="eastAsia" w:eastAsia="宋体"/>
                          <w:b/>
                          <w:bCs/>
                          <w:color w:val="auto"/>
                          <w:sz w:val="18"/>
                          <w:szCs w:val="18"/>
                          <w:highlight w:val="none"/>
                          <w:lang w:val="en-US" w:eastAsia="zh-CN"/>
                        </w:rPr>
                        <w:t>已</w:t>
                      </w:r>
                    </w:p>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textAlignment w:val="auto"/>
                        <w:rPr>
                          <w:rFonts w:hint="eastAsia" w:eastAsia="宋体"/>
                          <w:b/>
                          <w:bCs/>
                          <w:color w:val="auto"/>
                          <w:sz w:val="18"/>
                          <w:szCs w:val="18"/>
                          <w:highlight w:val="none"/>
                          <w:lang w:val="en-US" w:eastAsia="zh-CN"/>
                        </w:rPr>
                      </w:pPr>
                      <w:r>
                        <w:rPr>
                          <w:rFonts w:hint="eastAsia" w:eastAsia="宋体"/>
                          <w:b/>
                          <w:bCs/>
                          <w:color w:val="auto"/>
                          <w:sz w:val="18"/>
                          <w:szCs w:val="18"/>
                          <w:highlight w:val="none"/>
                          <w:lang w:val="en-US" w:eastAsia="zh-CN"/>
                        </w:rPr>
                        <w:t>恢</w:t>
                      </w:r>
                    </w:p>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textAlignment w:val="auto"/>
                        <w:rPr>
                          <w:rFonts w:hint="default" w:eastAsia="宋体"/>
                          <w:b/>
                          <w:bCs/>
                          <w:color w:val="auto"/>
                          <w:sz w:val="18"/>
                          <w:szCs w:val="18"/>
                          <w:highlight w:val="none"/>
                          <w:lang w:val="en-US" w:eastAsia="zh-CN"/>
                        </w:rPr>
                      </w:pPr>
                      <w:r>
                        <w:rPr>
                          <w:rFonts w:hint="eastAsia" w:eastAsia="宋体"/>
                          <w:b/>
                          <w:bCs/>
                          <w:color w:val="auto"/>
                          <w:sz w:val="18"/>
                          <w:szCs w:val="18"/>
                          <w:highlight w:val="none"/>
                          <w:lang w:val="en-US" w:eastAsia="zh-CN"/>
                        </w:rPr>
                        <w:t>复</w:t>
                      </w:r>
                    </w:p>
                  </w:txbxContent>
                </v:textbox>
              </v:shape>
            </w:pict>
          </mc:Fallback>
        </mc:AlternateContent>
      </w:r>
      <w:r>
        <w:rPr>
          <w:color w:val="auto"/>
          <w:sz w:val="24"/>
        </w:rPr>
        <mc:AlternateContent>
          <mc:Choice Requires="wps">
            <w:drawing>
              <wp:anchor distT="0" distB="0" distL="114300" distR="114300" simplePos="0" relativeHeight="251748352" behindDoc="0" locked="0" layoutInCell="1" allowOverlap="1">
                <wp:simplePos x="0" y="0"/>
                <wp:positionH relativeFrom="column">
                  <wp:posOffset>1985010</wp:posOffset>
                </wp:positionH>
                <wp:positionV relativeFrom="paragraph">
                  <wp:posOffset>1652905</wp:posOffset>
                </wp:positionV>
                <wp:extent cx="632460" cy="273050"/>
                <wp:effectExtent l="0" t="0" r="0" b="0"/>
                <wp:wrapNone/>
                <wp:docPr id="326" name="文本框 326"/>
                <wp:cNvGraphicFramePr/>
                <a:graphic xmlns:a="http://schemas.openxmlformats.org/drawingml/2006/main">
                  <a:graphicData uri="http://schemas.microsoft.com/office/word/2010/wordprocessingShape">
                    <wps:wsp>
                      <wps:cNvSpPr txBox="1"/>
                      <wps:spPr>
                        <a:xfrm>
                          <a:off x="0" y="0"/>
                          <a:ext cx="63246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b/>
                                <w:bCs/>
                                <w:color w:val="FF0000"/>
                                <w:sz w:val="18"/>
                                <w:szCs w:val="18"/>
                                <w:highlight w:val="none"/>
                                <w:lang w:val="en-US" w:eastAsia="zh-CN"/>
                              </w:rPr>
                            </w:pPr>
                            <w:r>
                              <w:rPr>
                                <w:rFonts w:hint="eastAsia"/>
                                <w:b/>
                                <w:bCs/>
                                <w:color w:val="FF0000"/>
                                <w:sz w:val="18"/>
                                <w:szCs w:val="18"/>
                                <w:highlight w:val="none"/>
                                <w:lang w:val="en-US" w:eastAsia="zh-CN"/>
                              </w:rPr>
                              <w:t>截水沟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3pt;margin-top:130.15pt;height:21.5pt;width:49.8pt;z-index:251748352;mso-width-relative:page;mso-height-relative:page;" filled="f" stroked="f" coordsize="21600,21600" o:gfxdata="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&#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jqmoPbAAAACwEAAA8AAAAAAAAAAQAgAAAAIgAAAGRy&#10;cy9kb3ducmV2LnhtbFBLAQIUABQAAAAIAIdO4kBSnMHCOwIAAGkEAAAOAAAAAAAAAAEAIAAAACoB&#10;AABkcnMvZTJvRG9jLnhtbFBLBQYAAAAABgAGAFkBAADXBQAAAAA=&#10;">
                <v:fill on="f" focussize="0,0"/>
                <v:stroke on="f" weight="0.5pt"/>
                <v:imagedata o:title=""/>
                <o:lock v:ext="edit" aspectratio="f"/>
                <v:textbox>
                  <w:txbxContent>
                    <w:p>
                      <w:pPr>
                        <w:ind w:left="0" w:leftChars="0" w:firstLine="0" w:firstLineChars="0"/>
                        <w:rPr>
                          <w:rFonts w:hint="default" w:eastAsia="宋体"/>
                          <w:b/>
                          <w:bCs/>
                          <w:color w:val="FF0000"/>
                          <w:sz w:val="18"/>
                          <w:szCs w:val="18"/>
                          <w:highlight w:val="none"/>
                          <w:lang w:val="en-US" w:eastAsia="zh-CN"/>
                        </w:rPr>
                      </w:pPr>
                      <w:r>
                        <w:rPr>
                          <w:rFonts w:hint="eastAsia"/>
                          <w:b/>
                          <w:bCs/>
                          <w:color w:val="FF0000"/>
                          <w:sz w:val="18"/>
                          <w:szCs w:val="18"/>
                          <w:highlight w:val="none"/>
                          <w:lang w:val="en-US" w:eastAsia="zh-CN"/>
                        </w:rPr>
                        <w:t>截水沟</w:t>
                      </w:r>
                    </w:p>
                  </w:txbxContent>
                </v:textbox>
              </v:shape>
            </w:pict>
          </mc:Fallback>
        </mc:AlternateContent>
      </w:r>
      <w:r>
        <w:rPr>
          <w:rFonts w:hint="default" w:ascii="Times New Roman" w:hAnsi="Times New Roman" w:eastAsia="宋体" w:cs="Times New Roman"/>
          <w:color w:val="auto"/>
          <w:highlight w:val="none"/>
          <w:lang w:eastAsia="zh-CN"/>
        </w:rPr>
        <w:drawing>
          <wp:inline distT="0" distB="0" distL="114300" distR="114300">
            <wp:extent cx="6995795" cy="5338445"/>
            <wp:effectExtent l="9525" t="9525" r="24130" b="24130"/>
            <wp:docPr id="32" name="图片 32" descr="01-岫岩满族自治县苏子沟镇大何家堡子村钾长石矿矿山地质环境问题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1-岫岩满族自治县苏子沟镇大何家堡子村钾长石矿矿山地质环境问题现状图"/>
                    <pic:cNvPicPr>
                      <a:picLocks noChangeAspect="1"/>
                    </pic:cNvPicPr>
                  </pic:nvPicPr>
                  <pic:blipFill>
                    <a:blip r:embed="rId51"/>
                    <a:srcRect t="3847"/>
                    <a:stretch>
                      <a:fillRect/>
                    </a:stretch>
                  </pic:blipFill>
                  <pic:spPr>
                    <a:xfrm>
                      <a:off x="0" y="0"/>
                      <a:ext cx="6995795" cy="5338445"/>
                    </a:xfrm>
                    <a:prstGeom prst="rect">
                      <a:avLst/>
                    </a:prstGeom>
                    <a:ln>
                      <a:solidFill>
                        <a:schemeClr val="tx1"/>
                      </a:solidFill>
                    </a:ln>
                  </pic:spPr>
                </pic:pic>
              </a:graphicData>
            </a:graphic>
          </wp:inline>
        </w:drawing>
      </w:r>
      <w:r>
        <w:rPr>
          <w:color w:val="auto"/>
          <w:sz w:val="24"/>
        </w:rPr>
        <mc:AlternateContent>
          <mc:Choice Requires="wps">
            <w:drawing>
              <wp:anchor distT="0" distB="0" distL="114300" distR="114300" simplePos="0" relativeHeight="251754496" behindDoc="0" locked="0" layoutInCell="1" allowOverlap="1">
                <wp:simplePos x="0" y="0"/>
                <wp:positionH relativeFrom="column">
                  <wp:posOffset>3700145</wp:posOffset>
                </wp:positionH>
                <wp:positionV relativeFrom="paragraph">
                  <wp:posOffset>3106420</wp:posOffset>
                </wp:positionV>
                <wp:extent cx="1724025" cy="200025"/>
                <wp:effectExtent l="0" t="50800" r="9525" b="15875"/>
                <wp:wrapNone/>
                <wp:docPr id="335" name="直接箭头连接符 335"/>
                <wp:cNvGraphicFramePr/>
                <a:graphic xmlns:a="http://schemas.openxmlformats.org/drawingml/2006/main">
                  <a:graphicData uri="http://schemas.microsoft.com/office/word/2010/wordprocessingShape">
                    <wps:wsp>
                      <wps:cNvCnPr/>
                      <wps:spPr>
                        <a:xfrm flipH="1" flipV="1">
                          <a:off x="0" y="0"/>
                          <a:ext cx="1724025" cy="200025"/>
                        </a:xfrm>
                        <a:prstGeom prst="straightConnector1">
                          <a:avLst/>
                        </a:prstGeom>
                        <a:ln w="28575">
                          <a:solidFill>
                            <a:srgbClr val="FFBCF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91.35pt;margin-top:244.6pt;height:15.75pt;width:135.75pt;z-index:251754496;mso-width-relative:page;mso-height-relative:page;" filled="f" stroked="t" coordsize="21600,21600" o:gfxdata="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6MFJ12gAAAAsB&#10;AAAPAAAAAAAAAAEAIAAAACIAAABkcnMvZG93bnJldi54bWxQSwECFAAUAAAACACHTuJAMlv85hkC&#10;AAD8AwAADgAAAAAAAAABACAAAAApAQAAZHJzL2Uyb0RvYy54bWxQSwUGAAAAAAYABgBZAQAAtAUA&#10;AAAA&#10;">
                <v:fill on="f" focussize="0,0"/>
                <v:stroke weight="2.25pt" color="#FFBCFF [3204]" miterlimit="8"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747328" behindDoc="0" locked="0" layoutInCell="1" allowOverlap="1">
                <wp:simplePos x="0" y="0"/>
                <wp:positionH relativeFrom="column">
                  <wp:posOffset>1664335</wp:posOffset>
                </wp:positionH>
                <wp:positionV relativeFrom="paragraph">
                  <wp:posOffset>1812290</wp:posOffset>
                </wp:positionV>
                <wp:extent cx="632460" cy="27305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63246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b/>
                                <w:bCs/>
                                <w:color w:val="FF0000"/>
                                <w:sz w:val="18"/>
                                <w:szCs w:val="18"/>
                                <w:highlight w:val="none"/>
                                <w:lang w:val="en-US" w:eastAsia="zh-CN"/>
                              </w:rPr>
                            </w:pPr>
                            <w:r>
                              <w:rPr>
                                <w:rFonts w:hint="eastAsia"/>
                                <w:b/>
                                <w:bCs/>
                                <w:color w:val="FF0000"/>
                                <w:sz w:val="18"/>
                                <w:szCs w:val="18"/>
                                <w:highlight w:val="none"/>
                                <w:lang w:val="en-US" w:eastAsia="zh-CN"/>
                              </w:rPr>
                              <w:t>挡土墙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05pt;margin-top:142.7pt;height:21.5pt;width:49.8pt;z-index:251747328;mso-width-relative:page;mso-height-relative:page;" filled="f" stroked="f" coordsize="21600,21600" o:gfxdata="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nGOzzbAAAACwEAAA8AAAAAAAAAAQAgAAAAIgAAAGRy&#10;cy9kb3ducmV2LnhtbFBLAQIUABQAAAAIAIdO4kDFjOmYOwIAAGkEAAAOAAAAAAAAAAEAIAAAACoB&#10;AABkcnMvZTJvRG9jLnhtbFBLBQYAAAAABgAGAFkBAADXBQAAAAA=&#10;">
                <v:fill on="f" focussize="0,0"/>
                <v:stroke on="f" weight="0.5pt"/>
                <v:imagedata o:title=""/>
                <o:lock v:ext="edit" aspectratio="f"/>
                <v:textbox>
                  <w:txbxContent>
                    <w:p>
                      <w:pPr>
                        <w:ind w:left="0" w:leftChars="0" w:firstLine="0" w:firstLineChars="0"/>
                        <w:rPr>
                          <w:rFonts w:hint="eastAsia" w:eastAsia="宋体"/>
                          <w:b/>
                          <w:bCs/>
                          <w:color w:val="FF0000"/>
                          <w:sz w:val="18"/>
                          <w:szCs w:val="18"/>
                          <w:highlight w:val="none"/>
                          <w:lang w:val="en-US" w:eastAsia="zh-CN"/>
                        </w:rPr>
                      </w:pPr>
                      <w:r>
                        <w:rPr>
                          <w:rFonts w:hint="eastAsia"/>
                          <w:b/>
                          <w:bCs/>
                          <w:color w:val="FF0000"/>
                          <w:sz w:val="18"/>
                          <w:szCs w:val="18"/>
                          <w:highlight w:val="none"/>
                          <w:lang w:val="en-US" w:eastAsia="zh-CN"/>
                        </w:rPr>
                        <w:t>挡土墙</w:t>
                      </w:r>
                    </w:p>
                  </w:txbxContent>
                </v:textbox>
              </v:shape>
            </w:pict>
          </mc:Fallback>
        </mc:AlternateContent>
      </w:r>
      <w:r>
        <w:rPr>
          <w:color w:val="auto"/>
          <w:sz w:val="24"/>
        </w:rPr>
        <mc:AlternateContent>
          <mc:Choice Requires="wps">
            <w:drawing>
              <wp:anchor distT="0" distB="0" distL="114300" distR="114300" simplePos="0" relativeHeight="251746304" behindDoc="0" locked="0" layoutInCell="1" allowOverlap="1">
                <wp:simplePos x="0" y="0"/>
                <wp:positionH relativeFrom="column">
                  <wp:posOffset>1659255</wp:posOffset>
                </wp:positionH>
                <wp:positionV relativeFrom="paragraph">
                  <wp:posOffset>846455</wp:posOffset>
                </wp:positionV>
                <wp:extent cx="632460" cy="273050"/>
                <wp:effectExtent l="0" t="0" r="0" b="0"/>
                <wp:wrapNone/>
                <wp:docPr id="320" name="文本框 320"/>
                <wp:cNvGraphicFramePr/>
                <a:graphic xmlns:a="http://schemas.openxmlformats.org/drawingml/2006/main">
                  <a:graphicData uri="http://schemas.microsoft.com/office/word/2010/wordprocessingShape">
                    <wps:wsp>
                      <wps:cNvSpPr txBox="1"/>
                      <wps:spPr>
                        <a:xfrm>
                          <a:off x="3533775" y="1387475"/>
                          <a:ext cx="63246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eastAsia" w:eastAsia="宋体"/>
                                <w:b/>
                                <w:bCs/>
                                <w:color w:val="FF0000"/>
                                <w:sz w:val="18"/>
                                <w:szCs w:val="18"/>
                                <w:highlight w:val="none"/>
                                <w:lang w:val="en-US" w:eastAsia="zh-CN"/>
                              </w:rPr>
                            </w:pPr>
                            <w:r>
                              <w:rPr>
                                <w:rFonts w:hint="eastAsia"/>
                                <w:b/>
                                <w:bCs/>
                                <w:color w:val="FF0000"/>
                                <w:sz w:val="18"/>
                                <w:szCs w:val="18"/>
                                <w:highlight w:val="none"/>
                                <w:lang w:val="en-US" w:eastAsia="zh-CN"/>
                              </w:rPr>
                              <w:t>挡土墙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65pt;margin-top:66.65pt;height:21.5pt;width:49.8pt;z-index:251746304;mso-width-relative:page;mso-height-relative:page;" filled="f" stroked="f" coordsize="21600,21600" o:gfxdata="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Cz5ys2wAAAAsBAAAPAAAAAAAAAAEA&#10;IAAAACIAAABkcnMvZG93bnJldi54bWxQSwECFAAUAAAACACHTuJASuD0kkUCAAB1BAAADgAAAAAA&#10;AAABACAAAAAqAQAAZHJzL2Uyb0RvYy54bWxQSwUGAAAAAAYABgBZAQAA4QUAAAAA&#10;">
                <v:fill on="f" focussize="0,0"/>
                <v:stroke on="f" weight="0.5pt"/>
                <v:imagedata o:title=""/>
                <o:lock v:ext="edit" aspectratio="f"/>
                <v:textbox>
                  <w:txbxContent>
                    <w:p>
                      <w:pPr>
                        <w:ind w:left="0" w:leftChars="0" w:firstLine="0" w:firstLineChars="0"/>
                        <w:rPr>
                          <w:rFonts w:hint="eastAsia" w:eastAsia="宋体"/>
                          <w:b/>
                          <w:bCs/>
                          <w:color w:val="FF0000"/>
                          <w:sz w:val="18"/>
                          <w:szCs w:val="18"/>
                          <w:highlight w:val="none"/>
                          <w:lang w:val="en-US" w:eastAsia="zh-CN"/>
                        </w:rPr>
                      </w:pPr>
                      <w:r>
                        <w:rPr>
                          <w:rFonts w:hint="eastAsia"/>
                          <w:b/>
                          <w:bCs/>
                          <w:color w:val="FF0000"/>
                          <w:sz w:val="18"/>
                          <w:szCs w:val="18"/>
                          <w:highlight w:val="none"/>
                          <w:lang w:val="en-US" w:eastAsia="zh-CN"/>
                        </w:rPr>
                        <w:t>挡土墙</w:t>
                      </w:r>
                    </w:p>
                  </w:txbxContent>
                </v:textbox>
              </v:shape>
            </w:pict>
          </mc:Fallback>
        </mc:AlternateContent>
      </w:r>
      <w:r>
        <w:rPr>
          <w:color w:val="auto"/>
          <w:sz w:val="24"/>
        </w:rPr>
        <mc:AlternateContent>
          <mc:Choice Requires="wps">
            <w:drawing>
              <wp:anchor distT="0" distB="0" distL="114300" distR="114300" simplePos="0" relativeHeight="251745280" behindDoc="0" locked="0" layoutInCell="1" allowOverlap="1">
                <wp:simplePos x="0" y="0"/>
                <wp:positionH relativeFrom="column">
                  <wp:posOffset>1253490</wp:posOffset>
                </wp:positionH>
                <wp:positionV relativeFrom="paragraph">
                  <wp:posOffset>711200</wp:posOffset>
                </wp:positionV>
                <wp:extent cx="2036445" cy="2242185"/>
                <wp:effectExtent l="6350" t="6350" r="471805" b="551815"/>
                <wp:wrapNone/>
                <wp:docPr id="222" name="矩形标注 222"/>
                <wp:cNvGraphicFramePr/>
                <a:graphic xmlns:a="http://schemas.openxmlformats.org/drawingml/2006/main">
                  <a:graphicData uri="http://schemas.microsoft.com/office/word/2010/wordprocessingShape">
                    <wps:wsp>
                      <wps:cNvSpPr/>
                      <wps:spPr>
                        <a:xfrm>
                          <a:off x="2183130" y="1611630"/>
                          <a:ext cx="2036445" cy="2242185"/>
                        </a:xfrm>
                        <a:prstGeom prst="wedgeRectCallout">
                          <a:avLst>
                            <a:gd name="adj1" fmla="val 70548"/>
                            <a:gd name="adj2" fmla="val 7293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98.7pt;margin-top:56pt;height:176.55pt;width:160.35pt;z-index:251745280;v-text-anchor:middle;mso-width-relative:page;mso-height-relative:page;" filled="f" stroked="t" coordsize="21600,21600" o:gfxdata="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zsj+INcAAAALAQAA&#10;DwAAAAAAAAABACAAAAAiAAAAZHJzL2Rvd25yZXYueG1sUEsBAhQAFAAAAAgAh07iQCUAtvPFAgAA&#10;awUAAA4AAAAAAAAAAQAgAAAAJgEAAGRycy9lMm9Eb2MueG1sUEsFBgAAAAAGAAYAWQEAAF0GAAAA&#10;AA==&#10;" adj="26038,26555">
                <v:fill on="f" focussize="0,0"/>
                <v:stroke weight="1pt" color="#41719C [3204]" miterlimit="8" joinstyle="miter"/>
                <v:imagedata o:title=""/>
                <o:lock v:ext="edit" aspectratio="f"/>
                <v:textbox>
                  <w:txbxContent>
                    <w:p>
                      <w:pPr>
                        <w:jc w:val="center"/>
                      </w:pPr>
                    </w:p>
                  </w:txbxContent>
                </v:textbox>
              </v:shape>
            </w:pict>
          </mc:Fallback>
        </mc:AlternateContent>
      </w:r>
      <w:r>
        <w:rPr>
          <w:color w:val="auto"/>
        </w:rPr>
        <w:drawing>
          <wp:anchor distT="0" distB="0" distL="114300" distR="114300" simplePos="0" relativeHeight="251744256" behindDoc="0" locked="0" layoutInCell="1" allowOverlap="1">
            <wp:simplePos x="0" y="0"/>
            <wp:positionH relativeFrom="column">
              <wp:posOffset>1263650</wp:posOffset>
            </wp:positionH>
            <wp:positionV relativeFrom="paragraph">
              <wp:posOffset>713740</wp:posOffset>
            </wp:positionV>
            <wp:extent cx="2030730" cy="2252980"/>
            <wp:effectExtent l="0" t="0" r="7620" b="13970"/>
            <wp:wrapNone/>
            <wp:docPr id="11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7"/>
                    <pic:cNvPicPr>
                      <a:picLocks noChangeAspect="1"/>
                    </pic:cNvPicPr>
                  </pic:nvPicPr>
                  <pic:blipFill>
                    <a:blip r:embed="rId52"/>
                    <a:stretch>
                      <a:fillRect/>
                    </a:stretch>
                  </pic:blipFill>
                  <pic:spPr>
                    <a:xfrm>
                      <a:off x="0" y="0"/>
                      <a:ext cx="2030730" cy="2252980"/>
                    </a:xfrm>
                    <a:prstGeom prst="rect">
                      <a:avLst/>
                    </a:prstGeom>
                    <a:noFill/>
                    <a:ln>
                      <a:noFill/>
                    </a:ln>
                  </pic:spPr>
                </pic:pic>
              </a:graphicData>
            </a:graphic>
          </wp:anchor>
        </w:drawing>
      </w:r>
    </w:p>
    <w:p>
      <w:pPr>
        <w:ind w:left="0" w:leftChars="0" w:firstLine="0" w:firstLineChars="0"/>
        <w:jc w:val="center"/>
        <w:rPr>
          <w:rFonts w:hint="default" w:ascii="Times New Roman" w:hAnsi="Times New Roman" w:eastAsia="宋体" w:cs="Times New Roman"/>
          <w:b/>
          <w:bCs/>
          <w:color w:val="auto"/>
          <w:highlight w:val="none"/>
          <w:lang w:val="en-US" w:eastAsia="zh-CN"/>
        </w:rPr>
        <w:sectPr>
          <w:pgSz w:w="16840" w:h="11907" w:orient="landscape"/>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bCs/>
          <w:color w:val="auto"/>
          <w:highlight w:val="none"/>
          <w:lang w:val="en-US" w:eastAsia="zh-CN"/>
        </w:rPr>
        <w:t>图2.</w:t>
      </w: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w:t>
      </w:r>
      <w:r>
        <w:rPr>
          <w:rFonts w:hint="eastAsia" w:cs="Times New Roman"/>
          <w:b/>
          <w:bCs/>
          <w:color w:val="auto"/>
          <w:highlight w:val="none"/>
          <w:lang w:val="en-US" w:eastAsia="zh-CN"/>
        </w:rPr>
        <w:t>1</w:t>
      </w:r>
      <w:r>
        <w:rPr>
          <w:rFonts w:hint="default" w:ascii="Times New Roman" w:hAnsi="Times New Roman" w:eastAsia="宋体" w:cs="Times New Roman"/>
          <w:b/>
          <w:bCs/>
          <w:color w:val="auto"/>
          <w:highlight w:val="none"/>
          <w:lang w:val="en-US" w:eastAsia="zh-CN"/>
        </w:rPr>
        <w:t xml:space="preserve"> 建设项目生态已恢复工程情况图</w:t>
      </w:r>
    </w:p>
    <w:p>
      <w:pPr>
        <w:pStyle w:val="4"/>
        <w:bidi w:val="0"/>
        <w:rPr>
          <w:rFonts w:hint="default"/>
          <w:color w:val="auto"/>
          <w:lang w:val="en-US" w:eastAsia="zh-CN"/>
        </w:rPr>
      </w:pPr>
      <w:bookmarkStart w:id="167" w:name="_Toc32162"/>
      <w:r>
        <w:rPr>
          <w:rFonts w:hint="default"/>
          <w:color w:val="auto"/>
          <w:lang w:val="en-US" w:eastAsia="zh-CN"/>
        </w:rPr>
        <w:t>矿区现存环境问题及整改措施</w:t>
      </w:r>
      <w:bookmarkEnd w:id="167"/>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2.1.5.1现存环境问题</w:t>
      </w:r>
    </w:p>
    <w:p>
      <w:pPr>
        <w:bidi w:val="0"/>
        <w:ind w:left="240" w:leftChars="100" w:firstLine="240" w:firstLineChars="100"/>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lang w:val="en-US" w:eastAsia="zh-CN"/>
        </w:rPr>
        <w:t>（1）历史采矿活动形成的废弃露天采场、废弃排岩场和废弃平硐硐口损毁土地</w:t>
      </w:r>
      <w:r>
        <w:rPr>
          <w:rFonts w:hint="default" w:ascii="Times New Roman" w:hAnsi="Times New Roman" w:eastAsia="宋体" w:cs="Times New Roman"/>
          <w:bCs/>
          <w:color w:val="auto"/>
          <w:sz w:val="24"/>
          <w:highlight w:val="none"/>
        </w:rPr>
        <w:t>3.8101</w:t>
      </w:r>
      <w:r>
        <w:rPr>
          <w:rFonts w:hint="default" w:ascii="Times New Roman" w:hAnsi="Times New Roman" w:eastAsia="宋体" w:cs="Times New Roman"/>
          <w:color w:val="auto"/>
          <w:highlight w:val="none"/>
          <w:lang w:val="en-US" w:eastAsia="zh-CN"/>
        </w:rPr>
        <w:t>hm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其中，以挖损形式破坏的土地面积1.1102hm²，以压占破坏的土地面积2.6999hm²。破坏的土地类型为有林地、采矿用地、裸地、其他草地，破坏林地及草地面积2.6044hm²</w:t>
      </w:r>
      <w:r>
        <w:rPr>
          <w:rFonts w:hint="default" w:ascii="Times New Roman" w:hAnsi="Times New Roman" w:eastAsia="宋体" w:cs="Times New Roman"/>
          <w:color w:val="auto"/>
          <w:highlight w:val="none"/>
          <w:vertAlign w:val="baseline"/>
          <w:lang w:val="en-US"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（2）现状损毁土地现为裸露地面，遇大风天气易产生扬尘。</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露天开采期间的无序开采以及早期当地村民的私挖滥采行为，导致露天采出废石未进行集中堆放，多随意就近堆放在露天来场周边，因而在本项目矿山范围内形成多处零散废石堆。且由于多年雨水冲刷，有部分零散废石散落在矿山范围内。</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2.1.5.2以新带老措施</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针对上述现存主要环境问题，本项目将采取如下环保措施：</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（1）岫岩满族自治县苏子沟镇大何家堡村钾长石矿将矿山范围内及范围外的上述现状损毁土地全部列入本项目的生态恢复方案，本项目最终生态恢复面积14.3955hm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sz w:val="24"/>
          <w:highlight w:val="none"/>
        </w:rPr>
        <w:t>复垦方向为有林地、灌木林地</w:t>
      </w:r>
      <w:r>
        <w:rPr>
          <w:rFonts w:hint="default" w:ascii="Times New Roman" w:hAnsi="Times New Roman" w:eastAsia="宋体" w:cs="Times New Roman"/>
          <w:color w:val="auto"/>
          <w:highlight w:val="none"/>
          <w:lang w:val="en-US" w:eastAsia="zh-CN"/>
        </w:rPr>
        <w:t>。</w:t>
      </w:r>
    </w:p>
    <w:p>
      <w:pPr>
        <w:bidi w:val="0"/>
        <w:rPr>
          <w:rFonts w:hint="default" w:ascii="Times New Roman" w:hAnsi="Times New Roman" w:eastAsia="宋体" w:cs="Times New Roman"/>
          <w:color w:val="auto"/>
          <w:highlight w:val="none"/>
          <w:lang w:val="en-US" w:eastAsia="zh-CN"/>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lang w:val="en-US" w:eastAsia="zh-CN"/>
        </w:rPr>
        <w:t>（2）本项目严格依据已编制完成的《岫岩满族自治县苏子沟镇大何家堡村钾长石矿矿山地质环境保护与土地复垦方案》开展生态恢复工作，逐步减少裸露地面的面积，最终实现现状损毁土地的全面恢复植被。</w:t>
      </w:r>
    </w:p>
    <w:bookmarkEnd w:id="154"/>
    <w:bookmarkEnd w:id="155"/>
    <w:p>
      <w:pPr>
        <w:pStyle w:val="3"/>
        <w:bidi w:val="0"/>
        <w:rPr>
          <w:rFonts w:hint="default"/>
          <w:color w:val="auto"/>
        </w:rPr>
      </w:pPr>
      <w:bookmarkStart w:id="168" w:name="_Toc27903"/>
      <w:r>
        <w:rPr>
          <w:rFonts w:hint="default"/>
          <w:color w:val="auto"/>
        </w:rPr>
        <w:t>扩建项目工程分析</w:t>
      </w:r>
      <w:bookmarkEnd w:id="168"/>
    </w:p>
    <w:p>
      <w:pPr>
        <w:pStyle w:val="4"/>
        <w:bidi w:val="0"/>
        <w:rPr>
          <w:rFonts w:hint="default"/>
          <w:color w:val="auto"/>
        </w:rPr>
      </w:pPr>
      <w:bookmarkStart w:id="169" w:name="_Toc9136"/>
      <w:r>
        <w:rPr>
          <w:rFonts w:hint="eastAsia"/>
          <w:color w:val="auto"/>
          <w:lang w:val="en-US" w:eastAsia="zh-CN"/>
        </w:rPr>
        <w:t>项目概况</w:t>
      </w:r>
      <w:bookmarkEnd w:id="169"/>
    </w:p>
    <w:p>
      <w:pPr>
        <w:pStyle w:val="5"/>
        <w:bidi w:val="0"/>
        <w:rPr>
          <w:rFonts w:hint="default"/>
          <w:color w:val="auto"/>
        </w:rPr>
      </w:pPr>
      <w:r>
        <w:rPr>
          <w:rFonts w:hint="default"/>
          <w:color w:val="auto"/>
        </w:rPr>
        <w:t>项目名称、建设</w:t>
      </w:r>
      <w:r>
        <w:rPr>
          <w:rFonts w:hint="eastAsia"/>
          <w:color w:val="auto"/>
          <w:lang w:val="en-US" w:eastAsia="zh-CN"/>
        </w:rPr>
        <w:t>规模</w:t>
      </w:r>
      <w:r>
        <w:rPr>
          <w:rFonts w:hint="default"/>
          <w:color w:val="auto"/>
        </w:rPr>
        <w:t>、建设地点</w:t>
      </w:r>
    </w:p>
    <w:p>
      <w:pPr>
        <w:pStyle w:val="62"/>
        <w:spacing w:line="360" w:lineRule="auto"/>
        <w:ind w:firstLine="480"/>
        <w:rPr>
          <w:rFonts w:hint="default" w:ascii="Times New Roman" w:hAnsi="Times New Roman" w:eastAsia="宋体" w:cs="Times New Roman"/>
          <w:color w:val="auto"/>
          <w:highlight w:val="none"/>
          <w:lang w:eastAsia="zh-CN"/>
        </w:rPr>
      </w:pPr>
      <w:bookmarkStart w:id="170" w:name="_Toc109449676"/>
      <w:bookmarkStart w:id="171" w:name="_Toc109448400"/>
      <w:r>
        <w:rPr>
          <w:rFonts w:hint="default" w:ascii="Times New Roman" w:hAnsi="Times New Roman" w:eastAsia="宋体" w:cs="Times New Roman"/>
          <w:color w:val="auto"/>
          <w:highlight w:val="none"/>
        </w:rPr>
        <w:t>（1）项目名称：</w:t>
      </w:r>
      <w:r>
        <w:rPr>
          <w:rFonts w:hint="default" w:ascii="Times New Roman" w:hAnsi="Times New Roman" w:eastAsia="宋体" w:cs="Times New Roman"/>
          <w:color w:val="auto"/>
          <w:highlight w:val="none"/>
          <w:lang w:eastAsia="zh-CN"/>
        </w:rPr>
        <w:t>岫岩满族自治县苏子沟镇大何家堡村钾长石矿年开采15万ta钾长石矿石项目</w:t>
      </w:r>
    </w:p>
    <w:p>
      <w:pPr>
        <w:pStyle w:val="62"/>
        <w:spacing w:line="360" w:lineRule="auto"/>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建设单位：</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lang w:val="en-US" w:eastAsia="zh-CN"/>
        </w:rPr>
        <w:t>。</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（3）建设规模：</w:t>
      </w: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矿区面积为</w:t>
      </w:r>
      <w:r>
        <w:rPr>
          <w:rFonts w:hint="default" w:ascii="Times New Roman" w:hAnsi="Times New Roman" w:eastAsia="宋体" w:cs="Times New Roman"/>
          <w:color w:val="auto"/>
          <w:highlight w:val="none"/>
          <w:lang w:eastAsia="zh-CN"/>
        </w:rPr>
        <w:t>0.4780km</w:t>
      </w:r>
      <w:r>
        <w:rPr>
          <w:rFonts w:hint="default" w:ascii="Times New Roman" w:hAnsi="Times New Roman" w:eastAsia="宋体" w:cs="Times New Roman"/>
          <w:color w:val="auto"/>
          <w:highlight w:val="none"/>
          <w:vertAlign w:val="superscript"/>
          <w:lang w:eastAsia="zh-CN"/>
        </w:rPr>
        <w:t>2</w:t>
      </w:r>
      <w:r>
        <w:rPr>
          <w:rFonts w:hint="default" w:ascii="Times New Roman" w:hAnsi="Times New Roman" w:eastAsia="宋体" w:cs="Times New Roman"/>
          <w:color w:val="auto"/>
          <w:highlight w:val="none"/>
        </w:rPr>
        <w:t>，设计采用露天、地下两种方式开采区内6条矿体，共设1套地下、2套露天计3套开采工艺系统。其中：地下系统开采K1和K2矿体，露天一采场开采K3和K4矿体，露天二采场开采K5和K6矿体。设计利用资源量合计236.703万t。矿山生产规模15万吨/年，服务年限为15.78a（不含基建期）。</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（4）建设地点：</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rPr>
        <w:t>矿区位于岫岩县</w:t>
      </w:r>
      <w:r>
        <w:rPr>
          <w:rFonts w:hint="default" w:ascii="Times New Roman" w:hAnsi="Times New Roman" w:eastAsia="宋体" w:cs="Times New Roman"/>
          <w:color w:val="auto"/>
          <w:highlight w:val="none"/>
          <w:lang w:eastAsia="zh-CN"/>
        </w:rPr>
        <w:t>苏子沟镇</w:t>
      </w:r>
      <w:r>
        <w:rPr>
          <w:rFonts w:hint="default" w:ascii="Times New Roman" w:hAnsi="Times New Roman" w:eastAsia="宋体" w:cs="Times New Roman"/>
          <w:color w:val="auto"/>
          <w:highlight w:val="none"/>
        </w:rPr>
        <w:t>，行政区划隶属于辽宁省岫岩县</w:t>
      </w:r>
      <w:r>
        <w:rPr>
          <w:rFonts w:hint="default" w:ascii="Times New Roman" w:hAnsi="Times New Roman" w:eastAsia="宋体" w:cs="Times New Roman"/>
          <w:color w:val="auto"/>
          <w:highlight w:val="none"/>
          <w:lang w:eastAsia="zh-CN"/>
        </w:rPr>
        <w:t>苏子沟镇大何家堡村</w:t>
      </w:r>
      <w:r>
        <w:rPr>
          <w:rFonts w:hint="default" w:ascii="Times New Roman" w:hAnsi="Times New Roman" w:eastAsia="宋体" w:cs="Times New Roman"/>
          <w:color w:val="auto"/>
          <w:highlight w:val="none"/>
        </w:rPr>
        <w:t>管辖。矿区中心地理坐标：东经123°22′15.15743″，北纬40°26′59.14054″。项目地理位置及交通见图</w:t>
      </w:r>
      <w:r>
        <w:rPr>
          <w:rFonts w:hint="eastAsia" w:cs="Times New Roman"/>
          <w:color w:val="auto"/>
          <w:highlight w:val="none"/>
          <w:lang w:val="en-US" w:eastAsia="zh-CN"/>
        </w:rPr>
        <w:t>3.1</w:t>
      </w:r>
      <w:r>
        <w:rPr>
          <w:rFonts w:hint="default" w:ascii="Times New Roman" w:hAnsi="Times New Roman" w:eastAsia="宋体" w:cs="Times New Roman"/>
          <w:color w:val="auto"/>
          <w:highlight w:val="none"/>
        </w:rPr>
        <w:t>-1。</w:t>
      </w:r>
    </w:p>
    <w:p>
      <w:pPr>
        <w:pStyle w:val="62"/>
        <w:spacing w:line="360" w:lineRule="auto"/>
        <w:ind w:firstLine="480"/>
        <w:rPr>
          <w:rFonts w:hint="default" w:ascii="Times New Roman" w:hAnsi="Times New Roman" w:eastAsia="宋体" w:cs="Times New Roman"/>
          <w:bCs/>
          <w:color w:val="auto"/>
          <w:kern w:val="0"/>
          <w:highlight w:val="none"/>
          <w:lang w:val="en-US" w:eastAsia="zh-CN"/>
        </w:rPr>
      </w:pPr>
      <w:r>
        <w:rPr>
          <w:rFonts w:hint="default" w:ascii="Times New Roman" w:hAnsi="Times New Roman" w:eastAsia="宋体" w:cs="Times New Roman"/>
          <w:color w:val="auto"/>
          <w:highlight w:val="none"/>
        </w:rPr>
        <w:t>（5）建设性质：</w:t>
      </w:r>
      <w:r>
        <w:rPr>
          <w:rFonts w:hint="default" w:ascii="Times New Roman" w:hAnsi="Times New Roman" w:eastAsia="宋体" w:cs="Times New Roman"/>
          <w:color w:val="auto"/>
          <w:highlight w:val="none"/>
          <w:lang w:val="en-US" w:eastAsia="zh-CN"/>
        </w:rPr>
        <w:t>改扩建</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（6）行业类别：B</w:t>
      </w:r>
      <w:r>
        <w:rPr>
          <w:rFonts w:hint="default" w:ascii="Times New Roman" w:hAnsi="Times New Roman" w:eastAsia="宋体" w:cs="Times New Roman"/>
          <w:color w:val="auto"/>
          <w:highlight w:val="none"/>
          <w:lang w:val="en-US" w:eastAsia="zh-CN"/>
        </w:rPr>
        <w:t>109石棉及其他非金属矿采选</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）建设投资：</w:t>
      </w:r>
      <w:r>
        <w:rPr>
          <w:rFonts w:hint="default" w:ascii="Times New Roman" w:hAnsi="Times New Roman" w:eastAsia="宋体" w:cs="Times New Roman"/>
          <w:color w:val="auto"/>
          <w:highlight w:val="none"/>
          <w:lang w:eastAsia="zh-CN"/>
        </w:rPr>
        <w:t>1006.67</w:t>
      </w:r>
      <w:r>
        <w:rPr>
          <w:rFonts w:hint="default" w:ascii="Times New Roman" w:hAnsi="Times New Roman" w:eastAsia="宋体" w:cs="Times New Roman"/>
          <w:color w:val="auto"/>
          <w:highlight w:val="none"/>
        </w:rPr>
        <w:t>万元</w:t>
      </w:r>
      <w:r>
        <w:rPr>
          <w:rFonts w:hint="default" w:ascii="Times New Roman" w:hAnsi="Times New Roman" w:eastAsia="宋体" w:cs="Times New Roman"/>
          <w:color w:val="auto"/>
          <w:highlight w:val="none"/>
          <w:lang w:eastAsia="zh-CN"/>
        </w:rPr>
        <w:t>。</w:t>
      </w:r>
    </w:p>
    <w:p>
      <w:pPr>
        <w:keepNext w:val="0"/>
        <w:keepLines w:val="0"/>
        <w:widowControl/>
        <w:suppressLineNumbers w:val="0"/>
        <w:jc w:val="left"/>
        <w:rPr>
          <w:color w:val="auto"/>
          <w:highlight w:val="none"/>
        </w:rPr>
      </w:pPr>
      <w:r>
        <w:rPr>
          <w:rFonts w:ascii="TT6Bo00" w:hAnsi="TT6Bo00" w:eastAsia="TT6Bo00" w:cs="TT6Bo00"/>
          <w:color w:val="auto"/>
          <w:kern w:val="0"/>
          <w:sz w:val="24"/>
          <w:szCs w:val="24"/>
          <w:highlight w:val="none"/>
          <w:lang w:val="en-US" w:eastAsia="zh-CN" w:bidi="ar"/>
        </w:rPr>
        <w:t>本项目建设</w:t>
      </w:r>
      <w:r>
        <w:rPr>
          <w:rFonts w:ascii="TT6Bo01" w:hAnsi="TT6Bo01" w:eastAsia="TT6Bo01" w:cs="TT6Bo01"/>
          <w:color w:val="auto"/>
          <w:kern w:val="0"/>
          <w:sz w:val="24"/>
          <w:szCs w:val="24"/>
          <w:highlight w:val="none"/>
          <w:lang w:val="en-US" w:eastAsia="zh-CN" w:bidi="ar"/>
        </w:rPr>
        <w:t>前</w:t>
      </w:r>
      <w:r>
        <w:rPr>
          <w:rFonts w:hint="default" w:ascii="TT6Bo00" w:hAnsi="TT6Bo00" w:eastAsia="TT6Bo00" w:cs="TT6Bo00"/>
          <w:color w:val="auto"/>
          <w:kern w:val="0"/>
          <w:sz w:val="24"/>
          <w:szCs w:val="24"/>
          <w:highlight w:val="none"/>
          <w:lang w:val="en-US" w:eastAsia="zh-CN" w:bidi="ar"/>
        </w:rPr>
        <w:t>后矿山一</w:t>
      </w:r>
      <w:r>
        <w:rPr>
          <w:rFonts w:ascii="TT6Bo03" w:hAnsi="TT6Bo03" w:eastAsia="TT6Bo03" w:cs="TT6Bo03"/>
          <w:color w:val="auto"/>
          <w:kern w:val="0"/>
          <w:sz w:val="24"/>
          <w:szCs w:val="24"/>
          <w:highlight w:val="none"/>
          <w:lang w:val="en-US" w:eastAsia="zh-CN" w:bidi="ar"/>
        </w:rPr>
        <w:t>些指</w:t>
      </w:r>
      <w:r>
        <w:rPr>
          <w:rFonts w:hint="default" w:ascii="TT6Bo00" w:hAnsi="TT6Bo00" w:eastAsia="TT6Bo00" w:cs="TT6Bo00"/>
          <w:color w:val="auto"/>
          <w:kern w:val="0"/>
          <w:sz w:val="24"/>
          <w:szCs w:val="24"/>
          <w:highlight w:val="none"/>
          <w:lang w:val="en-US" w:eastAsia="zh-CN" w:bidi="ar"/>
        </w:rPr>
        <w:t>标的</w:t>
      </w:r>
      <w:r>
        <w:rPr>
          <w:rFonts w:hint="default" w:ascii="TT6Bo01" w:hAnsi="TT6Bo01" w:eastAsia="TT6Bo01" w:cs="TT6Bo01"/>
          <w:color w:val="auto"/>
          <w:kern w:val="0"/>
          <w:sz w:val="24"/>
          <w:szCs w:val="24"/>
          <w:highlight w:val="none"/>
          <w:lang w:val="en-US" w:eastAsia="zh-CN" w:bidi="ar"/>
        </w:rPr>
        <w:t>变</w:t>
      </w:r>
      <w:r>
        <w:rPr>
          <w:rFonts w:hint="default" w:ascii="TT6Bo00" w:hAnsi="TT6Bo00" w:eastAsia="TT6Bo00" w:cs="TT6Bo00"/>
          <w:color w:val="auto"/>
          <w:kern w:val="0"/>
          <w:sz w:val="24"/>
          <w:szCs w:val="24"/>
          <w:highlight w:val="none"/>
          <w:lang w:val="en-US" w:eastAsia="zh-CN" w:bidi="ar"/>
        </w:rPr>
        <w:t>化</w:t>
      </w:r>
      <w:r>
        <w:rPr>
          <w:rFonts w:hint="default" w:ascii="TT6Bo01" w:hAnsi="TT6Bo01" w:eastAsia="TT6Bo01" w:cs="TT6Bo01"/>
          <w:color w:val="auto"/>
          <w:kern w:val="0"/>
          <w:sz w:val="24"/>
          <w:szCs w:val="24"/>
          <w:highlight w:val="none"/>
          <w:lang w:val="en-US" w:eastAsia="zh-CN" w:bidi="ar"/>
        </w:rPr>
        <w:t>情况</w:t>
      </w:r>
      <w:r>
        <w:rPr>
          <w:rFonts w:hint="default" w:ascii="TT6Bo00" w:hAnsi="TT6Bo00" w:eastAsia="TT6Bo00" w:cs="TT6Bo00"/>
          <w:color w:val="auto"/>
          <w:kern w:val="0"/>
          <w:sz w:val="24"/>
          <w:szCs w:val="24"/>
          <w:highlight w:val="none"/>
          <w:lang w:val="en-US" w:eastAsia="zh-CN" w:bidi="ar"/>
        </w:rPr>
        <w:t>见表</w:t>
      </w:r>
      <w:r>
        <w:rPr>
          <w:rFonts w:hint="default" w:ascii="Times New Roman" w:hAnsi="Times New Roman" w:eastAsia="宋体" w:cs="Times New Roman"/>
          <w:color w:val="auto"/>
          <w:kern w:val="0"/>
          <w:sz w:val="24"/>
          <w:szCs w:val="24"/>
          <w:highlight w:val="none"/>
          <w:lang w:val="en-US" w:eastAsia="zh-CN" w:bidi="ar"/>
        </w:rPr>
        <w:t>3.1-1</w:t>
      </w:r>
      <w:r>
        <w:rPr>
          <w:rFonts w:hint="default" w:ascii="TT6Bo00" w:hAnsi="TT6Bo00" w:eastAsia="TT6Bo00" w:cs="TT6Bo00"/>
          <w:color w:val="auto"/>
          <w:kern w:val="0"/>
          <w:sz w:val="24"/>
          <w:szCs w:val="24"/>
          <w:highlight w:val="none"/>
          <w:lang w:val="en-US" w:eastAsia="zh-CN" w:bidi="ar"/>
        </w:rPr>
        <w:t>。</w:t>
      </w:r>
    </w:p>
    <w:p>
      <w:pPr>
        <w:spacing w:line="240" w:lineRule="atLeast"/>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表3.1.1-1 本项目实施前后矿山指标的变化情况表</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2347"/>
        <w:gridCol w:w="2659"/>
        <w:gridCol w:w="27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现状</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本项目建设后</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变化情况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采矿规模</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5万t/a</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15万t/a</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增加采矿规模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开采方式</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地下开采</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露天、地下两种方式</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增加露天开采方式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开采工艺系统</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1套地下</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1套地下、2套露天计3套</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增加2套露天开采系统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矿区面积</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0.4780km</w:t>
            </w:r>
            <w:r>
              <w:rPr>
                <w:rFonts w:hint="default" w:ascii="Times New Roman" w:hAnsi="Times New Roman" w:eastAsia="宋体" w:cs="Times New Roman"/>
                <w:color w:val="auto"/>
                <w:sz w:val="21"/>
                <w:szCs w:val="21"/>
                <w:highlight w:val="none"/>
                <w:vertAlign w:val="superscript"/>
                <w:lang w:val="en-US" w:eastAsia="zh-CN"/>
              </w:rPr>
              <w:t>2</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0.4780km</w:t>
            </w:r>
            <w:r>
              <w:rPr>
                <w:rFonts w:hint="default" w:ascii="Times New Roman" w:hAnsi="Times New Roman" w:eastAsia="宋体" w:cs="Times New Roman"/>
                <w:color w:val="auto"/>
                <w:sz w:val="21"/>
                <w:szCs w:val="21"/>
                <w:highlight w:val="none"/>
                <w:vertAlign w:val="superscript"/>
                <w:lang w:val="en-US" w:eastAsia="zh-CN"/>
              </w:rPr>
              <w:t>2</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采矿范围</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6个拐点</w:t>
            </w:r>
            <w:r>
              <w:rPr>
                <w:rFonts w:hint="default" w:ascii="Times New Roman" w:hAnsi="Times New Roman" w:eastAsia="宋体" w:cs="Times New Roman"/>
                <w:color w:val="auto"/>
                <w:sz w:val="21"/>
                <w:szCs w:val="21"/>
                <w:highlight w:val="none"/>
                <w:lang w:val="en-US" w:eastAsia="zh-CN"/>
              </w:rPr>
              <w:t>表2.1-1</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6个拐点</w:t>
            </w:r>
            <w:r>
              <w:rPr>
                <w:rFonts w:hint="default" w:ascii="Times New Roman" w:hAnsi="Times New Roman" w:eastAsia="宋体" w:cs="Times New Roman"/>
                <w:color w:val="auto"/>
                <w:sz w:val="21"/>
                <w:szCs w:val="21"/>
                <w:highlight w:val="none"/>
                <w:lang w:val="en-US" w:eastAsia="zh-CN"/>
              </w:rPr>
              <w:t>表2.1-1</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允许开采标高</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+480米至+280米</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+480米至+280米</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开采对象</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K1</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K</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矿体</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K1～K6矿体</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增加</w:t>
            </w:r>
            <w:r>
              <w:rPr>
                <w:rFonts w:hint="default" w:ascii="Times New Roman" w:hAnsi="Times New Roman" w:eastAsia="宋体" w:cs="Times New Roman"/>
                <w:color w:val="auto"/>
                <w:sz w:val="21"/>
                <w:szCs w:val="21"/>
                <w:highlight w:val="none"/>
                <w:lang w:val="en-US" w:eastAsia="zh-CN"/>
              </w:rPr>
              <w:t>K</w:t>
            </w: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lang w:val="en-US" w:eastAsia="zh-CN"/>
              </w:rPr>
              <w:t>K</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K</w:t>
            </w:r>
            <w:r>
              <w:rPr>
                <w:rFonts w:hint="eastAsia"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K6矿体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保有资源量</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292.66万t</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292.66万t</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不变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设计利用资源储量</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158.637万t</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236.703万t</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设计利用储存增加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资源利用率</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54.2%</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80.8%</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提高了资源利用率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服务年限</w:t>
            </w:r>
          </w:p>
        </w:tc>
        <w:tc>
          <w:tcPr>
            <w:tcW w:w="126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59年</w:t>
            </w:r>
          </w:p>
        </w:tc>
        <w:tc>
          <w:tcPr>
            <w:tcW w:w="14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15.78年</w:t>
            </w:r>
          </w:p>
        </w:tc>
        <w:tc>
          <w:tcPr>
            <w:tcW w:w="15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服务年限减少</w:t>
            </w:r>
          </w:p>
        </w:tc>
      </w:tr>
    </w:tbl>
    <w:p>
      <w:pPr>
        <w:bidi w:val="0"/>
        <w:rPr>
          <w:rFonts w:hint="default"/>
          <w:color w:val="auto"/>
          <w:lang w:eastAsia="zh-CN"/>
        </w:rPr>
      </w:pPr>
      <w:r>
        <w:rPr>
          <w:rFonts w:hint="eastAsia"/>
          <w:color w:val="auto"/>
          <w:lang w:val="en-US" w:eastAsia="zh-CN"/>
        </w:rPr>
        <w:t>项目扩建后规模及资源利用率均得到增加，开发利用更充分，符合矿产资源规划及相关政策要求。</w:t>
      </w:r>
    </w:p>
    <w:p>
      <w:pPr>
        <w:pStyle w:val="37"/>
        <w:rPr>
          <w:rFonts w:hint="default"/>
          <w:color w:val="auto"/>
          <w:lang w:eastAsia="zh-CN"/>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2"/>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5717540" cy="8394065"/>
            <wp:effectExtent l="0" t="0" r="16510" b="6985"/>
            <wp:docPr id="89" name="图片 89" descr="图2.1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图2.1地理位置图"/>
                    <pic:cNvPicPr>
                      <a:picLocks noChangeAspect="1"/>
                    </pic:cNvPicPr>
                  </pic:nvPicPr>
                  <pic:blipFill>
                    <a:blip r:embed="rId53"/>
                    <a:stretch>
                      <a:fillRect/>
                    </a:stretch>
                  </pic:blipFill>
                  <pic:spPr>
                    <a:xfrm>
                      <a:off x="0" y="0"/>
                      <a:ext cx="5717540" cy="8394065"/>
                    </a:xfrm>
                    <a:prstGeom prst="rect">
                      <a:avLst/>
                    </a:prstGeom>
                  </pic:spPr>
                </pic:pic>
              </a:graphicData>
            </a:graphic>
          </wp:inline>
        </w:drawing>
      </w:r>
    </w:p>
    <w:p>
      <w:pPr>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color w:val="auto"/>
          <w:sz w:val="24"/>
          <w:highlight w:val="none"/>
          <w:lang w:val="en-US" w:eastAsia="zh-CN"/>
        </w:rPr>
        <w:t>图</w:t>
      </w:r>
      <w:r>
        <w:rPr>
          <w:rFonts w:hint="eastAsia" w:cs="Times New Roman"/>
          <w:b/>
          <w:color w:val="auto"/>
          <w:sz w:val="24"/>
          <w:highlight w:val="none"/>
          <w:lang w:val="en-US" w:eastAsia="zh-CN"/>
        </w:rPr>
        <w:t>3.1</w:t>
      </w:r>
      <w:r>
        <w:rPr>
          <w:rFonts w:hint="default" w:ascii="Times New Roman" w:hAnsi="Times New Roman" w:eastAsia="宋体" w:cs="Times New Roman"/>
          <w:b/>
          <w:color w:val="auto"/>
          <w:sz w:val="24"/>
          <w:highlight w:val="none"/>
        </w:rPr>
        <w:t>-1</w:t>
      </w:r>
      <w:r>
        <w:rPr>
          <w:rFonts w:hint="default" w:ascii="Times New Roman" w:hAnsi="Times New Roman" w:eastAsia="宋体" w:cs="Times New Roman"/>
          <w:b/>
          <w:color w:val="auto"/>
          <w:sz w:val="24"/>
          <w:highlight w:val="none"/>
          <w:lang w:val="en-US" w:eastAsia="zh-CN"/>
        </w:rPr>
        <w:t>地理位置图</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开采方案</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172" w:name="_Toc24640"/>
      <w:bookmarkStart w:id="173" w:name="_Toc403375489"/>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.2.2.1开采对象</w:t>
      </w:r>
      <w:bookmarkEnd w:id="172"/>
      <w:bookmarkEnd w:id="173"/>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矿区内共圈出6条矿体，本次设计开采对象为矿区范围内K1～K6矿体，开采深度为+480m～+286m。</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174" w:name="_Toc403375490"/>
      <w:bookmarkStart w:id="175" w:name="_Toc30343"/>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.2.2.2开采方式的确定</w:t>
      </w:r>
      <w:bookmarkEnd w:id="174"/>
      <w:bookmarkEnd w:id="175"/>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矿区内共发现有六条钾长石矿体编号分别为K1～K6。根据矿山地形地质条件和矿体赋存条件等选择开采方式，见表</w:t>
      </w:r>
      <w:r>
        <w:rPr>
          <w:rFonts w:hint="eastAsia" w:cs="Times New Roman"/>
          <w:color w:val="auto"/>
          <w:highlight w:val="none"/>
          <w:lang w:val="en-US" w:eastAsia="zh-CN"/>
        </w:rPr>
        <w:t>3.1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2</w:t>
      </w:r>
      <w:r>
        <w:rPr>
          <w:rFonts w:hint="default" w:ascii="Times New Roman" w:hAnsi="Times New Roman" w:eastAsia="宋体" w:cs="Times New Roman"/>
          <w:color w:val="auto"/>
          <w:highlight w:val="none"/>
        </w:rPr>
        <w:t>。</w:t>
      </w:r>
    </w:p>
    <w:p>
      <w:pPr>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表</w:t>
      </w:r>
      <w:r>
        <w:rPr>
          <w:rFonts w:hint="eastAsia" w:cs="Times New Roman"/>
          <w:b/>
          <w:bCs/>
          <w:color w:val="auto"/>
          <w:sz w:val="21"/>
          <w:szCs w:val="21"/>
          <w:highlight w:val="none"/>
          <w:lang w:val="en-US" w:eastAsia="zh-CN"/>
        </w:rPr>
        <w:t>3.1</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开采方式分析选择表</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1382"/>
        <w:gridCol w:w="1382"/>
        <w:gridCol w:w="1382"/>
        <w:gridCol w:w="1382"/>
        <w:gridCol w:w="1382"/>
        <w:gridCol w:w="13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矿体编号</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矿体埋深（m）</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矿体平均厚度（m）</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矿体倾角（°）</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矿体走向</w:t>
            </w:r>
          </w:p>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走向长度（m）</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适用开采方式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K1</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108</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12.64</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224</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地下开采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K2</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134</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15.61</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224</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325</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地下开采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K3</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95</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9.48</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233</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露天开采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K4</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66</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12.01</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233</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露天开采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K5</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9.69</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224</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露天开采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K6</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16.33</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224</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w:t>
            </w:r>
          </w:p>
        </w:tc>
        <w:tc>
          <w:tcPr>
            <w:tcW w:w="7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露天开采</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根据《国家矿山安全监察局关于印发加强非煤矿山重点地区安全生产工作方案的通知》（矿安〔2021〕123号），严格安全准入标准第四条</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lang w:val="en-US" w:eastAsia="zh-CN"/>
        </w:rPr>
        <w:t>矿体埋藏深度小于200米的非金属矿山原则上不得采用地下开采。</w:t>
      </w:r>
      <w:r>
        <w:rPr>
          <w:rFonts w:hint="default" w:ascii="Times New Roman" w:hAnsi="Times New Roman" w:eastAsia="宋体" w:cs="Times New Roman"/>
          <w:color w:val="auto"/>
          <w:highlight w:val="none"/>
        </w:rPr>
        <w:t>本次设计确定K3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埋深0~95m</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、K4</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埋深0~66m</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、K5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埋深0~22m</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、K6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埋深0~22m</w:t>
      </w:r>
      <w:r>
        <w:rPr>
          <w:rFonts w:hint="default"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均为</w:t>
      </w:r>
      <w:r>
        <w:rPr>
          <w:rFonts w:hint="default" w:ascii="Times New Roman" w:hAnsi="Times New Roman" w:eastAsia="宋体" w:cs="Times New Roman"/>
          <w:color w:val="auto"/>
          <w:highlight w:val="none"/>
          <w:lang w:val="en-US" w:eastAsia="zh-CN"/>
        </w:rPr>
        <w:t>近地表</w:t>
      </w:r>
      <w:r>
        <w:rPr>
          <w:rFonts w:hint="default" w:ascii="Times New Roman" w:hAnsi="Times New Roman" w:eastAsia="宋体" w:cs="Times New Roman"/>
          <w:color w:val="auto"/>
          <w:highlight w:val="none"/>
        </w:rPr>
        <w:t>矿体</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本次设计确定K1、K2矿体采用地下开采方式；K3、K4、K5、K6矿体采用露天开采方式。露天一采场开采K3、K4矿体，露天二采场开采K5、K6矿体。</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176" w:name="_Toc403375491"/>
      <w:bookmarkStart w:id="177" w:name="_Toc28841"/>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.1.2.3矿区范围</w:t>
      </w:r>
      <w:bookmarkEnd w:id="176"/>
      <w:bookmarkEnd w:id="177"/>
    </w:p>
    <w:p>
      <w:pPr>
        <w:bidi w:val="0"/>
        <w:rPr>
          <w:rFonts w:hint="default" w:ascii="Times New Roman" w:hAnsi="Times New Roman" w:eastAsia="宋体" w:cs="Times New Roman"/>
          <w:color w:val="auto"/>
          <w:highlight w:val="none"/>
          <w:lang w:eastAsia="zh-CN"/>
        </w:rPr>
      </w:pPr>
      <w:bookmarkStart w:id="178" w:name="_Toc403375492"/>
      <w:r>
        <w:rPr>
          <w:rFonts w:hint="default" w:ascii="Times New Roman" w:hAnsi="Times New Roman" w:eastAsia="宋体" w:cs="Times New Roman"/>
          <w:color w:val="auto"/>
          <w:highlight w:val="none"/>
          <w:lang w:val="en-US" w:eastAsia="zh-CN"/>
        </w:rPr>
        <w:t>项目扩建后产能增加，矿区面积和开采深度不发生变化。</w:t>
      </w:r>
      <w:r>
        <w:rPr>
          <w:rFonts w:hint="default" w:ascii="Times New Roman" w:hAnsi="Times New Roman" w:eastAsia="宋体" w:cs="Times New Roman"/>
          <w:color w:val="auto"/>
          <w:highlight w:val="none"/>
        </w:rPr>
        <w:t>据采矿许可证（证号：C2103002010087120073094），矿区范围由6个拐点圈定，矿区面积：0.4780km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。开采深度为+480m～+280m标高，</w:t>
      </w:r>
      <w:r>
        <w:rPr>
          <w:rFonts w:hint="default" w:ascii="Times New Roman" w:hAnsi="Times New Roman" w:eastAsia="宋体" w:cs="Times New Roman"/>
          <w:color w:val="auto"/>
          <w:highlight w:val="none"/>
          <w:lang w:val="en-US" w:eastAsia="zh-CN"/>
        </w:rPr>
        <w:t>矿区</w:t>
      </w:r>
      <w:r>
        <w:rPr>
          <w:rFonts w:hint="default" w:ascii="Times New Roman" w:hAnsi="Times New Roman" w:eastAsia="宋体" w:cs="Times New Roman"/>
          <w:color w:val="auto"/>
          <w:highlight w:val="none"/>
        </w:rPr>
        <w:t>各拐点坐标见表</w:t>
      </w:r>
      <w:r>
        <w:rPr>
          <w:rFonts w:hint="default" w:ascii="Times New Roman" w:hAnsi="Times New Roman" w:eastAsia="宋体" w:cs="Times New Roman"/>
          <w:color w:val="auto"/>
          <w:highlight w:val="none"/>
          <w:lang w:val="en-US" w:eastAsia="zh-CN"/>
        </w:rPr>
        <w:t>2.1-</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w:t>
      </w:r>
    </w:p>
    <w:bookmarkEnd w:id="178"/>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179" w:name="_Toc403375493"/>
      <w:bookmarkStart w:id="180" w:name="_Toc12393"/>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.1.2.</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矿山规模、服务年限、工作制度</w:t>
      </w:r>
      <w:bookmarkEnd w:id="179"/>
      <w:bookmarkEnd w:id="180"/>
      <w:r>
        <w:rPr>
          <w:rFonts w:hint="default" w:ascii="Times New Roman" w:hAnsi="Times New Roman" w:eastAsia="宋体" w:cs="Times New Roman"/>
          <w:color w:val="auto"/>
          <w:sz w:val="24"/>
          <w:highlight w:val="none"/>
          <w:lang w:val="en-US" w:eastAsia="zh-CN"/>
        </w:rPr>
        <w:t>及劳动定员</w:t>
      </w:r>
    </w:p>
    <w:p>
      <w:pPr>
        <w:bidi w:val="0"/>
        <w:rPr>
          <w:rFonts w:hint="default" w:ascii="Times New Roman" w:hAnsi="Times New Roman" w:eastAsia="宋体" w:cs="Times New Roman"/>
          <w:color w:val="auto"/>
          <w:highlight w:val="none"/>
          <w:lang w:val="en-US" w:eastAsia="zh-CN"/>
        </w:rPr>
      </w:pPr>
      <w:bookmarkStart w:id="181" w:name="_Toc5478"/>
      <w:bookmarkStart w:id="182" w:name="_Toc175112334"/>
      <w:bookmarkStart w:id="183" w:name="_Toc173745339"/>
      <w:r>
        <w:rPr>
          <w:rFonts w:hint="default" w:ascii="Times New Roman" w:hAnsi="Times New Roman" w:eastAsia="宋体" w:cs="Times New Roman"/>
          <w:color w:val="auto"/>
          <w:highlight w:val="none"/>
          <w:lang w:val="en-US" w:eastAsia="zh-CN"/>
        </w:rPr>
        <w:t>（1）矿山规模</w:t>
      </w:r>
      <w:bookmarkEnd w:id="181"/>
      <w:bookmarkEnd w:id="182"/>
      <w:bookmarkEnd w:id="183"/>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开采技术条件、资源储量及矿山生产现状等条件，本次方案将生产规模提高至15万t/a钾长石矿石。考虑到各采区为独立系统开采，相互间距离较远，因此矿区范围内设计露天开采与地下开采同时开采，地下开采生产能力为5万t/a，露天开采生产能力为10万t/a（其中露天一采场及二采场各5万t/a）。根据各开采矿体的服务年限及接续情况，确定露天二采场开采结束后，地下开采规模调整为10万t/a，露天一采场结束后，地下开采规模调整为15万t/a。</w:t>
      </w:r>
    </w:p>
    <w:p>
      <w:pPr>
        <w:bidi w:val="0"/>
        <w:rPr>
          <w:rFonts w:hint="default" w:ascii="Times New Roman" w:hAnsi="Times New Roman" w:eastAsia="宋体" w:cs="Times New Roman"/>
          <w:color w:val="auto"/>
          <w:highlight w:val="none"/>
          <w:lang w:val="en-US" w:eastAsia="zh-CN"/>
        </w:rPr>
      </w:pPr>
      <w:bookmarkStart w:id="184" w:name="_Toc3905"/>
      <w:r>
        <w:rPr>
          <w:rFonts w:hint="default" w:ascii="Times New Roman" w:hAnsi="Times New Roman" w:eastAsia="宋体" w:cs="Times New Roman"/>
          <w:color w:val="auto"/>
          <w:highlight w:val="none"/>
          <w:lang w:val="en-US" w:eastAsia="zh-CN"/>
        </w:rPr>
        <w:t>（2）矿山服务年限</w:t>
      </w:r>
      <w:bookmarkEnd w:id="184"/>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另考虑到该矿山各采场设计利用资源储量及服务年限不同，后期地下采场相应提升设计生产规模。经计算，矿山总服务年限为15.78a（不含基建期，下同）。其中：地下开采服务年限为15.78a（即为总服务年限）；露天一采场服务年限为12.43a；露天二采场服务年限为3.19a。针对整个矿山年产量安排计划见表</w:t>
      </w:r>
      <w:r>
        <w:rPr>
          <w:rFonts w:hint="eastAsia" w:cs="Times New Roman"/>
          <w:color w:val="auto"/>
          <w:highlight w:val="none"/>
          <w:lang w:val="en-US" w:eastAsia="zh-CN"/>
        </w:rPr>
        <w:t>3.1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w:t>
      </w:r>
    </w:p>
    <w:p>
      <w:pPr>
        <w:spacing w:line="240" w:lineRule="atLeast"/>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cs="Times New Roman"/>
          <w:b/>
          <w:bCs/>
          <w:color w:val="auto"/>
          <w:sz w:val="21"/>
          <w:szCs w:val="21"/>
          <w:highlight w:val="none"/>
          <w:lang w:val="en-US" w:eastAsia="zh-CN"/>
        </w:rPr>
        <w:t>3.1</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矿山年产量安排计划表</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5"/>
        <w:gridCol w:w="350"/>
        <w:gridCol w:w="818"/>
        <w:gridCol w:w="482"/>
        <w:gridCol w:w="482"/>
        <w:gridCol w:w="482"/>
        <w:gridCol w:w="482"/>
        <w:gridCol w:w="482"/>
        <w:gridCol w:w="482"/>
        <w:gridCol w:w="482"/>
        <w:gridCol w:w="482"/>
        <w:gridCol w:w="482"/>
        <w:gridCol w:w="482"/>
        <w:gridCol w:w="482"/>
        <w:gridCol w:w="482"/>
        <w:gridCol w:w="482"/>
        <w:gridCol w:w="482"/>
        <w:gridCol w:w="482"/>
        <w:gridCol w:w="4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12"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各采区</w:t>
            </w:r>
          </w:p>
        </w:tc>
        <w:tc>
          <w:tcPr>
            <w:tcW w:w="188"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矿体</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编号</w:t>
            </w:r>
          </w:p>
        </w:tc>
        <w:tc>
          <w:tcPr>
            <w:tcW w:w="440"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资源储量（万t）</w:t>
            </w:r>
          </w:p>
        </w:tc>
        <w:tc>
          <w:tcPr>
            <w:tcW w:w="4158" w:type="pct"/>
            <w:gridSpan w:val="16"/>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服务年限（单位：a）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12"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88"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440"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65"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12"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露天一</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采场</w:t>
            </w:r>
          </w:p>
        </w:tc>
        <w:tc>
          <w:tcPr>
            <w:tcW w:w="188"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K3、K4</w:t>
            </w:r>
          </w:p>
        </w:tc>
        <w:tc>
          <w:tcPr>
            <w:tcW w:w="440"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62.136</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2.136</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65"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12"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露天二</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采场</w:t>
            </w:r>
          </w:p>
        </w:tc>
        <w:tc>
          <w:tcPr>
            <w:tcW w:w="188"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K5、K6</w:t>
            </w:r>
          </w:p>
        </w:tc>
        <w:tc>
          <w:tcPr>
            <w:tcW w:w="440"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15.93</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0.93</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265"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212"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bookmarkStart w:id="185" w:name="_Hlk67579953" w:colFirst="0" w:colLast="19"/>
            <w:r>
              <w:rPr>
                <w:rFonts w:hint="default" w:ascii="Times New Roman" w:hAnsi="Times New Roman" w:eastAsia="宋体" w:cs="Times New Roman"/>
                <w:color w:val="auto"/>
                <w:sz w:val="21"/>
                <w:szCs w:val="21"/>
                <w:highlight w:val="none"/>
                <w:lang w:val="en-US" w:eastAsia="zh-CN"/>
              </w:rPr>
              <w:t>地下</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开采</w:t>
            </w:r>
          </w:p>
        </w:tc>
        <w:tc>
          <w:tcPr>
            <w:tcW w:w="188"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K1、K2</w:t>
            </w:r>
          </w:p>
        </w:tc>
        <w:tc>
          <w:tcPr>
            <w:tcW w:w="440"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158.637</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9.07</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12.864</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65"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11.703</w:t>
            </w:r>
          </w:p>
        </w:tc>
      </w:tr>
      <w:bookmarkEnd w:id="185"/>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01" w:type="pct"/>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440"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236.703</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5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w:t>
            </w:r>
          </w:p>
        </w:tc>
        <w:tc>
          <w:tcPr>
            <w:tcW w:w="265"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11.703</w:t>
            </w:r>
          </w:p>
        </w:tc>
      </w:tr>
    </w:tbl>
    <w:p>
      <w:pPr>
        <w:bidi w:val="0"/>
        <w:rPr>
          <w:rFonts w:hint="default" w:ascii="Times New Roman" w:hAnsi="Times New Roman" w:eastAsia="宋体" w:cs="Times New Roman"/>
          <w:color w:val="auto"/>
          <w:highlight w:val="none"/>
          <w:lang w:val="en-US" w:eastAsia="zh-CN"/>
        </w:rPr>
      </w:pPr>
      <w:bookmarkStart w:id="186" w:name="_Toc16427"/>
      <w:r>
        <w:rPr>
          <w:rFonts w:hint="default" w:ascii="Times New Roman" w:hAnsi="Times New Roman" w:eastAsia="宋体" w:cs="Times New Roman"/>
          <w:color w:val="auto"/>
          <w:highlight w:val="none"/>
          <w:lang w:val="en-US" w:eastAsia="zh-CN"/>
        </w:rPr>
        <w:t>（3）工作制度</w:t>
      </w:r>
      <w:bookmarkEnd w:id="186"/>
      <w:r>
        <w:rPr>
          <w:rFonts w:hint="default" w:ascii="Times New Roman" w:hAnsi="Times New Roman" w:eastAsia="宋体" w:cs="Times New Roman"/>
          <w:color w:val="auto"/>
          <w:highlight w:val="none"/>
          <w:lang w:val="en-US" w:eastAsia="zh-CN"/>
        </w:rPr>
        <w:t>及劳动定员</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地下开采采用连续工作制，工作300天，每天3班，每班8小时；露天开采采用间断工作制，年工作300天，每天1班，每班8小时。</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该矿山开发基本情况，遵照机构要精干和有利于生产管理的原则，参照类似矿山机构设置情况，确定该矿采用两级管理形式。经计算，确定地下开采总定员64人，其中生产工人53人，管理人员11人；露天开采总定员</w:t>
      </w:r>
      <w:r>
        <w:rPr>
          <w:rFonts w:hint="default" w:ascii="Times New Roman" w:hAnsi="Times New Roman" w:eastAsia="宋体" w:cs="Times New Roman"/>
          <w:color w:val="auto"/>
          <w:highlight w:val="none"/>
          <w:lang w:val="en-US" w:eastAsia="zh-CN"/>
        </w:rPr>
        <w:t>46</w:t>
      </w:r>
      <w:r>
        <w:rPr>
          <w:rFonts w:hint="default" w:ascii="Times New Roman" w:hAnsi="Times New Roman" w:eastAsia="宋体" w:cs="Times New Roman"/>
          <w:color w:val="auto"/>
          <w:highlight w:val="none"/>
        </w:rPr>
        <w:t>人，其中生产工人</w:t>
      </w:r>
      <w:r>
        <w:rPr>
          <w:rFonts w:hint="default" w:ascii="Times New Roman" w:hAnsi="Times New Roman" w:eastAsia="宋体" w:cs="Times New Roman"/>
          <w:color w:val="auto"/>
          <w:highlight w:val="none"/>
          <w:lang w:val="en-US" w:eastAsia="zh-CN"/>
        </w:rPr>
        <w:t>34</w:t>
      </w:r>
      <w:r>
        <w:rPr>
          <w:rFonts w:hint="default" w:ascii="Times New Roman" w:hAnsi="Times New Roman" w:eastAsia="宋体" w:cs="Times New Roman"/>
          <w:color w:val="auto"/>
          <w:highlight w:val="none"/>
        </w:rPr>
        <w:t>人，管理人员1</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人。</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187" w:name="_Toc18220"/>
      <w:bookmarkStart w:id="188" w:name="_Toc403375494"/>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.1.2.6产品方案</w:t>
      </w:r>
      <w:bookmarkEnd w:id="187"/>
      <w:bookmarkEnd w:id="188"/>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矿山经评审认定的钾长石矿石资源量为292.66万t，矿物量（钾长石和钠长石）为242.487万t，矿物量占矿石量的82.86%。</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矿山年采出的15万t原矿石。</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露天开采废石混入率为5%，地下开采废石混入率为10%。矿石贫化率按等于废石混入率考虑。按照露天开采和地下开采的设计利用资源量计算，服务年限内矿山采出矿石的平均贫化率为8.35%。</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经计算，矿山服务年限内平均每年钾长石和钠长石的矿物采出量总计约1</w:t>
      </w:r>
      <w:r>
        <w:rPr>
          <w:rFonts w:hint="default" w:ascii="Times New Roman" w:hAnsi="Times New Roman" w:eastAsia="宋体" w:cs="Times New Roman"/>
          <w:color w:val="auto"/>
          <w:highlight w:val="none"/>
          <w:lang w:val="en-US" w:eastAsia="zh-CN"/>
        </w:rPr>
        <w:t>1.39</w:t>
      </w:r>
      <w:r>
        <w:rPr>
          <w:rFonts w:hint="default" w:ascii="Times New Roman" w:hAnsi="Times New Roman" w:eastAsia="宋体" w:cs="Times New Roman"/>
          <w:color w:val="auto"/>
          <w:highlight w:val="none"/>
        </w:rPr>
        <w:t>万t。</w:t>
      </w:r>
    </w:p>
    <w:bookmarkEnd w:id="170"/>
    <w:bookmarkEnd w:id="171"/>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项目组成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改扩建后，采用露天、地下两种方式开采区内6条矿体，共设1套地下、2套露天计3套开采工艺系统。改扩建工程</w:t>
      </w:r>
      <w:r>
        <w:rPr>
          <w:rFonts w:hint="default" w:ascii="Times New Roman" w:hAnsi="Times New Roman" w:eastAsia="宋体" w:cs="Times New Roman"/>
          <w:color w:val="auto"/>
          <w:highlight w:val="none"/>
        </w:rPr>
        <w:t>组成</w:t>
      </w:r>
      <w:r>
        <w:rPr>
          <w:rFonts w:hint="default" w:ascii="Times New Roman" w:hAnsi="Times New Roman" w:eastAsia="宋体" w:cs="Times New Roman"/>
          <w:color w:val="auto"/>
          <w:highlight w:val="none"/>
          <w:lang w:val="en-US" w:eastAsia="zh-CN"/>
        </w:rPr>
        <w:t>情况见</w:t>
      </w:r>
      <w:r>
        <w:rPr>
          <w:rFonts w:hint="default" w:ascii="Times New Roman" w:hAnsi="Times New Roman" w:eastAsia="宋体" w:cs="Times New Roman"/>
          <w:color w:val="auto"/>
          <w:highlight w:val="none"/>
        </w:rPr>
        <w:t>表</w:t>
      </w:r>
      <w:r>
        <w:rPr>
          <w:rFonts w:hint="eastAsia" w:cs="Times New Roman"/>
          <w:color w:val="auto"/>
          <w:highlight w:val="none"/>
          <w:lang w:val="en-US" w:eastAsia="zh-CN"/>
        </w:rPr>
        <w:t>3.1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4</w:t>
      </w:r>
      <w:r>
        <w:rPr>
          <w:rFonts w:hint="default" w:ascii="Times New Roman" w:hAnsi="Times New Roman" w:eastAsia="宋体" w:cs="Times New Roman"/>
          <w:color w:val="auto"/>
          <w:highlight w:val="none"/>
        </w:rPr>
        <w:t>。</w:t>
      </w:r>
    </w:p>
    <w:p>
      <w:pPr>
        <w:rPr>
          <w:rFonts w:hint="default" w:ascii="Times New Roman" w:hAnsi="Times New Roman" w:eastAsia="宋体" w:cs="Times New Roman"/>
          <w:color w:val="auto"/>
          <w:highlight w:val="none"/>
        </w:rPr>
      </w:pPr>
    </w:p>
    <w:p>
      <w:pPr>
        <w:pStyle w:val="2"/>
        <w:rPr>
          <w:rFonts w:hint="default" w:ascii="Times New Roman" w:hAnsi="Times New Roman" w:eastAsia="宋体" w:cs="Times New Roman"/>
          <w:color w:val="auto"/>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cs="Times New Roman"/>
          <w:b/>
          <w:bCs/>
          <w:color w:val="auto"/>
          <w:sz w:val="21"/>
          <w:szCs w:val="21"/>
          <w:highlight w:val="none"/>
          <w:lang w:val="en-US" w:eastAsia="zh-CN"/>
        </w:rPr>
        <w:t>3.1</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lang w:val="en-US" w:eastAsia="zh-CN"/>
        </w:rPr>
        <w:t>建设</w:t>
      </w:r>
      <w:r>
        <w:rPr>
          <w:rFonts w:hint="default" w:ascii="Times New Roman" w:hAnsi="Times New Roman" w:eastAsia="宋体" w:cs="Times New Roman"/>
          <w:b/>
          <w:bCs/>
          <w:color w:val="auto"/>
          <w:sz w:val="21"/>
          <w:szCs w:val="21"/>
          <w:highlight w:val="none"/>
        </w:rPr>
        <w:t>项目组成表</w:t>
      </w:r>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2"/>
        <w:gridCol w:w="769"/>
        <w:gridCol w:w="645"/>
        <w:gridCol w:w="48"/>
        <w:gridCol w:w="1287"/>
        <w:gridCol w:w="9087"/>
        <w:gridCol w:w="15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228"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978" w:type="pct"/>
            <w:gridSpan w:val="4"/>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工程名称</w:t>
            </w:r>
          </w:p>
        </w:tc>
        <w:tc>
          <w:tcPr>
            <w:tcW w:w="3233"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工程概况</w:t>
            </w:r>
          </w:p>
        </w:tc>
        <w:tc>
          <w:tcPr>
            <w:tcW w:w="559"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28" w:type="pct"/>
            <w:vMerge w:val="restar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73" w:type="pct"/>
            <w:vMerge w:val="restar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主体工程</w:t>
            </w:r>
          </w:p>
        </w:tc>
        <w:tc>
          <w:tcPr>
            <w:tcW w:w="246" w:type="pct"/>
            <w:gridSpan w:val="2"/>
            <w:vMerge w:val="restar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露天开采</w:t>
            </w:r>
          </w:p>
        </w:tc>
        <w:tc>
          <w:tcPr>
            <w:tcW w:w="458"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露天一采场</w:t>
            </w:r>
          </w:p>
        </w:tc>
        <w:tc>
          <w:tcPr>
            <w:tcW w:w="3233"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采场规格长360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宽187</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设计采场上部标高+390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下部标高+280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采场高度110</w:t>
            </w:r>
            <w:r>
              <w:rPr>
                <w:rFonts w:hint="default" w:ascii="Times New Roman" w:hAnsi="Times New Roman" w:eastAsia="宋体" w:cs="Times New Roman"/>
                <w:color w:val="auto"/>
                <w:sz w:val="21"/>
                <w:szCs w:val="21"/>
                <w:highlight w:val="none"/>
                <w:lang w:val="en-US" w:eastAsia="zh-CN"/>
              </w:rPr>
              <w:t>m</w:t>
            </w:r>
          </w:p>
        </w:tc>
        <w:tc>
          <w:tcPr>
            <w:tcW w:w="559"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8"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46" w:type="pct"/>
            <w:gridSpan w:val="2"/>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c>
          <w:tcPr>
            <w:tcW w:w="458"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露天二采场</w:t>
            </w:r>
          </w:p>
        </w:tc>
        <w:tc>
          <w:tcPr>
            <w:tcW w:w="3233"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采场规格长193</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宽172</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设计采场上部标高+440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下部标高+340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采场高度1</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0</w:t>
            </w:r>
            <w:r>
              <w:rPr>
                <w:rFonts w:hint="default" w:ascii="Times New Roman" w:hAnsi="Times New Roman" w:eastAsia="宋体" w:cs="Times New Roman"/>
                <w:color w:val="auto"/>
                <w:sz w:val="21"/>
                <w:szCs w:val="21"/>
                <w:highlight w:val="none"/>
                <w:lang w:val="en-US" w:eastAsia="zh-CN"/>
              </w:rPr>
              <w:t>m</w:t>
            </w:r>
          </w:p>
        </w:tc>
        <w:tc>
          <w:tcPr>
            <w:tcW w:w="559"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与现有</w:t>
            </w:r>
            <w:r>
              <w:rPr>
                <w:rFonts w:hint="default" w:ascii="Times New Roman" w:hAnsi="Times New Roman" w:eastAsia="宋体" w:cs="Times New Roman"/>
                <w:color w:val="auto"/>
                <w:sz w:val="21"/>
                <w:szCs w:val="21"/>
                <w:highlight w:val="none"/>
                <w:lang w:val="en-US" w:eastAsia="zh-CN"/>
              </w:rPr>
              <w:t>露天采坑</w:t>
            </w:r>
            <w:r>
              <w:rPr>
                <w:rFonts w:hint="eastAsia" w:cs="Times New Roman"/>
                <w:color w:val="auto"/>
                <w:sz w:val="21"/>
                <w:szCs w:val="21"/>
                <w:highlight w:val="none"/>
                <w:lang w:val="en-US" w:eastAsia="zh-CN"/>
              </w:rPr>
              <w:t>1和2部分重合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8"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46" w:type="pct"/>
            <w:gridSpan w:val="2"/>
            <w:vMerge w:val="restar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地下开采</w:t>
            </w:r>
          </w:p>
        </w:tc>
        <w:tc>
          <w:tcPr>
            <w:tcW w:w="458"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平硐PD1</w:t>
            </w:r>
          </w:p>
        </w:tc>
        <w:tc>
          <w:tcPr>
            <w:tcW w:w="3233"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平硐口中心坐标：X=4479766，Y=41531591，平硐口标高Z＝+405m，三心拱断面，规格4m×4.5m。作为开采K2矿体时期</w:t>
            </w:r>
            <w:r>
              <w:rPr>
                <w:rFonts w:hint="default" w:ascii="Times New Roman" w:hAnsi="Times New Roman" w:eastAsia="宋体" w:cs="Times New Roman"/>
                <w:b/>
                <w:bCs/>
                <w:color w:val="auto"/>
                <w:sz w:val="21"/>
                <w:szCs w:val="21"/>
                <w:highlight w:val="none"/>
              </w:rPr>
              <w:t>回风平硐</w:t>
            </w:r>
            <w:r>
              <w:rPr>
                <w:rFonts w:hint="default" w:ascii="Times New Roman" w:hAnsi="Times New Roman" w:eastAsia="宋体" w:cs="Times New Roman"/>
                <w:color w:val="auto"/>
                <w:sz w:val="21"/>
                <w:szCs w:val="21"/>
                <w:highlight w:val="none"/>
              </w:rPr>
              <w:t>。</w:t>
            </w:r>
          </w:p>
        </w:tc>
        <w:tc>
          <w:tcPr>
            <w:tcW w:w="559"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8"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46" w:type="pct"/>
            <w:gridSpan w:val="2"/>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c>
          <w:tcPr>
            <w:tcW w:w="458"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平硐PD2</w:t>
            </w:r>
          </w:p>
        </w:tc>
        <w:tc>
          <w:tcPr>
            <w:tcW w:w="3233"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新建，平硐口中心坐标：X=4479766，Y=41531591，平硐口标高Z＝+365m，三心拱断面，规格4m×4.5m。作为开采+365m中段以上K2矿体时期的</w:t>
            </w:r>
            <w:r>
              <w:rPr>
                <w:rFonts w:hint="default" w:ascii="Times New Roman" w:hAnsi="Times New Roman" w:eastAsia="宋体" w:cs="Times New Roman"/>
                <w:b w:val="0"/>
                <w:bCs w:val="0"/>
                <w:color w:val="auto"/>
                <w:sz w:val="21"/>
                <w:szCs w:val="21"/>
                <w:highlight w:val="none"/>
              </w:rPr>
              <w:t>运输平硐；</w:t>
            </w:r>
            <w:r>
              <w:rPr>
                <w:rFonts w:hint="default" w:ascii="Times New Roman" w:hAnsi="Times New Roman" w:eastAsia="宋体" w:cs="Times New Roman"/>
                <w:color w:val="auto"/>
                <w:sz w:val="21"/>
                <w:szCs w:val="21"/>
                <w:highlight w:val="none"/>
              </w:rPr>
              <w:t>并作为开采+325m中段K1、K2矿体时期的</w:t>
            </w:r>
            <w:r>
              <w:rPr>
                <w:rFonts w:hint="default" w:ascii="Times New Roman" w:hAnsi="Times New Roman" w:eastAsia="宋体" w:cs="Times New Roman"/>
                <w:b/>
                <w:bCs/>
                <w:color w:val="auto"/>
                <w:sz w:val="21"/>
                <w:szCs w:val="21"/>
                <w:highlight w:val="none"/>
              </w:rPr>
              <w:t>回风平硐</w:t>
            </w:r>
            <w:r>
              <w:rPr>
                <w:rFonts w:hint="default" w:ascii="Times New Roman" w:hAnsi="Times New Roman" w:eastAsia="宋体" w:cs="Times New Roman"/>
                <w:color w:val="auto"/>
                <w:sz w:val="21"/>
                <w:szCs w:val="21"/>
                <w:highlight w:val="none"/>
              </w:rPr>
              <w:t>。</w:t>
            </w:r>
          </w:p>
        </w:tc>
        <w:tc>
          <w:tcPr>
            <w:tcW w:w="559"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8"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46" w:type="pct"/>
            <w:gridSpan w:val="2"/>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c>
          <w:tcPr>
            <w:tcW w:w="458"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平硐PD3</w:t>
            </w:r>
          </w:p>
        </w:tc>
        <w:tc>
          <w:tcPr>
            <w:tcW w:w="3233"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平硐口中心坐标：X=4479699，Y=41531656，平硐口标高Z＝+325m，三心拱断面，规格4m×4.5m。作为开采+325m中段K1、K2矿体时期的</w:t>
            </w:r>
            <w:r>
              <w:rPr>
                <w:rFonts w:hint="default" w:ascii="Times New Roman" w:hAnsi="Times New Roman" w:eastAsia="宋体" w:cs="Times New Roman"/>
                <w:b/>
                <w:bCs/>
                <w:color w:val="auto"/>
                <w:sz w:val="21"/>
                <w:szCs w:val="21"/>
                <w:highlight w:val="none"/>
              </w:rPr>
              <w:t>运输平硐</w:t>
            </w:r>
            <w:r>
              <w:rPr>
                <w:rFonts w:hint="default" w:ascii="Times New Roman" w:hAnsi="Times New Roman" w:eastAsia="宋体" w:cs="Times New Roman"/>
                <w:color w:val="auto"/>
                <w:sz w:val="21"/>
                <w:szCs w:val="21"/>
                <w:highlight w:val="none"/>
              </w:rPr>
              <w:t>。</w:t>
            </w:r>
          </w:p>
        </w:tc>
        <w:tc>
          <w:tcPr>
            <w:tcW w:w="559"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8"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46" w:type="pct"/>
            <w:gridSpan w:val="2"/>
            <w:vMerge w:val="continue"/>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c>
          <w:tcPr>
            <w:tcW w:w="458"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平硐PD4</w:t>
            </w:r>
          </w:p>
        </w:tc>
        <w:tc>
          <w:tcPr>
            <w:tcW w:w="3233" w:type="pct"/>
            <w:tcBorders>
              <w:tl2br w:val="nil"/>
              <w:tr2bl w:val="nil"/>
            </w:tcBorders>
            <w:noWrap/>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平硐口中心坐标：X=4479882，Y=41531826，平硐口标高Z＝+286m，三心拱断面，规格4m×4.5m。作为开采+286m中段K1、K2矿体时期的</w:t>
            </w:r>
            <w:r>
              <w:rPr>
                <w:rFonts w:hint="default" w:ascii="Times New Roman" w:hAnsi="Times New Roman" w:eastAsia="宋体" w:cs="Times New Roman"/>
                <w:b/>
                <w:bCs/>
                <w:color w:val="auto"/>
                <w:sz w:val="21"/>
                <w:szCs w:val="21"/>
                <w:highlight w:val="none"/>
              </w:rPr>
              <w:t>运输平硐</w:t>
            </w:r>
          </w:p>
        </w:tc>
        <w:tc>
          <w:tcPr>
            <w:tcW w:w="559"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73"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辅助工程</w:t>
            </w:r>
          </w:p>
        </w:tc>
        <w:tc>
          <w:tcPr>
            <w:tcW w:w="704" w:type="pct"/>
            <w:gridSpan w:val="3"/>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工业场地</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在地下开采系统东侧历史遗留裸露地表上进行建设</w:t>
            </w:r>
            <w:r>
              <w:rPr>
                <w:rFonts w:hint="default" w:ascii="Times New Roman" w:hAnsi="Times New Roman" w:eastAsia="宋体" w:cs="Times New Roman"/>
                <w:color w:val="auto"/>
                <w:sz w:val="21"/>
                <w:szCs w:val="21"/>
                <w:highlight w:val="none"/>
              </w:rPr>
              <w:t>，占地面积</w:t>
            </w:r>
            <w:r>
              <w:rPr>
                <w:rFonts w:hint="default" w:ascii="Times New Roman" w:hAnsi="Times New Roman" w:eastAsia="宋体"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包括：办公室、休息室、通风机房、空压机室、变电所、高位蓄水池（标高+425m）、危废暂存间等，通风机房位于平硐PD1和平硐PD2风道口附近。</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现有裸露地表上新建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73"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储运工程</w:t>
            </w:r>
          </w:p>
        </w:tc>
        <w:tc>
          <w:tcPr>
            <w:tcW w:w="704" w:type="pct"/>
            <w:gridSpan w:val="3"/>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临时排岩场</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设计临时排岩场占地面积约374</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，总容积3.34万</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。顶部标高为+400m，底部标高+375m，采用单阶段排岩，排岩高度25m，坡面角35°。</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在原有3</w:t>
            </w:r>
            <w:r>
              <w:rPr>
                <w:rFonts w:hint="default" w:ascii="Times New Roman" w:hAnsi="Times New Roman" w:eastAsia="宋体" w:cs="Times New Roman"/>
                <w:color w:val="auto"/>
                <w:sz w:val="21"/>
                <w:szCs w:val="21"/>
                <w:highlight w:val="none"/>
                <w:lang w:val="en-US" w:eastAsia="zh-CN"/>
              </w:rPr>
              <w:t>号排岩场</w:t>
            </w:r>
            <w:r>
              <w:rPr>
                <w:rFonts w:hint="eastAsia" w:cs="Times New Roman"/>
                <w:color w:val="auto"/>
                <w:sz w:val="21"/>
                <w:szCs w:val="21"/>
                <w:highlight w:val="none"/>
                <w:lang w:val="en-US" w:eastAsia="zh-CN"/>
              </w:rPr>
              <w:t>裸露地表上建设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46" w:type="pct"/>
            <w:gridSpan w:val="2"/>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原矿运输</w:t>
            </w:r>
          </w:p>
        </w:tc>
        <w:tc>
          <w:tcPr>
            <w:tcW w:w="458"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露天开采</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采用</w:t>
            </w:r>
            <w:r>
              <w:rPr>
                <w:rFonts w:hint="default" w:ascii="Times New Roman" w:hAnsi="Times New Roman" w:eastAsia="宋体" w:cs="Times New Roman"/>
                <w:color w:val="auto"/>
                <w:sz w:val="21"/>
                <w:szCs w:val="21"/>
                <w:highlight w:val="none"/>
              </w:rPr>
              <w:t>公路开拓汽车运输方案</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在露天开采境界外东侧现有道路修筑上山运输道路直至各露天开采最高标高台阶。随采场的不断向下推进，境界内各分层之间的连接道路均采用临时道路。</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46" w:type="pct"/>
            <w:gridSpan w:val="2"/>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458"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地下开采</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井下运输采用无轨柴油设备运输方式。采场内采下的矿岩经装载机装到自卸汽车，汽车经运输巷道、石门、平硐运至地表。</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704" w:type="pct"/>
            <w:gridSpan w:val="3"/>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运输道路</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矿山已有20多年开采历史，主要运输道路已形成，在利用原有道路基础上新修1条道路，长1238m，包括露天一采场修筑运输道路270m，露天二采场修筑运输道路740m，地下采区地表新修道路228m。</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73"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公用工程</w:t>
            </w:r>
          </w:p>
        </w:tc>
        <w:tc>
          <w:tcPr>
            <w:tcW w:w="704" w:type="pct"/>
            <w:gridSpan w:val="3"/>
            <w:tcBorders>
              <w:tl2br w:val="nil"/>
              <w:tr2bl w:val="nil"/>
            </w:tcBorders>
            <w:vAlign w:val="center"/>
          </w:tcPr>
          <w:p>
            <w:pPr>
              <w:spacing w:line="24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供电</w:t>
            </w:r>
            <w:r>
              <w:rPr>
                <w:rFonts w:hint="eastAsia" w:cs="Times New Roman"/>
                <w:color w:val="auto"/>
                <w:sz w:val="21"/>
                <w:szCs w:val="21"/>
                <w:highlight w:val="none"/>
                <w:lang w:val="en-US" w:eastAsia="zh-CN"/>
              </w:rPr>
              <w:t>工程</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矿山采取单回路单电源供电，主供电源引自苏子沟镇10kV变电所，经架空线路到变电所。地下矿山设计选择S11-315/10/0.4型变压器1台作为井下变压器、S11-50/10型变压器1台作为井上变压器，为该矿区供电。</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704" w:type="pct"/>
            <w:gridSpan w:val="3"/>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给水工程</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生活用水由水车运输至矿区；生产用水取自</w:t>
            </w:r>
            <w:r>
              <w:rPr>
                <w:rFonts w:hint="eastAsia" w:cs="Times New Roman"/>
                <w:color w:val="auto"/>
                <w:sz w:val="21"/>
                <w:szCs w:val="21"/>
                <w:highlight w:val="none"/>
                <w:lang w:val="en-US" w:eastAsia="zh-CN"/>
              </w:rPr>
              <w:t>矿井</w:t>
            </w:r>
            <w:r>
              <w:rPr>
                <w:rFonts w:hint="default" w:ascii="Times New Roman" w:hAnsi="Times New Roman" w:eastAsia="宋体" w:cs="Times New Roman"/>
                <w:color w:val="auto"/>
                <w:sz w:val="21"/>
                <w:szCs w:val="21"/>
                <w:highlight w:val="none"/>
                <w:lang w:val="en-US" w:eastAsia="zh-CN"/>
              </w:rPr>
              <w:t>涌水。</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704" w:type="pct"/>
            <w:gridSpan w:val="3"/>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排水工程</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r>
              <w:rPr>
                <w:rFonts w:hint="eastAsia" w:cs="Times New Roman"/>
                <w:color w:val="auto"/>
                <w:sz w:val="21"/>
                <w:szCs w:val="21"/>
                <w:highlight w:val="none"/>
                <w:lang w:val="en-US" w:eastAsia="zh-CN"/>
              </w:rPr>
              <w:t>排入</w:t>
            </w:r>
            <w:r>
              <w:rPr>
                <w:rFonts w:hint="default" w:ascii="Times New Roman" w:hAnsi="Times New Roman" w:eastAsia="宋体" w:cs="Times New Roman"/>
                <w:color w:val="auto"/>
                <w:sz w:val="21"/>
                <w:szCs w:val="21"/>
                <w:highlight w:val="none"/>
                <w:lang w:val="en-US" w:eastAsia="zh-CN"/>
              </w:rPr>
              <w:t>旱厕，</w:t>
            </w:r>
            <w:r>
              <w:rPr>
                <w:rFonts w:hint="eastAsia" w:cs="Times New Roman"/>
                <w:color w:val="auto"/>
                <w:sz w:val="21"/>
                <w:szCs w:val="21"/>
                <w:highlight w:val="none"/>
                <w:lang w:val="en-US" w:eastAsia="zh-CN"/>
              </w:rPr>
              <w:t>做好</w:t>
            </w:r>
            <w:r>
              <w:rPr>
                <w:rFonts w:hint="default" w:ascii="Times New Roman" w:hAnsi="Times New Roman" w:eastAsia="宋体" w:cs="Times New Roman"/>
                <w:color w:val="auto"/>
                <w:sz w:val="21"/>
                <w:szCs w:val="21"/>
                <w:highlight w:val="none"/>
                <w:lang w:val="en-US" w:eastAsia="zh-CN"/>
              </w:rPr>
              <w:t>防渗</w:t>
            </w:r>
            <w:r>
              <w:rPr>
                <w:rFonts w:hint="eastAsia" w:cs="Times New Roman"/>
                <w:color w:val="auto"/>
                <w:sz w:val="21"/>
                <w:szCs w:val="21"/>
                <w:highlight w:val="none"/>
                <w:lang w:val="en-US" w:eastAsia="zh-CN"/>
              </w:rPr>
              <w:t>措施</w:t>
            </w:r>
            <w:r>
              <w:rPr>
                <w:rFonts w:hint="default" w:ascii="Times New Roman" w:hAnsi="Times New Roman" w:eastAsia="宋体" w:cs="Times New Roman"/>
                <w:color w:val="auto"/>
                <w:sz w:val="21"/>
                <w:szCs w:val="21"/>
                <w:highlight w:val="none"/>
                <w:lang w:val="en-US" w:eastAsia="zh-CN"/>
              </w:rPr>
              <w:t>，定期清掏。</w:t>
            </w:r>
          </w:p>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矿井涌水：矿井涌水排至地表蓄水池总容积为</w:t>
            </w:r>
            <w:r>
              <w:rPr>
                <w:rFonts w:hint="eastAsia" w:cs="Times New Roman"/>
                <w:color w:val="auto"/>
                <w:sz w:val="21"/>
                <w:szCs w:val="21"/>
                <w:highlight w:val="none"/>
                <w:lang w:val="en-US" w:eastAsia="zh-CN"/>
              </w:rPr>
              <w:t>600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（新建200m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蓄水池及配套管线</w:t>
            </w:r>
            <w:r>
              <w:rPr>
                <w:rFonts w:hint="eastAsia" w:cs="Times New Roman"/>
                <w:color w:val="auto"/>
                <w:sz w:val="21"/>
                <w:szCs w:val="21"/>
                <w:highlight w:val="none"/>
                <w:lang w:val="en-US" w:eastAsia="zh-CN"/>
              </w:rPr>
              <w:t>3套</w:t>
            </w:r>
            <w:r>
              <w:rPr>
                <w:rFonts w:hint="default" w:ascii="Times New Roman" w:hAnsi="Times New Roman" w:eastAsia="宋体" w:cs="Times New Roman"/>
                <w:color w:val="auto"/>
                <w:sz w:val="21"/>
                <w:szCs w:val="21"/>
                <w:highlight w:val="none"/>
                <w:lang w:val="en-US" w:eastAsia="zh-CN"/>
              </w:rPr>
              <w:t>），沉淀后回用于矿山生产、防尘洒水、绿化等，不外排。</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704" w:type="pct"/>
            <w:gridSpan w:val="3"/>
            <w:tcBorders>
              <w:tl2br w:val="nil"/>
              <w:tr2bl w:val="nil"/>
            </w:tcBorders>
            <w:vAlign w:val="center"/>
          </w:tcPr>
          <w:p>
            <w:pPr>
              <w:spacing w:line="240" w:lineRule="atLeast"/>
              <w:ind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采暖</w:t>
            </w:r>
            <w:r>
              <w:rPr>
                <w:rFonts w:hint="eastAsia" w:cs="Times New Roman"/>
                <w:color w:val="auto"/>
                <w:sz w:val="21"/>
                <w:szCs w:val="21"/>
                <w:highlight w:val="none"/>
                <w:lang w:val="en-US" w:eastAsia="zh-CN"/>
              </w:rPr>
              <w:t>工程</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采用电供暖，不设锅炉等燃煤热源。</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273"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环保工程</w:t>
            </w:r>
          </w:p>
        </w:tc>
        <w:tc>
          <w:tcPr>
            <w:tcW w:w="229"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废气治理</w:t>
            </w: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露天</w:t>
            </w:r>
            <w:r>
              <w:rPr>
                <w:rFonts w:hint="eastAsia" w:cs="Times New Roman"/>
                <w:color w:val="auto"/>
                <w:sz w:val="21"/>
                <w:szCs w:val="21"/>
                <w:highlight w:val="none"/>
                <w:lang w:val="en-US" w:eastAsia="zh-CN"/>
              </w:rPr>
              <w:t>粉尘</w:t>
            </w:r>
          </w:p>
        </w:tc>
        <w:tc>
          <w:tcPr>
            <w:tcW w:w="3233" w:type="pct"/>
            <w:tcBorders>
              <w:tl2br w:val="nil"/>
              <w:tr2bl w:val="nil"/>
            </w:tcBorders>
            <w:vAlign w:val="center"/>
          </w:tcPr>
          <w:p>
            <w:pPr>
              <w:spacing w:line="240" w:lineRule="auto"/>
              <w:ind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凿岩</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爆破</w:t>
            </w:r>
            <w:r>
              <w:rPr>
                <w:rFonts w:hint="eastAsia" w:cs="Times New Roman"/>
                <w:color w:val="auto"/>
                <w:sz w:val="21"/>
                <w:szCs w:val="21"/>
                <w:highlight w:val="none"/>
                <w:lang w:val="en-US" w:eastAsia="zh-CN"/>
              </w:rPr>
              <w:t>、铲装</w:t>
            </w:r>
            <w:r>
              <w:rPr>
                <w:rFonts w:hint="default" w:ascii="Times New Roman" w:hAnsi="Times New Roman" w:eastAsia="宋体" w:cs="Times New Roman"/>
                <w:color w:val="auto"/>
                <w:sz w:val="21"/>
                <w:szCs w:val="21"/>
                <w:highlight w:val="none"/>
                <w:lang w:val="en-US" w:eastAsia="zh-CN"/>
              </w:rPr>
              <w:t>采取喷雾洒水降尘。</w:t>
            </w:r>
          </w:p>
        </w:tc>
        <w:tc>
          <w:tcPr>
            <w:tcW w:w="559" w:type="pc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29"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井下粉尘</w:t>
            </w:r>
          </w:p>
        </w:tc>
        <w:tc>
          <w:tcPr>
            <w:tcW w:w="3233" w:type="pct"/>
            <w:tcBorders>
              <w:tl2br w:val="nil"/>
              <w:tr2bl w:val="nil"/>
            </w:tcBorders>
            <w:vAlign w:val="center"/>
          </w:tcPr>
          <w:p>
            <w:pPr>
              <w:spacing w:line="240" w:lineRule="auto"/>
              <w:ind w:firstLine="0" w:firstLineChars="0"/>
              <w:jc w:val="left"/>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采用湿式凿岩、</w:t>
            </w:r>
            <w:r>
              <w:rPr>
                <w:rFonts w:hint="default" w:ascii="Times New Roman" w:hAnsi="Times New Roman" w:eastAsia="宋体" w:cs="Times New Roman"/>
                <w:color w:val="auto"/>
                <w:sz w:val="21"/>
                <w:szCs w:val="21"/>
                <w:highlight w:val="none"/>
                <w:lang w:val="en-US" w:eastAsia="zh-CN"/>
              </w:rPr>
              <w:t>爆破后（装矿前）对工作面附近10~15m以内以及凿岩前（装矿后）10m以内坑道表面进行</w:t>
            </w:r>
            <w:r>
              <w:rPr>
                <w:rFonts w:hint="default" w:ascii="Times New Roman" w:hAnsi="Times New Roman" w:eastAsia="宋体" w:cs="Times New Roman"/>
                <w:color w:val="auto"/>
                <w:sz w:val="21"/>
                <w:szCs w:val="21"/>
                <w:highlight w:val="none"/>
              </w:rPr>
              <w:t>洒水抑尘</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铲装</w:t>
            </w:r>
            <w:r>
              <w:rPr>
                <w:rFonts w:hint="default" w:ascii="Times New Roman" w:hAnsi="Times New Roman" w:eastAsia="宋体" w:cs="Times New Roman"/>
                <w:color w:val="auto"/>
                <w:sz w:val="21"/>
                <w:szCs w:val="21"/>
                <w:highlight w:val="none"/>
                <w:lang w:val="en-US" w:eastAsia="zh-CN"/>
              </w:rPr>
              <w:t>采取喷雾洒水降尘防治粉尘污染。</w:t>
            </w:r>
          </w:p>
        </w:tc>
        <w:tc>
          <w:tcPr>
            <w:tcW w:w="559" w:type="pct"/>
            <w:tcBorders>
              <w:tl2br w:val="nil"/>
              <w:tr2bl w:val="nil"/>
            </w:tcBorders>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29"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装卸粉尘</w:t>
            </w:r>
          </w:p>
        </w:tc>
        <w:tc>
          <w:tcPr>
            <w:tcW w:w="3233" w:type="pct"/>
            <w:tcBorders>
              <w:tl2br w:val="nil"/>
              <w:tr2bl w:val="nil"/>
            </w:tcBorders>
            <w:vAlign w:val="center"/>
          </w:tcPr>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rPr>
              <w:t>临时堆场地面硬化，</w:t>
            </w:r>
            <w:r>
              <w:rPr>
                <w:rFonts w:hint="default" w:ascii="Times New Roman" w:hAnsi="Times New Roman" w:eastAsia="宋体" w:cs="Times New Roman"/>
                <w:color w:val="auto"/>
                <w:kern w:val="0"/>
                <w:sz w:val="21"/>
                <w:szCs w:val="21"/>
                <w:highlight w:val="none"/>
              </w:rPr>
              <w:t>控制装卸高度，</w:t>
            </w:r>
            <w:r>
              <w:rPr>
                <w:rFonts w:hint="eastAsia" w:ascii="宋体" w:hAnsi="宋体" w:eastAsia="宋体"/>
                <w:color w:val="auto"/>
                <w:sz w:val="21"/>
                <w:szCs w:val="24"/>
              </w:rPr>
              <w:t>加盖苫布</w:t>
            </w:r>
            <w:r>
              <w:rPr>
                <w:rFonts w:hint="eastAsia" w:ascii="宋体" w:hAnsi="宋体" w:eastAsia="宋体"/>
                <w:color w:val="auto"/>
                <w:sz w:val="21"/>
                <w:szCs w:val="24"/>
                <w:lang w:eastAsia="zh-CN"/>
              </w:rPr>
              <w:t>，</w:t>
            </w:r>
            <w:r>
              <w:rPr>
                <w:rFonts w:hint="default" w:ascii="Times New Roman" w:hAnsi="Times New Roman" w:eastAsia="宋体" w:cs="Times New Roman"/>
                <w:color w:val="auto"/>
                <w:kern w:val="0"/>
                <w:sz w:val="21"/>
                <w:szCs w:val="21"/>
                <w:highlight w:val="none"/>
              </w:rPr>
              <w:t>洒水抑尘</w:t>
            </w:r>
            <w:r>
              <w:rPr>
                <w:rFonts w:hint="eastAsia" w:ascii="宋体" w:hAnsi="宋体" w:eastAsia="宋体"/>
                <w:color w:val="auto"/>
                <w:sz w:val="21"/>
                <w:szCs w:val="24"/>
              </w:rPr>
              <w:t>。</w:t>
            </w:r>
          </w:p>
        </w:tc>
        <w:tc>
          <w:tcPr>
            <w:tcW w:w="5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29"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运输</w:t>
            </w:r>
            <w:r>
              <w:rPr>
                <w:rFonts w:hint="eastAsia" w:cs="Times New Roman"/>
                <w:color w:val="auto"/>
                <w:sz w:val="21"/>
                <w:szCs w:val="21"/>
                <w:highlight w:val="none"/>
                <w:lang w:val="en-US" w:eastAsia="zh-CN"/>
              </w:rPr>
              <w:t>粉尘</w:t>
            </w:r>
          </w:p>
        </w:tc>
        <w:tc>
          <w:tcPr>
            <w:tcW w:w="3233" w:type="pct"/>
            <w:tcBorders>
              <w:tl2br w:val="nil"/>
              <w:tr2bl w:val="nil"/>
            </w:tcBorders>
            <w:vAlign w:val="center"/>
          </w:tcPr>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运输道路地面硬化，矿石运输车辆控制行驶速度，并采用苫布遮盖；工业场地和运输道路进行洒水抑尘。</w:t>
            </w:r>
          </w:p>
        </w:tc>
        <w:tc>
          <w:tcPr>
            <w:tcW w:w="5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29"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废水治理</w:t>
            </w: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矿井涌水</w:t>
            </w:r>
          </w:p>
        </w:tc>
        <w:tc>
          <w:tcPr>
            <w:tcW w:w="3233" w:type="pct"/>
            <w:tcBorders>
              <w:tl2br w:val="nil"/>
              <w:tr2bl w:val="nil"/>
            </w:tcBorders>
            <w:vAlign w:val="center"/>
          </w:tcPr>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eastAsia" w:cs="Times New Roman"/>
                <w:color w:val="auto"/>
                <w:kern w:val="0"/>
                <w:sz w:val="21"/>
                <w:szCs w:val="21"/>
                <w:highlight w:val="none"/>
                <w:lang w:val="en-US" w:eastAsia="zh-CN"/>
              </w:rPr>
              <w:t>矿井</w:t>
            </w:r>
            <w:r>
              <w:rPr>
                <w:rFonts w:hint="eastAsia" w:ascii="Times New Roman" w:hAnsi="Times New Roman" w:eastAsia="宋体" w:cs="Times New Roman"/>
                <w:color w:val="auto"/>
                <w:kern w:val="0"/>
                <w:sz w:val="21"/>
                <w:szCs w:val="21"/>
                <w:highlight w:val="none"/>
                <w:lang w:val="en-US" w:eastAsia="zh-CN"/>
              </w:rPr>
              <w:t>各中段涌水通过排水沟排放到相应中段，通过水泵沿管线排至蓄水池沉淀后供给生产、抑尘、绿化用水等使用，涌水不排放。</w:t>
            </w:r>
          </w:p>
        </w:tc>
        <w:tc>
          <w:tcPr>
            <w:tcW w:w="5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29"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生活污水</w:t>
            </w:r>
          </w:p>
        </w:tc>
        <w:tc>
          <w:tcPr>
            <w:tcW w:w="3233" w:type="pct"/>
            <w:tcBorders>
              <w:tl2br w:val="nil"/>
              <w:tr2bl w:val="nil"/>
            </w:tcBorders>
            <w:vAlign w:val="center"/>
          </w:tcPr>
          <w:p>
            <w:pPr>
              <w:spacing w:line="240" w:lineRule="auto"/>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生活污水排入旱厕，定期清掏。</w:t>
            </w:r>
          </w:p>
        </w:tc>
        <w:tc>
          <w:tcPr>
            <w:tcW w:w="5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29" w:type="pct"/>
            <w:vMerge w:val="restar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固废治理</w:t>
            </w: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采矿废石</w:t>
            </w:r>
          </w:p>
        </w:tc>
        <w:tc>
          <w:tcPr>
            <w:tcW w:w="3233" w:type="pct"/>
            <w:tcBorders>
              <w:tl2br w:val="nil"/>
              <w:tr2bl w:val="nil"/>
            </w:tcBorders>
            <w:vAlign w:val="center"/>
          </w:tcPr>
          <w:p>
            <w:pPr>
              <w:spacing w:line="240" w:lineRule="auto"/>
              <w:ind w:firstLine="0" w:firstLineChars="0"/>
              <w:jc w:val="left"/>
              <w:rPr>
                <w:rFonts w:hint="eastAsia" w:ascii="Times New Roman" w:hAnsi="Times New Roman" w:eastAsia="宋体" w:cs="Times New Roman"/>
                <w:color w:val="auto"/>
                <w:kern w:val="0"/>
                <w:sz w:val="21"/>
                <w:szCs w:val="21"/>
                <w:highlight w:val="none"/>
                <w:lang w:eastAsia="zh-CN"/>
              </w:rPr>
            </w:pPr>
            <w:r>
              <w:rPr>
                <w:rFonts w:hint="eastAsia" w:ascii="宋体" w:hAnsi="宋体" w:eastAsia="宋体"/>
                <w:color w:val="auto"/>
                <w:sz w:val="21"/>
                <w:szCs w:val="24"/>
              </w:rPr>
              <w:t>基建期废石回填露天采坑</w:t>
            </w:r>
            <w:r>
              <w:rPr>
                <w:rFonts w:hint="eastAsia" w:ascii="宋体" w:hAnsi="宋体" w:eastAsia="宋体"/>
                <w:color w:val="auto"/>
                <w:sz w:val="21"/>
                <w:szCs w:val="24"/>
                <w:lang w:eastAsia="zh-CN"/>
              </w:rPr>
              <w:t>；</w:t>
            </w:r>
            <w:r>
              <w:rPr>
                <w:rFonts w:hint="eastAsia" w:ascii="宋体" w:hAnsi="宋体" w:eastAsia="宋体"/>
                <w:color w:val="auto"/>
                <w:sz w:val="21"/>
                <w:szCs w:val="24"/>
                <w:lang w:val="en-US" w:eastAsia="zh-CN"/>
              </w:rPr>
              <w:t>运营期</w:t>
            </w:r>
            <w:r>
              <w:rPr>
                <w:rFonts w:hint="eastAsia" w:cs="Times New Roman"/>
                <w:color w:val="auto"/>
                <w:kern w:val="0"/>
                <w:sz w:val="21"/>
                <w:szCs w:val="21"/>
                <w:highlight w:val="none"/>
                <w:lang w:val="en-US" w:eastAsia="zh-CN"/>
              </w:rPr>
              <w:t>露天开采</w:t>
            </w:r>
            <w:r>
              <w:rPr>
                <w:rFonts w:hint="default" w:ascii="Times New Roman" w:hAnsi="Times New Roman" w:eastAsia="宋体" w:cs="Times New Roman"/>
                <w:color w:val="auto"/>
                <w:kern w:val="0"/>
                <w:sz w:val="21"/>
                <w:szCs w:val="21"/>
                <w:highlight w:val="none"/>
              </w:rPr>
              <w:t>废石</w:t>
            </w:r>
            <w:r>
              <w:rPr>
                <w:rFonts w:hint="default" w:ascii="Times New Roman" w:hAnsi="Times New Roman" w:eastAsia="宋体" w:cs="Times New Roman"/>
                <w:color w:val="auto"/>
                <w:kern w:val="0"/>
                <w:sz w:val="21"/>
                <w:szCs w:val="21"/>
                <w:highlight w:val="none"/>
                <w:lang w:val="en-US" w:eastAsia="zh-CN"/>
              </w:rPr>
              <w:t>堆放于临时排岩场</w:t>
            </w:r>
            <w:r>
              <w:rPr>
                <w:rFonts w:hint="default" w:ascii="Times New Roman" w:hAnsi="Times New Roman" w:eastAsia="宋体" w:cs="Times New Roman"/>
                <w:color w:val="auto"/>
                <w:kern w:val="0"/>
                <w:sz w:val="21"/>
                <w:szCs w:val="21"/>
                <w:highlight w:val="none"/>
              </w:rPr>
              <w:t>，</w:t>
            </w:r>
            <w:r>
              <w:rPr>
                <w:rFonts w:hint="eastAsia" w:cs="Times New Roman"/>
                <w:color w:val="auto"/>
                <w:kern w:val="0"/>
                <w:sz w:val="21"/>
                <w:szCs w:val="21"/>
                <w:highlight w:val="none"/>
                <w:lang w:val="en-US" w:eastAsia="zh-CN"/>
              </w:rPr>
              <w:t>外卖综合利用；井下开采废石不升井，</w:t>
            </w:r>
            <w:r>
              <w:rPr>
                <w:rFonts w:hint="default" w:ascii="Times New Roman" w:hAnsi="Times New Roman" w:eastAsia="宋体" w:cs="Times New Roman"/>
                <w:color w:val="auto"/>
                <w:kern w:val="0"/>
                <w:sz w:val="21"/>
                <w:szCs w:val="21"/>
                <w:highlight w:val="none"/>
              </w:rPr>
              <w:t>回填采空区</w:t>
            </w:r>
            <w:r>
              <w:rPr>
                <w:rFonts w:hint="eastAsia" w:cs="Times New Roman"/>
                <w:color w:val="auto"/>
                <w:kern w:val="0"/>
                <w:sz w:val="21"/>
                <w:szCs w:val="21"/>
                <w:highlight w:val="none"/>
                <w:lang w:eastAsia="zh-CN"/>
              </w:rPr>
              <w:t>。</w:t>
            </w:r>
          </w:p>
        </w:tc>
        <w:tc>
          <w:tcPr>
            <w:tcW w:w="5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29"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废机油</w:t>
            </w:r>
          </w:p>
        </w:tc>
        <w:tc>
          <w:tcPr>
            <w:tcW w:w="3233" w:type="pct"/>
            <w:tcBorders>
              <w:tl2br w:val="nil"/>
              <w:tr2bl w:val="nil"/>
            </w:tcBorders>
            <w:vAlign w:val="center"/>
          </w:tcPr>
          <w:p>
            <w:pPr>
              <w:spacing w:line="240" w:lineRule="auto"/>
              <w:ind w:firstLine="0" w:firstLineChars="0"/>
              <w:jc w:val="left"/>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rPr>
              <w:t>暂存于危废暂存间</w:t>
            </w:r>
            <w:r>
              <w:rPr>
                <w:rFonts w:hint="default" w:ascii="Times New Roman" w:hAnsi="Times New Roman" w:eastAsia="宋体" w:cs="Times New Roman"/>
                <w:color w:val="auto"/>
                <w:sz w:val="21"/>
                <w:szCs w:val="21"/>
                <w:highlight w:val="none"/>
                <w:lang w:val="en-US" w:eastAsia="zh-CN"/>
              </w:rPr>
              <w:t>10m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，采取</w:t>
            </w:r>
            <w:r>
              <w:rPr>
                <w:rFonts w:hint="default" w:ascii="Times New Roman" w:hAnsi="Times New Roman" w:eastAsia="宋体" w:cs="Times New Roman"/>
                <w:color w:val="auto"/>
                <w:sz w:val="21"/>
                <w:szCs w:val="21"/>
                <w:highlight w:val="none"/>
              </w:rPr>
              <w:t>密闭、设置围堰、地面做好硬化及</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三防</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（防扬失、防流失、防渗漏）措施，定期委托有资质的单位处理</w:t>
            </w:r>
            <w:r>
              <w:rPr>
                <w:rFonts w:hint="eastAsia" w:cs="Times New Roman"/>
                <w:color w:val="auto"/>
                <w:sz w:val="21"/>
                <w:szCs w:val="21"/>
                <w:highlight w:val="none"/>
                <w:lang w:eastAsia="zh-CN"/>
              </w:rPr>
              <w:t>。</w:t>
            </w:r>
          </w:p>
        </w:tc>
        <w:tc>
          <w:tcPr>
            <w:tcW w:w="5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29"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475" w:type="pct"/>
            <w:gridSpan w:val="2"/>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生活垃圾</w:t>
            </w:r>
          </w:p>
        </w:tc>
        <w:tc>
          <w:tcPr>
            <w:tcW w:w="3233" w:type="pct"/>
            <w:tcBorders>
              <w:tl2br w:val="nil"/>
              <w:tr2bl w:val="nil"/>
            </w:tcBorders>
            <w:vAlign w:val="center"/>
          </w:tcPr>
          <w:p>
            <w:pPr>
              <w:spacing w:line="240" w:lineRule="auto"/>
              <w:ind w:firstLine="0" w:firstLineChars="0"/>
              <w:jc w:val="left"/>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集中收集后交由环卫部门处理。</w:t>
            </w:r>
          </w:p>
        </w:tc>
        <w:tc>
          <w:tcPr>
            <w:tcW w:w="55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28"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73" w:type="pct"/>
            <w:vMerge w:val="continue"/>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704" w:type="pct"/>
            <w:gridSpan w:val="3"/>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噪声治理</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通风机、空压机设置消声器，机械设备设置隔声减震措施</w:t>
            </w:r>
            <w:r>
              <w:rPr>
                <w:rFonts w:hint="default" w:ascii="Times New Roman" w:hAnsi="Times New Roman" w:eastAsia="宋体" w:cs="Times New Roman"/>
                <w:bCs/>
                <w:color w:val="auto"/>
                <w:sz w:val="21"/>
                <w:szCs w:val="21"/>
                <w:highlight w:val="none"/>
              </w:rPr>
              <w:t>。</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28"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w:t>
            </w:r>
          </w:p>
        </w:tc>
        <w:tc>
          <w:tcPr>
            <w:tcW w:w="273"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生态工程</w:t>
            </w:r>
          </w:p>
        </w:tc>
        <w:tc>
          <w:tcPr>
            <w:tcW w:w="704" w:type="pct"/>
            <w:gridSpan w:val="3"/>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损毁土地复垦工程</w:t>
            </w:r>
          </w:p>
        </w:tc>
        <w:tc>
          <w:tcPr>
            <w:tcW w:w="3233" w:type="pct"/>
            <w:tcBorders>
              <w:tl2br w:val="nil"/>
              <w:tr2bl w:val="nil"/>
            </w:tcBorders>
            <w:vAlign w:val="center"/>
          </w:tcPr>
          <w:p>
            <w:pPr>
              <w:spacing w:line="240" w:lineRule="atLeast"/>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基建期对矿区</w:t>
            </w:r>
            <w:r>
              <w:rPr>
                <w:rFonts w:hint="eastAsia" w:cs="Times New Roman"/>
                <w:i w:val="0"/>
                <w:iCs w:val="0"/>
                <w:color w:val="auto"/>
                <w:kern w:val="0"/>
                <w:sz w:val="21"/>
                <w:szCs w:val="21"/>
                <w:highlight w:val="none"/>
                <w:u w:val="none"/>
                <w:lang w:val="en-US" w:eastAsia="zh-CN" w:bidi="ar"/>
              </w:rPr>
              <w:t>历史采坑和排岩场</w:t>
            </w:r>
            <w:r>
              <w:rPr>
                <w:rFonts w:hint="default" w:ascii="Times New Roman" w:hAnsi="Times New Roman" w:eastAsia="宋体" w:cs="Times New Roman"/>
                <w:i w:val="0"/>
                <w:iCs w:val="0"/>
                <w:color w:val="auto"/>
                <w:kern w:val="0"/>
                <w:sz w:val="21"/>
                <w:szCs w:val="21"/>
                <w:highlight w:val="none"/>
                <w:u w:val="none"/>
                <w:lang w:val="en-US" w:eastAsia="zh-CN" w:bidi="ar"/>
              </w:rPr>
              <w:t>进行生态修复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开采结束后要求企业严格按照《矿山生态环境保护与恢复技术规范（试行）》对矿山</w:t>
            </w:r>
            <w:r>
              <w:rPr>
                <w:rFonts w:hint="default" w:ascii="Times New Roman" w:hAnsi="Times New Roman" w:eastAsia="宋体" w:cs="Times New Roman"/>
                <w:color w:val="auto"/>
                <w:sz w:val="21"/>
                <w:szCs w:val="21"/>
                <w:highlight w:val="none"/>
                <w:lang w:val="en-US" w:eastAsia="zh-CN"/>
              </w:rPr>
              <w:t>全面</w:t>
            </w:r>
            <w:r>
              <w:rPr>
                <w:rFonts w:hint="default" w:ascii="Times New Roman" w:hAnsi="Times New Roman" w:eastAsia="宋体" w:cs="Times New Roman"/>
                <w:color w:val="auto"/>
                <w:sz w:val="21"/>
                <w:szCs w:val="21"/>
                <w:highlight w:val="none"/>
              </w:rPr>
              <w:t>恢复治理，</w:t>
            </w:r>
            <w:r>
              <w:rPr>
                <w:rFonts w:hint="eastAsia" w:cs="Times New Roman"/>
                <w:color w:val="auto"/>
                <w:sz w:val="21"/>
                <w:szCs w:val="21"/>
                <w:highlight w:val="none"/>
                <w:lang w:val="en-US" w:eastAsia="zh-CN"/>
              </w:rPr>
              <w:t>全部</w:t>
            </w:r>
            <w:r>
              <w:rPr>
                <w:rFonts w:hint="default" w:ascii="Times New Roman" w:hAnsi="Times New Roman" w:eastAsia="宋体" w:cs="Times New Roman"/>
                <w:color w:val="auto"/>
                <w:sz w:val="21"/>
                <w:szCs w:val="21"/>
                <w:highlight w:val="none"/>
              </w:rPr>
              <w:t>土地复垦率82.55%</w:t>
            </w:r>
            <w:r>
              <w:rPr>
                <w:rFonts w:hint="eastAsia" w:cs="Times New Roman"/>
                <w:color w:val="auto"/>
                <w:sz w:val="21"/>
                <w:szCs w:val="21"/>
                <w:highlight w:val="none"/>
                <w:lang w:eastAsia="zh-CN"/>
              </w:rPr>
              <w:t>（因露天采坑边坡3.0437hm²坡度较大，无法满足植物生长的立地条件，仅靠平台种植乔木、对边坡进行遮挡式绿化，不在可绿化面积内，</w:t>
            </w:r>
            <w:r>
              <w:rPr>
                <w:rFonts w:hint="eastAsia" w:cs="Times New Roman"/>
                <w:color w:val="auto"/>
                <w:sz w:val="21"/>
                <w:szCs w:val="21"/>
                <w:highlight w:val="none"/>
                <w:lang w:val="en-US" w:eastAsia="zh-CN"/>
              </w:rPr>
              <w:t>不计入复垦面积</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i w:val="0"/>
                <w:iCs w:val="0"/>
                <w:color w:val="auto"/>
                <w:kern w:val="0"/>
                <w:sz w:val="21"/>
                <w:szCs w:val="21"/>
                <w:highlight w:val="none"/>
                <w:u w:val="none"/>
                <w:lang w:val="en-US" w:eastAsia="zh-CN" w:bidi="ar"/>
              </w:rPr>
              <w:t>生态整治专用投资，每年投入的治理费用列入运行费用中</w:t>
            </w:r>
            <w:r>
              <w:rPr>
                <w:rFonts w:hint="default" w:ascii="Times New Roman" w:hAnsi="Times New Roman" w:eastAsia="宋体" w:cs="Times New Roman"/>
                <w:color w:val="auto"/>
                <w:sz w:val="21"/>
                <w:szCs w:val="21"/>
                <w:highlight w:val="none"/>
                <w:lang w:val="en-US" w:eastAsia="zh-CN"/>
              </w:rPr>
              <w:t>。</w:t>
            </w:r>
          </w:p>
        </w:tc>
        <w:tc>
          <w:tcPr>
            <w:tcW w:w="559" w:type="pct"/>
            <w:tcBorders>
              <w:tl2br w:val="nil"/>
              <w:tr2bl w:val="nil"/>
            </w:tcBorders>
            <w:vAlign w:val="center"/>
          </w:tcPr>
          <w:p>
            <w:pPr>
              <w:spacing w:line="240" w:lineRule="atLeast"/>
              <w:ind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color w:val="auto"/>
                <w:sz w:val="21"/>
                <w:szCs w:val="21"/>
                <w:highlight w:val="none"/>
                <w:lang w:val="en-US" w:eastAsia="zh-CN"/>
              </w:rPr>
              <w:t>/</w:t>
            </w:r>
          </w:p>
        </w:tc>
      </w:tr>
    </w:tbl>
    <w:p>
      <w:pPr>
        <w:pStyle w:val="2"/>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sectPr>
          <w:pgSz w:w="16840" w:h="11907" w:orient="landscape"/>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5"/>
        <w:bidi w:val="0"/>
        <w:rPr>
          <w:rFonts w:hint="default" w:ascii="Times New Roman" w:hAnsi="Times New Roman" w:eastAsia="宋体" w:cs="Times New Roman"/>
          <w:color w:val="auto"/>
          <w:highlight w:val="none"/>
        </w:rPr>
      </w:pPr>
      <w:bookmarkStart w:id="189" w:name="_Toc445968957"/>
      <w:r>
        <w:rPr>
          <w:rFonts w:hint="default" w:ascii="Times New Roman" w:hAnsi="Times New Roman" w:eastAsia="宋体" w:cs="Times New Roman"/>
          <w:color w:val="auto"/>
          <w:highlight w:val="none"/>
        </w:rPr>
        <w:t>设备清单</w:t>
      </w:r>
      <w:bookmarkEnd w:id="189"/>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本项目开采设备清单见表</w:t>
      </w:r>
      <w:r>
        <w:rPr>
          <w:rFonts w:hint="eastAsia" w:cs="Times New Roman"/>
          <w:color w:val="auto"/>
          <w:highlight w:val="none"/>
          <w:lang w:val="en-US" w:eastAsia="zh-CN"/>
        </w:rPr>
        <w:t>3.1-5</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cs="Times New Roman"/>
          <w:b/>
          <w:color w:val="auto"/>
          <w:sz w:val="21"/>
          <w:szCs w:val="21"/>
          <w:highlight w:val="none"/>
          <w:lang w:val="en-US" w:eastAsia="zh-CN"/>
        </w:rPr>
        <w:t>3.1-5</w:t>
      </w:r>
      <w:r>
        <w:rPr>
          <w:rFonts w:hint="default" w:ascii="Times New Roman" w:hAnsi="Times New Roman" w:eastAsia="宋体" w:cs="Times New Roman"/>
          <w:b/>
          <w:color w:val="auto"/>
          <w:sz w:val="21"/>
          <w:szCs w:val="21"/>
          <w:highlight w:val="none"/>
        </w:rPr>
        <w:t>设备清单</w:t>
      </w:r>
    </w:p>
    <w:tbl>
      <w:tblPr>
        <w:tblStyle w:val="45"/>
        <w:tblW w:w="498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39"/>
        <w:gridCol w:w="2227"/>
        <w:gridCol w:w="1852"/>
        <w:gridCol w:w="1257"/>
        <w:gridCol w:w="1081"/>
        <w:gridCol w:w="151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开拓方式</w:t>
            </w: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项目名称</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型号</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单位</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数量</w:t>
            </w:r>
          </w:p>
        </w:tc>
        <w:tc>
          <w:tcPr>
            <w:tcW w:w="815"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restar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露天开采</w:t>
            </w: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潜孔钻机</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CL561Y型</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815"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空压机</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DACY-21.0/8型</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815"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挖掘机</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SH240-5型</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815"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铲车</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ZL-50型</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815"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洒水车</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CA11型</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815"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自卸汽车</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17.27t</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辆</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8</w:t>
            </w:r>
          </w:p>
        </w:tc>
        <w:tc>
          <w:tcPr>
            <w:tcW w:w="815"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109" w:hRule="atLeast"/>
          <w:jc w:val="center"/>
        </w:trPr>
        <w:tc>
          <w:tcPr>
            <w:tcW w:w="722" w:type="pct"/>
            <w:vMerge w:val="restar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地下开采</w:t>
            </w: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主扇风机</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K40-8-No13</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8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空压机</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LGFD-13/7</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8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vMerge w:val="restar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凿岩机</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7655型凿岩机</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8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YSP-45型凿岩机</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8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YG80型</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8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局扇</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JK58-1No4</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8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装载机</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ZL20E轮胎式装载机</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8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09" w:hRule="atLeast"/>
          <w:jc w:val="center"/>
        </w:trPr>
        <w:tc>
          <w:tcPr>
            <w:tcW w:w="722" w:type="pct"/>
            <w:vMerge w:val="continue"/>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201"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自卸汽车</w:t>
            </w:r>
          </w:p>
        </w:tc>
        <w:tc>
          <w:tcPr>
            <w:tcW w:w="999"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5t</w:t>
            </w:r>
          </w:p>
        </w:tc>
        <w:tc>
          <w:tcPr>
            <w:tcW w:w="678"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台</w:t>
            </w:r>
          </w:p>
        </w:tc>
        <w:tc>
          <w:tcPr>
            <w:tcW w:w="583" w:type="pct"/>
            <w:tcBorders>
              <w:tl2br w:val="nil"/>
              <w:tr2bl w:val="nil"/>
            </w:tcBorders>
            <w:noWrap w:val="0"/>
            <w:vAlign w:val="center"/>
          </w:tcPr>
          <w:p>
            <w:pPr>
              <w:pStyle w:val="144"/>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5</w:t>
            </w:r>
          </w:p>
        </w:tc>
        <w:tc>
          <w:tcPr>
            <w:tcW w:w="81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新购</w:t>
            </w:r>
          </w:p>
        </w:tc>
      </w:tr>
    </w:tbl>
    <w:p>
      <w:pPr>
        <w:pStyle w:val="5"/>
        <w:bidi w:val="0"/>
        <w:rPr>
          <w:rFonts w:hint="default" w:ascii="Times New Roman" w:hAnsi="Times New Roman" w:eastAsia="宋体" w:cs="Times New Roman"/>
          <w:color w:val="auto"/>
          <w:highlight w:val="none"/>
        </w:rPr>
      </w:pPr>
      <w:bookmarkStart w:id="190" w:name="_Toc445968958"/>
      <w:bookmarkStart w:id="191" w:name="_Toc450827012"/>
      <w:bookmarkStart w:id="192" w:name="_Toc515537838"/>
      <w:r>
        <w:rPr>
          <w:rFonts w:hint="default" w:ascii="Times New Roman" w:hAnsi="Times New Roman" w:eastAsia="宋体" w:cs="Times New Roman"/>
          <w:color w:val="auto"/>
          <w:highlight w:val="none"/>
        </w:rPr>
        <w:t>能源及材料消耗</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本项目能源及原辅材料消耗见下表。</w:t>
      </w:r>
    </w:p>
    <w:p>
      <w:pPr>
        <w:pStyle w:val="80"/>
        <w:spacing w:line="240" w:lineRule="auto"/>
        <w:ind w:firstLine="422"/>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rPr>
        <w:t>表</w:t>
      </w:r>
      <w:r>
        <w:rPr>
          <w:rFonts w:hint="eastAsia" w:eastAsia="宋体" w:cs="Times New Roman"/>
          <w:color w:val="auto"/>
          <w:sz w:val="21"/>
          <w:highlight w:val="none"/>
          <w:lang w:val="en-US" w:eastAsia="zh-CN"/>
        </w:rPr>
        <w:t>3.1-6</w:t>
      </w:r>
      <w:r>
        <w:rPr>
          <w:rFonts w:hint="default" w:ascii="Times New Roman" w:hAnsi="Times New Roman" w:eastAsia="宋体" w:cs="Times New Roman"/>
          <w:color w:val="auto"/>
          <w:sz w:val="21"/>
          <w:highlight w:val="none"/>
          <w:lang w:val="en-US" w:eastAsia="zh-CN"/>
        </w:rPr>
        <w:t>项目能源及原辅材料</w:t>
      </w:r>
      <w:r>
        <w:rPr>
          <w:rFonts w:hint="default" w:ascii="Times New Roman" w:hAnsi="Times New Roman" w:eastAsia="宋体" w:cs="Times New Roman"/>
          <w:color w:val="auto"/>
          <w:sz w:val="21"/>
          <w:highlight w:val="none"/>
        </w:rPr>
        <w:t>消耗表</w:t>
      </w:r>
    </w:p>
    <w:bookmarkEnd w:id="190"/>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7"/>
        <w:gridCol w:w="1268"/>
        <w:gridCol w:w="882"/>
        <w:gridCol w:w="1244"/>
        <w:gridCol w:w="1316"/>
        <w:gridCol w:w="36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bookmarkStart w:id="193" w:name="_Toc445968959"/>
            <w:r>
              <w:rPr>
                <w:rFonts w:hint="default" w:ascii="Times New Roman" w:hAnsi="Times New Roman" w:eastAsia="宋体" w:cs="Times New Roman"/>
                <w:snapToGrid/>
                <w:color w:val="auto"/>
                <w:kern w:val="2"/>
                <w:sz w:val="21"/>
                <w:szCs w:val="21"/>
                <w:highlight w:val="none"/>
                <w:lang w:val="en-US" w:eastAsia="zh-CN" w:bidi="ar-SA"/>
              </w:rPr>
              <w:t>类别</w:t>
            </w:r>
          </w:p>
        </w:tc>
        <w:tc>
          <w:tcPr>
            <w:tcW w:w="6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材料名称</w:t>
            </w:r>
          </w:p>
        </w:tc>
        <w:tc>
          <w:tcPr>
            <w:tcW w:w="47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单位</w:t>
            </w:r>
          </w:p>
        </w:tc>
        <w:tc>
          <w:tcPr>
            <w:tcW w:w="67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每吨单耗</w:t>
            </w:r>
          </w:p>
        </w:tc>
        <w:tc>
          <w:tcPr>
            <w:tcW w:w="70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年消耗量</w:t>
            </w:r>
          </w:p>
        </w:tc>
        <w:tc>
          <w:tcPr>
            <w:tcW w:w="196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采矿材料</w:t>
            </w:r>
          </w:p>
        </w:tc>
        <w:tc>
          <w:tcPr>
            <w:tcW w:w="6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乳化炸药</w:t>
            </w:r>
          </w:p>
        </w:tc>
        <w:tc>
          <w:tcPr>
            <w:tcW w:w="47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kg</w:t>
            </w:r>
          </w:p>
        </w:tc>
        <w:tc>
          <w:tcPr>
            <w:tcW w:w="67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0.43</w:t>
            </w:r>
          </w:p>
        </w:tc>
        <w:tc>
          <w:tcPr>
            <w:tcW w:w="70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43t</w:t>
            </w:r>
          </w:p>
        </w:tc>
        <w:tc>
          <w:tcPr>
            <w:tcW w:w="1962"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爆破委托专业爆破作业单位海城市聚威爆破有限公司进行，爆破作业资格见附件，爆破材料由其负责运送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6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非电雷管</w:t>
            </w:r>
          </w:p>
        </w:tc>
        <w:tc>
          <w:tcPr>
            <w:tcW w:w="47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发</w:t>
            </w:r>
          </w:p>
        </w:tc>
        <w:tc>
          <w:tcPr>
            <w:tcW w:w="67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0.05</w:t>
            </w:r>
          </w:p>
        </w:tc>
        <w:tc>
          <w:tcPr>
            <w:tcW w:w="70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5000发</w:t>
            </w:r>
          </w:p>
        </w:tc>
        <w:tc>
          <w:tcPr>
            <w:tcW w:w="196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6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导爆管</w:t>
            </w:r>
          </w:p>
        </w:tc>
        <w:tc>
          <w:tcPr>
            <w:tcW w:w="47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m</w:t>
            </w:r>
          </w:p>
        </w:tc>
        <w:tc>
          <w:tcPr>
            <w:tcW w:w="67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w:t>
            </w:r>
          </w:p>
        </w:tc>
        <w:tc>
          <w:tcPr>
            <w:tcW w:w="70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10000m</w:t>
            </w:r>
          </w:p>
        </w:tc>
        <w:tc>
          <w:tcPr>
            <w:tcW w:w="196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6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钻头</w:t>
            </w:r>
          </w:p>
        </w:tc>
        <w:tc>
          <w:tcPr>
            <w:tcW w:w="47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个</w:t>
            </w:r>
          </w:p>
        </w:tc>
        <w:tc>
          <w:tcPr>
            <w:tcW w:w="67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0.0004</w:t>
            </w:r>
          </w:p>
        </w:tc>
        <w:tc>
          <w:tcPr>
            <w:tcW w:w="70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40个</w:t>
            </w:r>
          </w:p>
        </w:tc>
        <w:tc>
          <w:tcPr>
            <w:tcW w:w="196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市场购买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6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钻杆</w:t>
            </w:r>
          </w:p>
        </w:tc>
        <w:tc>
          <w:tcPr>
            <w:tcW w:w="47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根</w:t>
            </w:r>
          </w:p>
        </w:tc>
        <w:tc>
          <w:tcPr>
            <w:tcW w:w="67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0.0005</w:t>
            </w:r>
          </w:p>
        </w:tc>
        <w:tc>
          <w:tcPr>
            <w:tcW w:w="70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50根</w:t>
            </w:r>
          </w:p>
        </w:tc>
        <w:tc>
          <w:tcPr>
            <w:tcW w:w="196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市场购买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26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钻管</w:t>
            </w:r>
          </w:p>
        </w:tc>
        <w:tc>
          <w:tcPr>
            <w:tcW w:w="8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根</w:t>
            </w:r>
          </w:p>
        </w:tc>
        <w:tc>
          <w:tcPr>
            <w:tcW w:w="1244"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0.0004</w:t>
            </w:r>
          </w:p>
        </w:tc>
        <w:tc>
          <w:tcPr>
            <w:tcW w:w="1316"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40根</w:t>
            </w:r>
          </w:p>
        </w:tc>
        <w:tc>
          <w:tcPr>
            <w:tcW w:w="3643"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市场购买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6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机油</w:t>
            </w:r>
          </w:p>
        </w:tc>
        <w:tc>
          <w:tcPr>
            <w:tcW w:w="47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kg</w:t>
            </w:r>
          </w:p>
        </w:tc>
        <w:tc>
          <w:tcPr>
            <w:tcW w:w="67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w:t>
            </w:r>
          </w:p>
        </w:tc>
        <w:tc>
          <w:tcPr>
            <w:tcW w:w="70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0.1</w:t>
            </w:r>
          </w:p>
        </w:tc>
        <w:tc>
          <w:tcPr>
            <w:tcW w:w="196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市场购买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6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柴油</w:t>
            </w:r>
          </w:p>
        </w:tc>
        <w:tc>
          <w:tcPr>
            <w:tcW w:w="47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t/a</w:t>
            </w:r>
          </w:p>
        </w:tc>
        <w:tc>
          <w:tcPr>
            <w:tcW w:w="67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w:t>
            </w:r>
          </w:p>
        </w:tc>
        <w:tc>
          <w:tcPr>
            <w:tcW w:w="70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1</w:t>
            </w:r>
          </w:p>
        </w:tc>
        <w:tc>
          <w:tcPr>
            <w:tcW w:w="196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由社会运输车辆不定期提供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能源</w:t>
            </w:r>
          </w:p>
        </w:tc>
        <w:tc>
          <w:tcPr>
            <w:tcW w:w="683"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水</w:t>
            </w:r>
          </w:p>
        </w:tc>
        <w:tc>
          <w:tcPr>
            <w:tcW w:w="475"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t/a</w:t>
            </w:r>
          </w:p>
        </w:tc>
        <w:tc>
          <w:tcPr>
            <w:tcW w:w="670"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w:t>
            </w:r>
          </w:p>
        </w:tc>
        <w:tc>
          <w:tcPr>
            <w:tcW w:w="709"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1650</w:t>
            </w:r>
          </w:p>
        </w:tc>
        <w:tc>
          <w:tcPr>
            <w:tcW w:w="1962"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水车运送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683"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电</w:t>
            </w:r>
          </w:p>
        </w:tc>
        <w:tc>
          <w:tcPr>
            <w:tcW w:w="475"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万kWh</w:t>
            </w:r>
          </w:p>
        </w:tc>
        <w:tc>
          <w:tcPr>
            <w:tcW w:w="670"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w:t>
            </w:r>
          </w:p>
        </w:tc>
        <w:tc>
          <w:tcPr>
            <w:tcW w:w="709"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highlight w:val="none"/>
                <w:lang w:val="en-US" w:eastAsia="zh-CN"/>
              </w:rPr>
              <w:t>0.5万</w:t>
            </w:r>
          </w:p>
        </w:tc>
        <w:tc>
          <w:tcPr>
            <w:tcW w:w="1962" w:type="pct"/>
            <w:tcBorders>
              <w:tl2br w:val="nil"/>
              <w:tr2bl w:val="nil"/>
            </w:tcBorders>
            <w:noWrap w:val="0"/>
            <w:vAlign w:val="center"/>
          </w:tcPr>
          <w:p>
            <w:pPr>
              <w:pStyle w:val="104"/>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市政</w:t>
            </w:r>
          </w:p>
        </w:tc>
      </w:tr>
    </w:tbl>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本工程</w:t>
      </w:r>
      <w:r>
        <w:rPr>
          <w:rFonts w:hint="eastAsia" w:eastAsia="宋体" w:cs="Times New Roman"/>
          <w:color w:val="auto"/>
          <w:highlight w:val="none"/>
          <w:lang w:val="en-US" w:eastAsia="zh-CN"/>
        </w:rPr>
        <w:t>新增</w:t>
      </w:r>
      <w:r>
        <w:rPr>
          <w:rFonts w:hint="default" w:ascii="Times New Roman" w:hAnsi="Times New Roman" w:eastAsia="宋体" w:cs="Times New Roman"/>
          <w:color w:val="auto"/>
          <w:highlight w:val="none"/>
          <w:lang w:val="en-US" w:eastAsia="zh-CN"/>
        </w:rPr>
        <w:t>占地情况</w:t>
      </w:r>
    </w:p>
    <w:p>
      <w:pPr>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本项目工程</w:t>
      </w:r>
      <w:r>
        <w:rPr>
          <w:rFonts w:hint="eastAsia" w:cs="Times New Roman"/>
          <w:color w:val="auto"/>
          <w:highlight w:val="none"/>
          <w:lang w:val="en-US" w:eastAsia="zh-CN"/>
        </w:rPr>
        <w:t>新增</w:t>
      </w:r>
      <w:r>
        <w:rPr>
          <w:rFonts w:hint="default" w:ascii="Times New Roman" w:hAnsi="Times New Roman" w:eastAsia="宋体" w:cs="Times New Roman"/>
          <w:color w:val="auto"/>
          <w:highlight w:val="none"/>
          <w:lang w:val="en-US" w:eastAsia="zh-CN"/>
        </w:rPr>
        <w:t>占地情况见表</w:t>
      </w:r>
      <w:r>
        <w:rPr>
          <w:rFonts w:hint="eastAsia" w:cs="Times New Roman"/>
          <w:color w:val="auto"/>
          <w:highlight w:val="none"/>
          <w:lang w:val="en-US" w:eastAsia="zh-CN"/>
        </w:rPr>
        <w:t>3.1-7</w:t>
      </w:r>
      <w:r>
        <w:rPr>
          <w:rFonts w:hint="default" w:ascii="Times New Roman" w:hAnsi="Times New Roman" w:eastAsia="宋体" w:cs="Times New Roman"/>
          <w:color w:val="auto"/>
          <w:highlight w:val="none"/>
          <w:lang w:val="en-US" w:eastAsia="zh-CN"/>
        </w:rPr>
        <w:t>。</w:t>
      </w:r>
    </w:p>
    <w:p>
      <w:pPr>
        <w:spacing w:line="240" w:lineRule="atLeast"/>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w:t>
      </w:r>
      <w:r>
        <w:rPr>
          <w:rFonts w:hint="eastAsia" w:cs="Times New Roman"/>
          <w:b/>
          <w:bCs/>
          <w:color w:val="auto"/>
          <w:sz w:val="21"/>
          <w:szCs w:val="21"/>
          <w:highlight w:val="none"/>
          <w:lang w:val="en-US" w:eastAsia="zh-CN"/>
        </w:rPr>
        <w:t>3.1-7</w:t>
      </w:r>
      <w:r>
        <w:rPr>
          <w:rFonts w:hint="default" w:ascii="Times New Roman" w:hAnsi="Times New Roman" w:eastAsia="宋体" w:cs="Times New Roman"/>
          <w:b/>
          <w:bCs/>
          <w:color w:val="auto"/>
          <w:sz w:val="21"/>
          <w:szCs w:val="21"/>
          <w:highlight w:val="none"/>
          <w:lang w:val="en-US" w:eastAsia="zh-CN"/>
        </w:rPr>
        <w:t>工程新增占地面积</w:t>
      </w:r>
    </w:p>
    <w:tbl>
      <w:tblPr>
        <w:tblStyle w:val="45"/>
        <w:tblW w:w="473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27"/>
        <w:gridCol w:w="2239"/>
        <w:gridCol w:w="2567"/>
        <w:gridCol w:w="25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1272"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项目</w:t>
            </w:r>
          </w:p>
        </w:tc>
        <w:tc>
          <w:tcPr>
            <w:tcW w:w="1458"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破坏方式</w:t>
            </w:r>
          </w:p>
        </w:tc>
        <w:tc>
          <w:tcPr>
            <w:tcW w:w="1458" w:type="pct"/>
            <w:tcBorders>
              <w:tl2br w:val="nil"/>
              <w:tr2bl w:val="nil"/>
            </w:tcBorders>
            <w:noWrap/>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占地面积m</w:t>
            </w:r>
            <w:r>
              <w:rPr>
                <w:rFonts w:hint="default" w:ascii="Times New Roman" w:hAnsi="Times New Roman" w:eastAsia="宋体" w:cs="Times New Roman"/>
                <w:color w:val="auto"/>
                <w:sz w:val="21"/>
                <w:szCs w:val="21"/>
                <w:highlight w:val="none"/>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w:t>
            </w:r>
          </w:p>
        </w:tc>
        <w:tc>
          <w:tcPr>
            <w:tcW w:w="1272"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露天一采场</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挖损、压占</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58907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w:t>
            </w:r>
          </w:p>
        </w:tc>
        <w:tc>
          <w:tcPr>
            <w:tcW w:w="1272"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露天二采场</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挖损、压占</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8708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w:t>
            </w:r>
          </w:p>
        </w:tc>
        <w:tc>
          <w:tcPr>
            <w:tcW w:w="1272"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平硐PD1</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挖损、压占</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w:t>
            </w:r>
          </w:p>
        </w:tc>
        <w:tc>
          <w:tcPr>
            <w:tcW w:w="1272"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平硐PD2</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挖损、压占</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w:t>
            </w:r>
          </w:p>
        </w:tc>
        <w:tc>
          <w:tcPr>
            <w:tcW w:w="1272"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平硐PD3</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挖损、压占</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6</w:t>
            </w:r>
          </w:p>
        </w:tc>
        <w:tc>
          <w:tcPr>
            <w:tcW w:w="1272"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平硐PD4</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挖损、压占</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7</w:t>
            </w:r>
          </w:p>
        </w:tc>
        <w:tc>
          <w:tcPr>
            <w:tcW w:w="1272"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运输道路（新建）</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压占</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8</w:t>
            </w:r>
          </w:p>
        </w:tc>
        <w:tc>
          <w:tcPr>
            <w:tcW w:w="1272"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拟建地表建筑设施</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vi-VN" w:eastAsia="zh-CN" w:bidi="ar-SA"/>
              </w:rPr>
              <w:t>压占</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663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10" w:type="pct"/>
            <w:tcBorders>
              <w:tl2br w:val="nil"/>
              <w:tr2bl w:val="nil"/>
            </w:tcBorders>
            <w:noWrap/>
            <w:vAlign w:val="center"/>
          </w:tcPr>
          <w:p>
            <w:pPr>
              <w:widowControl/>
              <w:spacing w:line="240" w:lineRule="auto"/>
              <w:ind w:firstLine="0" w:firstLineChars="0"/>
              <w:jc w:val="center"/>
              <w:textAlignment w:val="baseline"/>
              <w:rPr>
                <w:rFonts w:hint="default"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9</w:t>
            </w:r>
          </w:p>
        </w:tc>
        <w:tc>
          <w:tcPr>
            <w:tcW w:w="2239" w:type="dxa"/>
            <w:tcBorders>
              <w:tl2br w:val="nil"/>
              <w:tr2bl w:val="nil"/>
            </w:tcBorders>
            <w:noWrap/>
            <w:vAlign w:val="center"/>
          </w:tcPr>
          <w:p>
            <w:pPr>
              <w:widowControl/>
              <w:spacing w:line="240" w:lineRule="auto"/>
              <w:ind w:firstLine="0" w:firstLineChars="0"/>
              <w:jc w:val="center"/>
              <w:textAlignment w:val="baseline"/>
              <w:rPr>
                <w:rFonts w:hint="eastAsia"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预测地面塌陷范围</w:t>
            </w:r>
          </w:p>
        </w:tc>
        <w:tc>
          <w:tcPr>
            <w:tcW w:w="2567" w:type="dxa"/>
            <w:tcBorders>
              <w:tl2br w:val="nil"/>
              <w:tr2bl w:val="nil"/>
            </w:tcBorders>
            <w:noWrap/>
            <w:vAlign w:val="center"/>
          </w:tcPr>
          <w:p>
            <w:pPr>
              <w:widowControl/>
              <w:spacing w:line="240" w:lineRule="auto"/>
              <w:ind w:firstLine="0" w:firstLineChars="0"/>
              <w:jc w:val="center"/>
              <w:textAlignment w:val="baseline"/>
              <w:rPr>
                <w:rFonts w:hint="eastAsia" w:ascii="Times New Roman" w:hAnsi="Times New Roman" w:eastAsia="宋体" w:cs="Times New Roman"/>
                <w:snapToGrid/>
                <w:color w:val="auto"/>
                <w:kern w:val="2"/>
                <w:sz w:val="21"/>
                <w:szCs w:val="21"/>
                <w:highlight w:val="none"/>
                <w:lang w:val="vi-VN" w:eastAsia="zh-CN" w:bidi="ar-SA"/>
              </w:rPr>
            </w:pPr>
            <w:r>
              <w:rPr>
                <w:rFonts w:hint="eastAsia" w:ascii="Times New Roman" w:hAnsi="Times New Roman" w:eastAsia="宋体" w:cs="Times New Roman"/>
                <w:snapToGrid/>
                <w:color w:val="auto"/>
                <w:kern w:val="2"/>
                <w:sz w:val="21"/>
                <w:szCs w:val="21"/>
                <w:highlight w:val="none"/>
                <w:lang w:val="vi-VN" w:eastAsia="zh-CN" w:bidi="ar-SA"/>
              </w:rPr>
              <w:t>塌陷</w:t>
            </w:r>
          </w:p>
        </w:tc>
        <w:tc>
          <w:tcPr>
            <w:tcW w:w="2567" w:type="dxa"/>
            <w:tcBorders>
              <w:tl2br w:val="nil"/>
              <w:tr2bl w:val="nil"/>
            </w:tcBorders>
            <w:noWrap/>
            <w:vAlign w:val="center"/>
          </w:tcPr>
          <w:p>
            <w:pPr>
              <w:widowControl/>
              <w:spacing w:line="240" w:lineRule="auto"/>
              <w:ind w:firstLine="0" w:firstLineChars="0"/>
              <w:jc w:val="center"/>
              <w:textAlignment w:val="baseline"/>
              <w:rPr>
                <w:rFonts w:hint="eastAsia"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5.5915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2082" w:type="pct"/>
            <w:gridSpan w:val="2"/>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与现状露天采坑1、部分露天采坑2、重叠面积</w:t>
            </w:r>
          </w:p>
        </w:tc>
        <w:tc>
          <w:tcPr>
            <w:tcW w:w="1458" w:type="pct"/>
            <w:tcBorders>
              <w:tl2br w:val="nil"/>
              <w:tr2bl w:val="nil"/>
            </w:tcBorders>
            <w:noWrap/>
            <w:vAlign w:val="center"/>
          </w:tcPr>
          <w:p>
            <w:pPr>
              <w:widowControl/>
              <w:spacing w:line="240" w:lineRule="auto"/>
              <w:ind w:firstLine="0" w:firstLineChars="0"/>
              <w:jc w:val="center"/>
              <w:textAlignment w:val="baseline"/>
              <w:rPr>
                <w:rFonts w:hint="eastAsia" w:ascii="Times New Roman" w:hAnsi="Times New Roman" w:eastAsia="宋体" w:cs="Times New Roman"/>
                <w:snapToGrid/>
                <w:color w:val="auto"/>
                <w:kern w:val="2"/>
                <w:sz w:val="21"/>
                <w:szCs w:val="21"/>
                <w:highlight w:val="none"/>
                <w:lang w:val="vi-VN" w:eastAsia="zh-CN" w:bidi="ar-SA"/>
              </w:rPr>
            </w:pPr>
            <w:r>
              <w:rPr>
                <w:rFonts w:hint="eastAsia" w:ascii="Times New Roman" w:hAnsi="Times New Roman" w:eastAsia="宋体" w:cs="Times New Roman"/>
                <w:snapToGrid/>
                <w:color w:val="auto"/>
                <w:kern w:val="2"/>
                <w:sz w:val="21"/>
                <w:szCs w:val="21"/>
                <w:highlight w:val="none"/>
                <w:lang w:val="vi-VN" w:eastAsia="zh-CN" w:bidi="ar-SA"/>
              </w:rPr>
              <w:t>—</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—9230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3541" w:type="pct"/>
            <w:gridSpan w:val="3"/>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合计</w:t>
            </w:r>
          </w:p>
        </w:tc>
        <w:tc>
          <w:tcPr>
            <w:tcW w:w="1458" w:type="pct"/>
            <w:tcBorders>
              <w:tl2br w:val="nil"/>
              <w:tr2bl w:val="nil"/>
            </w:tcBorders>
            <w:noWrap/>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136291</w:t>
            </w:r>
          </w:p>
        </w:tc>
      </w:tr>
    </w:tbl>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总平面布置</w:t>
      </w:r>
      <w:bookmarkEnd w:id="193"/>
    </w:p>
    <w:p>
      <w:pPr>
        <w:ind w:firstLine="480"/>
        <w:rPr>
          <w:rFonts w:hint="default" w:ascii="Times New Roman" w:hAnsi="Times New Roman" w:eastAsia="宋体" w:cs="Times New Roman"/>
          <w:color w:val="auto"/>
          <w:highlight w:val="none"/>
        </w:rPr>
      </w:pPr>
      <w:bookmarkStart w:id="194" w:name="_Toc187052574"/>
      <w:bookmarkStart w:id="195" w:name="_Toc187052953"/>
      <w:bookmarkStart w:id="196" w:name="_Toc445968960"/>
      <w:bookmarkStart w:id="197" w:name="_Toc187052197"/>
      <w:r>
        <w:rPr>
          <w:rFonts w:hint="default" w:ascii="Times New Roman" w:hAnsi="Times New Roman" w:eastAsia="宋体" w:cs="Times New Roman"/>
          <w:color w:val="auto"/>
          <w:highlight w:val="none"/>
          <w:lang w:val="en-US" w:eastAsia="zh-CN"/>
        </w:rPr>
        <w:t>项目露天二采场在原有露天采场上进行开拓，</w:t>
      </w:r>
      <w:r>
        <w:rPr>
          <w:rFonts w:hint="default" w:ascii="Times New Roman" w:hAnsi="Times New Roman" w:eastAsia="宋体" w:cs="Times New Roman"/>
          <w:color w:val="auto"/>
          <w:highlight w:val="none"/>
        </w:rPr>
        <w:t>工业场地</w:t>
      </w:r>
      <w:r>
        <w:rPr>
          <w:rFonts w:hint="default" w:ascii="Times New Roman" w:hAnsi="Times New Roman" w:eastAsia="宋体" w:cs="Times New Roman"/>
          <w:color w:val="auto"/>
          <w:highlight w:val="none"/>
          <w:lang w:val="en-US" w:eastAsia="zh-CN"/>
        </w:rPr>
        <w:t>在矿区东侧原有裸露地表上建设，尽量减少新增占地</w:t>
      </w:r>
      <w:r>
        <w:rPr>
          <w:rFonts w:hint="default" w:ascii="Times New Roman" w:hAnsi="Times New Roman" w:eastAsia="宋体" w:cs="Times New Roman"/>
          <w:color w:val="auto"/>
          <w:highlight w:val="none"/>
        </w:rPr>
        <w:t>。爆破作业由当地民爆公司进行，矿山不设炸药库。</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露天开采办公室、休息室、机修室等工业场地与地下开采工业场地共用。露天开采</w:t>
      </w:r>
      <w:r>
        <w:rPr>
          <w:rFonts w:hint="eastAsia" w:cs="Times New Roman"/>
          <w:color w:val="auto"/>
          <w:highlight w:val="none"/>
          <w:lang w:val="en-US" w:eastAsia="zh-CN"/>
        </w:rPr>
        <w:t>一</w:t>
      </w:r>
      <w:r>
        <w:rPr>
          <w:rFonts w:hint="default" w:ascii="Times New Roman" w:hAnsi="Times New Roman" w:eastAsia="宋体" w:cs="Times New Roman"/>
          <w:color w:val="auto"/>
          <w:highlight w:val="none"/>
        </w:rPr>
        <w:t>另需布置矿山道路、蓄水池等。</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地下开采的工业场地设计包括：办公室、休息室、通风机房、空压机室、变电所、高位蓄水池等，通风机房位于平硐PD1和平硐PD2风道口附近。</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rPr>
        <w:t>该矿现有1条运输道路连接各损毁场地，未来矿山将新建井口和露天采坑，为连接以上场地，设计新建1条运输道路，编号为拟建运输道路2。拟建运输道路2用于连接设计的露天一采场，路面宽4-5m</w:t>
      </w:r>
      <w:r>
        <w:rPr>
          <w:rFonts w:hint="default" w:ascii="Times New Roman" w:hAnsi="Times New Roman" w:eastAsia="宋体" w:cs="Times New Roman"/>
          <w:color w:val="auto"/>
          <w:sz w:val="24"/>
          <w:highlight w:val="none"/>
          <w:lang w:eastAsia="zh-CN"/>
        </w:rPr>
        <w:t>。</w:t>
      </w:r>
    </w:p>
    <w:p>
      <w:pPr>
        <w:ind w:firstLine="480"/>
        <w:rPr>
          <w:rFonts w:hint="default" w:ascii="Times New Roman" w:hAnsi="Times New Roman" w:eastAsia="宋体" w:cs="Times New Roman"/>
          <w:color w:val="auto"/>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总平面布置情况见图</w:t>
      </w:r>
      <w:r>
        <w:rPr>
          <w:rFonts w:hint="eastAsia" w:cs="Times New Roman"/>
          <w:color w:val="auto"/>
          <w:highlight w:val="none"/>
          <w:lang w:val="en-US" w:eastAsia="zh-CN"/>
        </w:rPr>
        <w:t>3.1-</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pPr>
        <w:ind w:firstLine="480"/>
        <w:jc w:val="center"/>
        <w:rPr>
          <w:rFonts w:hint="eastAsia" w:ascii="Times New Roman" w:hAnsi="Times New Roman" w:eastAsia="宋体" w:cs="Times New Roman"/>
          <w:color w:val="auto"/>
          <w:highlight w:val="none"/>
          <w:lang w:eastAsia="zh-CN"/>
        </w:rPr>
      </w:pPr>
      <w:r>
        <w:rPr>
          <w:color w:val="auto"/>
          <w:highlight w:val="none"/>
        </w:rPr>
        <w:drawing>
          <wp:inline distT="0" distB="0" distL="114300" distR="114300">
            <wp:extent cx="7357745" cy="5372735"/>
            <wp:effectExtent l="0" t="0" r="14605" b="18415"/>
            <wp:docPr id="6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3"/>
                    <pic:cNvPicPr>
                      <a:picLocks noChangeAspect="1"/>
                    </pic:cNvPicPr>
                  </pic:nvPicPr>
                  <pic:blipFill>
                    <a:blip r:embed="rId54"/>
                    <a:stretch>
                      <a:fillRect/>
                    </a:stretch>
                  </pic:blipFill>
                  <pic:spPr>
                    <a:xfrm>
                      <a:off x="0" y="0"/>
                      <a:ext cx="7357745" cy="5372735"/>
                    </a:xfrm>
                    <a:prstGeom prst="rect">
                      <a:avLst/>
                    </a:prstGeom>
                    <a:noFill/>
                    <a:ln>
                      <a:noFill/>
                    </a:ln>
                  </pic:spPr>
                </pic:pic>
              </a:graphicData>
            </a:graphic>
          </wp:inline>
        </w:drawing>
      </w:r>
    </w:p>
    <w:p>
      <w:pPr>
        <w:ind w:firstLine="480"/>
        <w:jc w:val="center"/>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b/>
          <w:color w:val="auto"/>
          <w:sz w:val="21"/>
          <w:szCs w:val="21"/>
          <w:highlight w:val="none"/>
        </w:rPr>
        <w:t>图</w:t>
      </w:r>
      <w:r>
        <w:rPr>
          <w:rFonts w:hint="eastAsia" w:cs="Times New Roman"/>
          <w:b/>
          <w:color w:val="auto"/>
          <w:sz w:val="21"/>
          <w:szCs w:val="21"/>
          <w:highlight w:val="none"/>
          <w:lang w:val="en-US" w:eastAsia="zh-CN"/>
        </w:rPr>
        <w:t>3.1-</w:t>
      </w:r>
      <w:r>
        <w:rPr>
          <w:rFonts w:hint="default" w:ascii="Times New Roman" w:hAnsi="Times New Roman" w:eastAsia="宋体" w:cs="Times New Roman"/>
          <w:b/>
          <w:color w:val="auto"/>
          <w:sz w:val="21"/>
          <w:szCs w:val="21"/>
          <w:highlight w:val="none"/>
          <w:lang w:val="en-US" w:eastAsia="zh-CN"/>
        </w:rPr>
        <w:t>2项目</w:t>
      </w:r>
      <w:r>
        <w:rPr>
          <w:rFonts w:hint="default" w:ascii="Times New Roman" w:hAnsi="Times New Roman" w:eastAsia="宋体" w:cs="Times New Roman"/>
          <w:b/>
          <w:color w:val="auto"/>
          <w:sz w:val="21"/>
          <w:szCs w:val="21"/>
          <w:highlight w:val="none"/>
        </w:rPr>
        <w:t>总平面布置图</w:t>
      </w:r>
    </w:p>
    <w:p>
      <w:pPr>
        <w:ind w:firstLine="480"/>
        <w:jc w:val="center"/>
        <w:rPr>
          <w:rFonts w:hint="eastAsia" w:ascii="Times New Roman" w:hAnsi="Times New Roman" w:eastAsia="宋体" w:cs="Times New Roman"/>
          <w:color w:val="auto"/>
          <w:highlight w:val="none"/>
          <w:lang w:eastAsia="zh-CN"/>
        </w:rPr>
        <w:sectPr>
          <w:pgSz w:w="16840" w:h="11907" w:orient="landscape"/>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主要技术经济指标</w:t>
      </w:r>
      <w:bookmarkEnd w:id="194"/>
      <w:bookmarkEnd w:id="195"/>
      <w:bookmarkEnd w:id="196"/>
      <w:bookmarkEnd w:id="197"/>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本项目主要技术经济指标见表</w:t>
      </w:r>
      <w:r>
        <w:rPr>
          <w:rFonts w:hint="eastAsia" w:cs="Times New Roman"/>
          <w:color w:val="auto"/>
          <w:highlight w:val="none"/>
          <w:lang w:val="en-US" w:eastAsia="zh-CN"/>
        </w:rPr>
        <w:t>3.1-8</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3.1-9</w:t>
      </w:r>
      <w:r>
        <w:rPr>
          <w:rFonts w:hint="default" w:ascii="Times New Roman" w:hAnsi="Times New Roman" w:eastAsia="宋体" w:cs="Times New Roman"/>
          <w:color w:val="auto"/>
          <w:highlight w:val="none"/>
        </w:rPr>
        <w:t>。</w:t>
      </w:r>
    </w:p>
    <w:p>
      <w:pPr>
        <w:pStyle w:val="60"/>
        <w:spacing w:before="0" w:after="0" w:line="240" w:lineRule="atLeast"/>
        <w:ind w:firstLine="0" w:firstLineChars="0"/>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表</w:t>
      </w:r>
      <w:r>
        <w:rPr>
          <w:rFonts w:hint="eastAsia" w:ascii="Times New Roman" w:eastAsia="宋体" w:cs="Times New Roman"/>
          <w:b/>
          <w:bCs/>
          <w:color w:val="auto"/>
          <w:kern w:val="2"/>
          <w:sz w:val="21"/>
          <w:szCs w:val="21"/>
          <w:highlight w:val="none"/>
          <w:lang w:val="en-US" w:eastAsia="zh-CN"/>
        </w:rPr>
        <w:t>3.1-8</w:t>
      </w:r>
      <w:r>
        <w:rPr>
          <w:rFonts w:hint="default" w:ascii="Times New Roman" w:hAnsi="Times New Roman" w:eastAsia="宋体" w:cs="Times New Roman"/>
          <w:b/>
          <w:bCs/>
          <w:color w:val="auto"/>
          <w:kern w:val="2"/>
          <w:sz w:val="21"/>
          <w:szCs w:val="21"/>
          <w:highlight w:val="none"/>
        </w:rPr>
        <w:t>露天开采主要技术经济指标表</w:t>
      </w:r>
    </w:p>
    <w:tbl>
      <w:tblPr>
        <w:tblStyle w:val="4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2929"/>
        <w:gridCol w:w="1493"/>
        <w:gridCol w:w="2073"/>
        <w:gridCol w:w="19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471" w:type="pct"/>
            <w:vMerge w:val="restar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577" w:type="pct"/>
            <w:vMerge w:val="restar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804" w:type="pct"/>
            <w:vMerge w:val="restar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471" w:type="pct"/>
            <w:vMerge w:val="continue"/>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577" w:type="pct"/>
            <w:vMerge w:val="continue"/>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804" w:type="pct"/>
            <w:vMerge w:val="continue"/>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一采场</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二采场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地质储量</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万t</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75.501</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设计利用资源储量</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万t</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62.136</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生产能力</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万t/a</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服务年限</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12.43</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基建期</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露天开采深度</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110m</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采场上部尺寸：长×宽</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360×187</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240×121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采场底部尺寸：长×宽</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193×172</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83×65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采场顶部标高</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+390m</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采场底部标高</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+280m</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vMerge w:val="restar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577" w:type="pct"/>
            <w:vMerge w:val="restar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最终边坡角</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上盘</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vMerge w:val="continue"/>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577" w:type="pct"/>
            <w:vMerge w:val="continue"/>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下盘</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48°</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vMerge w:val="continue"/>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577" w:type="pct"/>
            <w:vMerge w:val="continue"/>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端部</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平均剥采比</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t/t</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3.340</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露天开采职工定员</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露天开采劳动人员</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全员劳动生产率</w:t>
            </w:r>
          </w:p>
        </w:tc>
        <w:tc>
          <w:tcPr>
            <w:tcW w:w="804" w:type="pct"/>
            <w:tcBorders>
              <w:tl2br w:val="nil"/>
              <w:tr2bl w:val="nil"/>
            </w:tcBorders>
            <w:noWrap w:val="0"/>
            <w:vAlign w:val="top"/>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t/人·a</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2173.91</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2173.91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工人劳动生产率</w:t>
            </w:r>
          </w:p>
        </w:tc>
        <w:tc>
          <w:tcPr>
            <w:tcW w:w="804" w:type="pct"/>
            <w:tcBorders>
              <w:tl2br w:val="nil"/>
              <w:tr2bl w:val="nil"/>
            </w:tcBorders>
            <w:noWrap w:val="0"/>
            <w:vAlign w:val="top"/>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t/人·a</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2941.17</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2941.17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年销售收入</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万元</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400.00</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年税后利润</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万元</w:t>
            </w:r>
          </w:p>
        </w:tc>
        <w:tc>
          <w:tcPr>
            <w:tcW w:w="1116"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130.82</w:t>
            </w:r>
          </w:p>
        </w:tc>
        <w:tc>
          <w:tcPr>
            <w:tcW w:w="1030"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回采率</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开采方式</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露天开采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开拓方式</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公路开拓汽车运输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分台阶高度</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并段后台阶高度</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项目投资</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万元</w:t>
            </w: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594.57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单位矿石综合成本</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万元/t</w:t>
            </w: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矿石价格</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元/t</w:t>
            </w: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71"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c>
          <w:tcPr>
            <w:tcW w:w="1577"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矿山投资回收期</w:t>
            </w:r>
          </w:p>
        </w:tc>
        <w:tc>
          <w:tcPr>
            <w:tcW w:w="804" w:type="pct"/>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p>
        </w:tc>
        <w:tc>
          <w:tcPr>
            <w:tcW w:w="2147" w:type="pct"/>
            <w:gridSpan w:val="2"/>
            <w:tcBorders>
              <w:tl2br w:val="nil"/>
              <w:tr2bl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4.6（含基建期）</w:t>
            </w:r>
          </w:p>
        </w:tc>
      </w:tr>
    </w:tbl>
    <w:p>
      <w:pPr>
        <w:spacing w:line="240" w:lineRule="atLeast"/>
        <w:ind w:firstLine="0" w:firstLineChars="0"/>
        <w:jc w:val="center"/>
        <w:rPr>
          <w:rFonts w:hint="default" w:ascii="Times New Roman" w:hAnsi="Times New Roman" w:eastAsia="宋体" w:cs="Times New Roman"/>
          <w:color w:val="auto"/>
          <w:sz w:val="21"/>
          <w:szCs w:val="21"/>
          <w:highlight w:val="none"/>
        </w:rPr>
      </w:pPr>
    </w:p>
    <w:p>
      <w:pPr>
        <w:pStyle w:val="60"/>
        <w:spacing w:before="0" w:after="0" w:line="240" w:lineRule="atLeast"/>
        <w:ind w:firstLine="0" w:firstLineChars="0"/>
        <w:rPr>
          <w:rFonts w:hint="default" w:ascii="Times New Roman" w:hAnsi="Times New Roman" w:eastAsia="宋体" w:cs="Times New Roman"/>
          <w:b/>
          <w:bCs/>
          <w:color w:val="auto"/>
          <w:kern w:val="2"/>
          <w:sz w:val="21"/>
          <w:szCs w:val="21"/>
          <w:highlight w:val="none"/>
        </w:rPr>
      </w:pPr>
      <w:r>
        <w:rPr>
          <w:rFonts w:hint="default" w:ascii="Times New Roman" w:hAnsi="Times New Roman" w:eastAsia="宋体" w:cs="Times New Roman"/>
          <w:b/>
          <w:bCs/>
          <w:color w:val="auto"/>
          <w:kern w:val="2"/>
          <w:sz w:val="21"/>
          <w:szCs w:val="21"/>
          <w:highlight w:val="none"/>
        </w:rPr>
        <w:t>表</w:t>
      </w:r>
      <w:r>
        <w:rPr>
          <w:rFonts w:hint="eastAsia" w:ascii="Times New Roman" w:eastAsia="宋体" w:cs="Times New Roman"/>
          <w:b/>
          <w:bCs/>
          <w:color w:val="auto"/>
          <w:kern w:val="2"/>
          <w:sz w:val="21"/>
          <w:szCs w:val="21"/>
          <w:highlight w:val="none"/>
          <w:lang w:val="en-US" w:eastAsia="zh-CN"/>
        </w:rPr>
        <w:t>3.1-9</w:t>
      </w:r>
      <w:r>
        <w:rPr>
          <w:rFonts w:hint="default" w:ascii="Times New Roman" w:hAnsi="Times New Roman" w:eastAsia="宋体" w:cs="Times New Roman"/>
          <w:b/>
          <w:bCs/>
          <w:color w:val="auto"/>
          <w:kern w:val="2"/>
          <w:sz w:val="21"/>
          <w:szCs w:val="21"/>
          <w:highlight w:val="none"/>
          <w:lang w:val="en-US" w:eastAsia="zh-CN"/>
        </w:rPr>
        <w:t>地下</w:t>
      </w:r>
      <w:r>
        <w:rPr>
          <w:rFonts w:hint="default" w:ascii="Times New Roman" w:hAnsi="Times New Roman" w:eastAsia="宋体" w:cs="Times New Roman"/>
          <w:b/>
          <w:bCs/>
          <w:color w:val="auto"/>
          <w:kern w:val="2"/>
          <w:sz w:val="21"/>
          <w:szCs w:val="21"/>
          <w:highlight w:val="none"/>
        </w:rPr>
        <w:t>开采主要技术经济指标表</w:t>
      </w:r>
    </w:p>
    <w:tbl>
      <w:tblPr>
        <w:tblStyle w:val="4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3437"/>
        <w:gridCol w:w="2607"/>
        <w:gridCol w:w="24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top w:val="single" w:color="auto" w:sz="12" w:space="0"/>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851" w:type="pct"/>
            <w:tcBorders>
              <w:top w:val="single" w:color="auto" w:sz="12"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指标名称</w:t>
            </w:r>
          </w:p>
        </w:tc>
        <w:tc>
          <w:tcPr>
            <w:tcW w:w="1404" w:type="pct"/>
            <w:tcBorders>
              <w:top w:val="single" w:color="auto" w:sz="12"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单位</w:t>
            </w:r>
          </w:p>
        </w:tc>
        <w:tc>
          <w:tcPr>
            <w:tcW w:w="1334" w:type="pct"/>
            <w:tcBorders>
              <w:top w:val="single" w:color="auto" w:sz="12"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tcBorders>
              <w:left w:val="nil"/>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地质指标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地质资源储量</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万t</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197.111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设计利用资源储量</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万t</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158.637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矿石类型</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钾长石矿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矿石比重</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t/m³</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tcBorders>
              <w:left w:val="nil"/>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采矿指标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矿山设计规模</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万t/a</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矿山服务年限</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矿山工作制度</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d/a、班/天、h/班</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基建期</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基建工程量</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11259.50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开拓方案</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平硐开拓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采矿方法</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分段崩落采矿方法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废石混入率</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9" w:type="pct"/>
            <w:tcBorders>
              <w:lef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851"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矿石回采率</w:t>
            </w:r>
          </w:p>
        </w:tc>
        <w:tc>
          <w:tcPr>
            <w:tcW w:w="1404" w:type="pct"/>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34" w:type="pct"/>
            <w:tcBorders>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5000" w:type="pct"/>
            <w:gridSpan w:val="4"/>
            <w:tcBorders>
              <w:top w:val="single" w:color="auto" w:sz="4" w:space="0"/>
              <w:left w:val="nil"/>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矿山主要设备</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LGFD-13/7空压机</w:t>
            </w:r>
          </w:p>
        </w:tc>
        <w:tc>
          <w:tcPr>
            <w:tcW w:w="1404" w:type="pct"/>
            <w:tcBorders>
              <w:top w:val="single" w:color="auto" w:sz="4" w:space="0"/>
              <w:left w:val="single" w:color="auto" w:sz="4" w:space="0"/>
              <w:bottom w:val="single" w:color="auto" w:sz="4" w:space="0"/>
              <w:right w:val="single" w:color="auto" w:sz="4" w:space="0"/>
            </w:tcBorders>
            <w:noWrap w:val="0"/>
            <w:vAlign w:val="top"/>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S11-315/10/0.4型变压器</w:t>
            </w:r>
          </w:p>
        </w:tc>
        <w:tc>
          <w:tcPr>
            <w:tcW w:w="1404" w:type="pct"/>
            <w:tcBorders>
              <w:top w:val="single" w:color="auto" w:sz="4" w:space="0"/>
              <w:left w:val="single" w:color="auto" w:sz="4" w:space="0"/>
              <w:bottom w:val="single" w:color="auto" w:sz="4" w:space="0"/>
              <w:right w:val="single" w:color="auto" w:sz="4" w:space="0"/>
            </w:tcBorders>
            <w:noWrap w:val="0"/>
            <w:vAlign w:val="top"/>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S11-50/10/0.4型变压器</w:t>
            </w:r>
          </w:p>
        </w:tc>
        <w:tc>
          <w:tcPr>
            <w:tcW w:w="1404" w:type="pct"/>
            <w:tcBorders>
              <w:top w:val="single" w:color="auto" w:sz="4" w:space="0"/>
              <w:left w:val="single" w:color="auto" w:sz="4" w:space="0"/>
              <w:bottom w:val="single" w:color="auto" w:sz="4" w:space="0"/>
              <w:right w:val="single" w:color="auto" w:sz="4" w:space="0"/>
            </w:tcBorders>
            <w:noWrap w:val="0"/>
            <w:vAlign w:val="top"/>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K40-8-NO.13型通风机</w:t>
            </w:r>
          </w:p>
        </w:tc>
        <w:tc>
          <w:tcPr>
            <w:tcW w:w="1404" w:type="pct"/>
            <w:tcBorders>
              <w:top w:val="single" w:color="auto" w:sz="4" w:space="0"/>
              <w:left w:val="single" w:color="auto" w:sz="4" w:space="0"/>
              <w:bottom w:val="single" w:color="auto" w:sz="4" w:space="0"/>
              <w:right w:val="single" w:color="auto" w:sz="4" w:space="0"/>
            </w:tcBorders>
            <w:noWrap w:val="0"/>
            <w:vAlign w:val="top"/>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JK58-1No.4局扇</w:t>
            </w:r>
          </w:p>
        </w:tc>
        <w:tc>
          <w:tcPr>
            <w:tcW w:w="1404"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7655型凿岩机</w:t>
            </w:r>
          </w:p>
        </w:tc>
        <w:tc>
          <w:tcPr>
            <w:tcW w:w="1404"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YSP-45型凿岩机</w:t>
            </w:r>
          </w:p>
        </w:tc>
        <w:tc>
          <w:tcPr>
            <w:tcW w:w="1404"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YG80型</w:t>
            </w:r>
          </w:p>
        </w:tc>
        <w:tc>
          <w:tcPr>
            <w:tcW w:w="1404"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851"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自卸汽车</w:t>
            </w:r>
          </w:p>
        </w:tc>
        <w:tc>
          <w:tcPr>
            <w:tcW w:w="1404" w:type="pct"/>
            <w:tcBorders>
              <w:top w:val="single" w:color="auto" w:sz="4" w:space="0"/>
              <w:left w:val="single" w:color="auto" w:sz="4" w:space="0"/>
              <w:bottom w:val="single" w:color="auto" w:sz="4"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4"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r>
      <w:tr>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108" w:type="dxa"/>
            <w:bottom w:w="0" w:type="dxa"/>
            <w:right w:w="108" w:type="dxa"/>
          </w:tblCellMar>
        </w:tblPrEx>
        <w:trPr>
          <w:trHeight w:val="90" w:hRule="atLeast"/>
          <w:jc w:val="center"/>
        </w:trPr>
        <w:tc>
          <w:tcPr>
            <w:tcW w:w="409" w:type="pct"/>
            <w:tcBorders>
              <w:top w:val="single" w:color="auto" w:sz="4" w:space="0"/>
              <w:left w:val="nil"/>
              <w:bottom w:val="single" w:color="auto" w:sz="12"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851" w:type="pct"/>
            <w:tcBorders>
              <w:top w:val="single" w:color="auto" w:sz="4" w:space="0"/>
              <w:left w:val="single" w:color="auto" w:sz="4" w:space="0"/>
              <w:bottom w:val="single" w:color="auto" w:sz="12"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ZL-20装载机</w:t>
            </w:r>
          </w:p>
        </w:tc>
        <w:tc>
          <w:tcPr>
            <w:tcW w:w="1404" w:type="pct"/>
            <w:tcBorders>
              <w:top w:val="single" w:color="auto" w:sz="4" w:space="0"/>
              <w:left w:val="single" w:color="auto" w:sz="4" w:space="0"/>
              <w:bottom w:val="single" w:color="auto" w:sz="12" w:space="0"/>
              <w:right w:val="single" w:color="auto" w:sz="4" w:space="0"/>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台</w:t>
            </w:r>
          </w:p>
        </w:tc>
        <w:tc>
          <w:tcPr>
            <w:tcW w:w="1334" w:type="pct"/>
            <w:tcBorders>
              <w:top w:val="single" w:color="auto" w:sz="4" w:space="0"/>
              <w:left w:val="single" w:color="auto" w:sz="4" w:space="0"/>
              <w:bottom w:val="single" w:color="auto" w:sz="12" w:space="0"/>
              <w:right w:val="nil"/>
            </w:tcBorders>
            <w:noWrap w:val="0"/>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r>
    </w:tbl>
    <w:p>
      <w:pPr>
        <w:bidi w:val="0"/>
        <w:rPr>
          <w:rFonts w:hint="default"/>
          <w:color w:val="auto"/>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bookmarkStart w:id="198" w:name="_Toc15376185"/>
    </w:p>
    <w:p>
      <w:pPr>
        <w:pStyle w:val="4"/>
        <w:spacing w:before="120" w:after="120"/>
        <w:ind w:left="0" w:leftChars="0" w:firstLineChars="0"/>
        <w:rPr>
          <w:rFonts w:hint="default" w:ascii="Times New Roman" w:hAnsi="Times New Roman" w:eastAsia="宋体" w:cs="Times New Roman"/>
          <w:color w:val="auto"/>
          <w:highlight w:val="none"/>
        </w:rPr>
      </w:pPr>
      <w:bookmarkStart w:id="199" w:name="_Toc9780"/>
      <w:r>
        <w:rPr>
          <w:rFonts w:hint="default" w:ascii="Times New Roman" w:hAnsi="Times New Roman" w:eastAsia="宋体" w:cs="Times New Roman"/>
          <w:color w:val="auto"/>
          <w:highlight w:val="none"/>
        </w:rPr>
        <w:t>矿区资源</w:t>
      </w:r>
      <w:bookmarkEnd w:id="191"/>
      <w:bookmarkEnd w:id="192"/>
      <w:bookmarkEnd w:id="198"/>
      <w:bookmarkEnd w:id="199"/>
    </w:p>
    <w:p>
      <w:pPr>
        <w:pStyle w:val="5"/>
        <w:bidi w:val="0"/>
        <w:rPr>
          <w:rFonts w:hint="default" w:ascii="Times New Roman" w:hAnsi="Times New Roman" w:eastAsia="宋体" w:cs="Times New Roman"/>
          <w:color w:val="auto"/>
          <w:highlight w:val="none"/>
        </w:rPr>
      </w:pPr>
      <w:bookmarkStart w:id="200" w:name="_Toc373949073"/>
      <w:bookmarkStart w:id="201" w:name="_Toc488310474"/>
      <w:bookmarkStart w:id="202" w:name="_Toc403375483"/>
      <w:r>
        <w:rPr>
          <w:rFonts w:hint="default" w:ascii="Times New Roman" w:hAnsi="Times New Roman" w:eastAsia="宋体" w:cs="Times New Roman"/>
          <w:color w:val="auto"/>
          <w:highlight w:val="none"/>
        </w:rPr>
        <w:t>矿区地质</w:t>
      </w:r>
      <w:bookmarkEnd w:id="200"/>
      <w:bookmarkEnd w:id="201"/>
      <w:bookmarkEnd w:id="202"/>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rPr>
      </w:pPr>
      <w:r>
        <w:rPr>
          <w:rFonts w:hint="default" w:ascii="Times New Roman" w:hAnsi="Times New Roman" w:eastAsia="宋体" w:cs="Times New Roman"/>
          <w:color w:val="auto"/>
          <w:sz w:val="24"/>
          <w:highlight w:val="none"/>
          <w:lang w:val="en-US" w:eastAsia="zh-CN"/>
        </w:rPr>
        <w:t>2.3.1.1地层</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矿区内出露地层主要为古元古界辽河群变质岩系（Pt1lh）和新生界第四系（Q）。</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（1）古元古界辽河群（Pt1lh）</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矿区内大面积出露古元古界辽河群地层，主要为高家峪组（Pt1lhg）下部和里尔峪组（Pt1lhlr）上部。</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1）高家峪组（Pt1lhg）</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分布于矿区西北部，呈单斜构造产出，产状325°∠60°，北东展布。主要岩性为浅粒岩（Gr）夹黑云变粒岩（BiGr）。</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浅粒岩（Gr）：主要分布于矿区西北部。岩石呈灰白～淡红色，它形细粒变晶结构，块状构造。矿物成份以更长石、石英为主，两者合计含量大于95%，含少量铁质氧化物。更长石、石英它形粒状，粒径一般小于0.7mm。铁质氧化物尘点状分布。</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云变粒岩（BiGr）：夹杂在浅粒岩中分布。呈灰色，鳞片粒状变晶结构，条纹状构造。矿物成份斜长石45%、石英30%、黑云母20%、电气石3%，含少量铁质氧化物等。斜长石它形粒状，粒径一般小于0.2mm；石英它形粒状，粒径小于0.5mm；黑云母薄片状，片长小于0.35mm；电气石粒状或柱状，柱长小于0.35mm，铁质氧化物尘点状分布。石英、长石和少量黑云母定向排列形成相对浅色条纹，黑云母断续排列形成相对暗色条纹，两者共同形成浅、暗相间条纹状。局部岩石受构造影响，出现糜棱结构，条带状、片状构造。</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2）里尔峪组（Pt1lhlr）</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分布于矿区东南部，呈单斜构造产出，产状325°∠60°，北东展布。主要岩性为钠长浅粒岩，局部地段夹黑云变粒岩。</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钠长浅粒岩（AbLtr）：呈灰白色，鳞片粒状变晶结构，块状及条带状构造。主要矿物成分为钠长石45%、正长石10%、石英40%、黑云母2%，其次含少量电气石、黄铁矿、磁铁矿等。钠长石、正长石、石英呈它形粒状，粒径一般小于0.3mm；黑云母细小叶片状，片长0.15mm左右，分布在长石、石英粒间；电气石柱粒状，粒径0.05～0.25mm；黄铁矿、磁铁矿呈半自形粒状，粒径小于0.25mm，它们也填隙在长石、石英粒间。</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云变粒岩（BiGr）：岩石呈灰～灰黑色，粒状变晶结构，块状构造。矿物成份长石40%，石英30%，黑云母15%，磁铁矿1～5%，含少量绿帘石、电气石等。长石由更长石和微斜长石组成，它形粒状，粒径一般小于0.4mm。石英它形粒状，粒径一般小于0.5mm。黑云母叶片集合体，片长轴方向长0.5mm左右。磁铁矿它形粒状，粒径0.035～0.35mm。绿帘石它形粒状或细脉状分布。电气石较自形柱粒状，粒径0.035mm。</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（2）新生界第四系（Q）</w:t>
      </w:r>
    </w:p>
    <w:p>
      <w:pPr>
        <w:pStyle w:val="37"/>
        <w:keepNext w:val="0"/>
        <w:keepLines w:val="0"/>
        <w:pageBreakBefore w:val="0"/>
        <w:widowControl w:val="0"/>
        <w:kinsoku/>
        <w:wordWrap/>
        <w:overflowPunct/>
        <w:topLinePunct w:val="0"/>
        <w:autoSpaceDE/>
        <w:autoSpaceDN/>
        <w:bidi w:val="0"/>
        <w:adjustRightInd w:val="0"/>
        <w:snapToGrid w:val="0"/>
        <w:ind w:left="0" w:leftChars="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较为发育，冲洪积层分布于河流两岸及沟谷之中，构成一级阶地微地貌，组成丘间窄谷，主要由砂、砂砾、砾组成，厚2～5m。在山坡上表现为残积、坡积物，厚0.2～3m，主要由砂质粘土及腐殖土构成。</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2.3.1.</w:t>
      </w:r>
      <w:r>
        <w:rPr>
          <w:rFonts w:hint="default" w:ascii="Times New Roman" w:hAnsi="Times New Roman" w:eastAsia="宋体" w:cs="Times New Roman"/>
          <w:color w:val="auto"/>
          <w:sz w:val="24"/>
          <w:highlight w:val="none"/>
        </w:rPr>
        <w:t>2构造</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矿区内构造较为简单，地层呈向北西倾斜的单斜构造，倾角约60°。矿区内断裂构造主要为北东向断裂构造，被伟晶岩脉所充填。</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2.3.1.</w:t>
      </w:r>
      <w:r>
        <w:rPr>
          <w:rFonts w:hint="default" w:ascii="Times New Roman" w:hAnsi="Times New Roman" w:eastAsia="宋体" w:cs="Times New Roman"/>
          <w:color w:val="auto"/>
          <w:sz w:val="24"/>
          <w:highlight w:val="none"/>
        </w:rPr>
        <w:t>3岩浆岩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（1）晚侏罗纪花岗岩（γπ</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vertAlign w:val="superscript"/>
        </w:rPr>
        <w:t>2(3)3</w:t>
      </w:r>
      <w:r>
        <w:rPr>
          <w:rFonts w:hint="default" w:ascii="Times New Roman" w:hAnsi="Times New Roman" w:eastAsia="宋体"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矿区南东部出露有晚侏罗纪黑云二长花岗岩体，近北东向展布，出露宽度600m，该岩体与里尔峪组岩层呈侵入接触。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（2）伟晶岩脉（ρ）</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矿区出露有4条伟晶岩脉，北东向展布，每条长度1000m以上，出露宽度30～40m，产状315°～323°∠60°。</w:t>
      </w:r>
    </w:p>
    <w:p>
      <w:pPr>
        <w:pStyle w:val="5"/>
        <w:bidi w:val="0"/>
        <w:rPr>
          <w:rFonts w:hint="default" w:ascii="Times New Roman" w:hAnsi="Times New Roman" w:eastAsia="宋体" w:cs="Times New Roman"/>
          <w:color w:val="auto"/>
          <w:highlight w:val="none"/>
        </w:rPr>
      </w:pPr>
      <w:bookmarkStart w:id="203" w:name="_Toc308182451"/>
      <w:bookmarkStart w:id="204" w:name="_Toc335382950"/>
      <w:bookmarkStart w:id="205" w:name="_Toc336345765"/>
      <w:bookmarkStart w:id="206" w:name="_Toc301161187"/>
      <w:bookmarkStart w:id="207" w:name="_Toc306970834"/>
      <w:bookmarkStart w:id="208" w:name="_Toc335382840"/>
      <w:bookmarkStart w:id="209" w:name="_Toc369764152"/>
      <w:bookmarkStart w:id="210" w:name="_Toc335314616"/>
      <w:r>
        <w:rPr>
          <w:rFonts w:hint="default" w:ascii="Times New Roman" w:hAnsi="Times New Roman" w:eastAsia="宋体" w:cs="Times New Roman"/>
          <w:color w:val="auto"/>
          <w:highlight w:val="none"/>
        </w:rPr>
        <w:t>矿体地质特征</w:t>
      </w:r>
      <w:bookmarkEnd w:id="203"/>
      <w:bookmarkEnd w:id="204"/>
      <w:bookmarkEnd w:id="205"/>
      <w:bookmarkEnd w:id="206"/>
      <w:bookmarkEnd w:id="207"/>
      <w:bookmarkEnd w:id="208"/>
      <w:bookmarkEnd w:id="209"/>
      <w:bookmarkEnd w:id="21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矿区内共发现有六条钾长石矿体，分别编号为K1～K6。矿体出露较好，与围岩区别较为明显，易于辩认。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1矿体：分布于矿区东北部，赋存在充填于北东向断裂构造内的伟晶岩脉中。地表由TC1、TC2、TC3、TC4槽探工程控制，深部由ZK1和ZK2钻孔控制。总体走向224°，倾向北西，倾角60°。矿体走向延长约350m，平均水平厚度12.64m，真厚度11.09m。矿体赋存标高+430～+286m，矿体最小埋深0m，最大埋深108m。矿体平均品位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O10.54%、Na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O2.19%、SiO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65.20%、Fe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0.07%、Al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14.75%。矿体厚度变化系数49.77%，厚度较稳定。矿体品位变化系数K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O3.30%、Na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O20.88%、SiO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2.66%、Fe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51.63%、Al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10.38%，钾、钠、硅、铝元素含量均稳定，铁元素含量较稳定。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2矿体：分布于矿区东北部，赋存在充填于北东向断裂构造内的伟晶岩脉中。地表由TC10、TC11、TC12、TC13槽探工程控制，深部由ZK3和ZK4钻孔控制。总体走向224°，倾向北西，倾角60°。矿体走向延长约325m，平均水平厚度15.61m，真厚度13.51m。矿体赋存标高+453～+288m，矿体最小埋深0m，最大埋深134m。矿体平均品位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O10.60%、Na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O2.35%、SiO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66.42%、Fe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0.08%、Al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14.11%。矿体厚度变化系数36.42%，厚度稳定。矿体品位变化系数K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O3.70%、Na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O17.44%、SiO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1.92%、Fe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22.13%、Al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13.51%，矿石质量稳定。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3矿体：分布于矿区西北部，赋存在充填于北东向断裂构造内的伟晶岩脉中。地表由TC18、TC19、TC20槽探工程控制，深部由ZK5和ZK6钻孔控制。总体走向233°，倾向北西，倾角60°。矿体走向延长约250m，平均水平厚度9.48m，真厚度8.26m。矿体赋存标高+379～+280m，矿体最小埋深0m，最大埋深95m。矿体平均品位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O10.78%、Na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O2.47%、SiO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67.00%、Fe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0.07%、Al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14.73%。矿体厚度变化系数29.16%，矿体厚度稳定。矿体品位变化系数K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O6.75%、Na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O7.51%、SiO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1.02%、Fe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41.25%、Al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4.56%，钾、钠、硅、铝含量均稳定，铁含量较稳定。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4矿体：分布于矿区西北部，赋存在充填于北东向断裂构造内的伟晶岩脉中。地表由TC21、TC22、TC23槽探工程控制，深部由ZK5和ZK6钻孔控制。总体走向233°，倾向北西，倾角60°。矿体走向延长约250m，平均水平厚度12.01m，真厚度10.47m。矿体赋存标高+349～+280m，矿体最小埋深0m，最大埋深66m。矿体平均品位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O10.51%、Na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O2.48%、SiO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66.37%、Fe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0.06%、Al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14.50%。矿体厚度变化系数20.90%，厚度稳定。矿体品位变化系数K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O4.55%、Na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O12.61%、SiO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1.89%、Fe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54.14%、Al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8.82%，钾、钠、硅、铝含量均稳定，铁含量较稳定。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5矿体：分布于矿区南部，赋存在充填于北东向断裂构造内的伟晶岩脉中。由TC6、TC7、TC8槽探工程控制。总体走向224°，倾向北西，倾角60°。矿体走向延长约200m，平均水平厚度9.69m，真厚度8.39m。矿体赋存标高+443～+334m，矿体最小埋深0m，最大埋深22m。矿体平均品位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O11.29%、Na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O2.50%、SiO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65.46%、Fe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0.10%、Al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17.37%。矿体厚度变化系数75.98%，矿体厚度不稳定。矿体品位变化系数K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O4.51%、Na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O2.44%、SiO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0.41%、Fe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8.33%、Al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5.95%，矿石质量稳定。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6矿体：分布于矿区南部，赋存在充填于北东向断裂构造内的伟晶岩脉中。由TC15、TC16槽探工程控制。总体走向224°，倾向北西，倾角60°。矿体走向延长约150m，平均水平厚度16.33m，真厚度14.15m。矿体赋存标高+465～+376m，矿体最小埋深0m，最大埋深22m。矿体平均品位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O11.44%、Na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O2.15%、SiO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64.44%、Fe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0.08%、Al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17.80%。矿体厚度变化系数67.48%，厚度较稳定。矿体品位变化系数K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O9.26%、Na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O21.05%、SiO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2.56%、Fe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8.44%、Al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4.64%，矿石质量稳定。</w:t>
      </w:r>
    </w:p>
    <w:p>
      <w:pPr>
        <w:spacing w:line="240" w:lineRule="atLeast"/>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cs="Times New Roman"/>
          <w:b/>
          <w:bCs/>
          <w:color w:val="auto"/>
          <w:sz w:val="21"/>
          <w:szCs w:val="21"/>
          <w:highlight w:val="none"/>
          <w:lang w:val="en-US" w:eastAsia="zh-CN"/>
        </w:rPr>
        <w:t>3.2</w:t>
      </w:r>
      <w:r>
        <w:rPr>
          <w:rFonts w:hint="default" w:ascii="Times New Roman" w:hAnsi="Times New Roman" w:eastAsia="宋体" w:cs="Times New Roman"/>
          <w:b/>
          <w:bCs/>
          <w:color w:val="auto"/>
          <w:sz w:val="21"/>
          <w:szCs w:val="21"/>
          <w:highlight w:val="none"/>
          <w:lang w:val="en-US" w:eastAsia="zh-CN"/>
        </w:rPr>
        <w:t>-1矿体特征一览表</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1"/>
        <w:gridCol w:w="698"/>
        <w:gridCol w:w="788"/>
        <w:gridCol w:w="955"/>
        <w:gridCol w:w="1165"/>
        <w:gridCol w:w="1123"/>
        <w:gridCol w:w="824"/>
        <w:gridCol w:w="728"/>
        <w:gridCol w:w="1286"/>
        <w:gridCol w:w="7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矿体</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编号</w:t>
            </w:r>
          </w:p>
        </w:tc>
        <w:tc>
          <w:tcPr>
            <w:tcW w:w="69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矿体</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形态</w:t>
            </w:r>
          </w:p>
        </w:tc>
        <w:tc>
          <w:tcPr>
            <w:tcW w:w="1743"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矿体规模（m）</w:t>
            </w:r>
          </w:p>
        </w:tc>
        <w:tc>
          <w:tcPr>
            <w:tcW w:w="116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矿体赋存标高（m）</w:t>
            </w:r>
          </w:p>
        </w:tc>
        <w:tc>
          <w:tcPr>
            <w:tcW w:w="112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产状(°)</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倾向/倾角</w:t>
            </w:r>
          </w:p>
        </w:tc>
        <w:tc>
          <w:tcPr>
            <w:tcW w:w="3590" w:type="dxa"/>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平均品位（%）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69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7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长度</w:t>
            </w:r>
          </w:p>
        </w:tc>
        <w:tc>
          <w:tcPr>
            <w:tcW w:w="9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真厚度</w:t>
            </w:r>
          </w:p>
        </w:tc>
        <w:tc>
          <w:tcPr>
            <w:tcW w:w="116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12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O</w:t>
            </w:r>
          </w:p>
        </w:tc>
        <w:tc>
          <w:tcPr>
            <w:tcW w:w="7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Na</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O</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O+Na</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O</w:t>
            </w:r>
          </w:p>
        </w:tc>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Fe</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K1</w:t>
            </w:r>
          </w:p>
        </w:tc>
        <w:tc>
          <w:tcPr>
            <w:tcW w:w="6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脉状</w:t>
            </w:r>
          </w:p>
        </w:tc>
        <w:tc>
          <w:tcPr>
            <w:tcW w:w="7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350</w:t>
            </w:r>
          </w:p>
        </w:tc>
        <w:tc>
          <w:tcPr>
            <w:tcW w:w="9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11.09</w:t>
            </w:r>
          </w:p>
        </w:tc>
        <w:tc>
          <w:tcPr>
            <w:tcW w:w="11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430～286</w:t>
            </w:r>
          </w:p>
        </w:tc>
        <w:tc>
          <w:tcPr>
            <w:tcW w:w="11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314/60</w:t>
            </w:r>
          </w:p>
        </w:tc>
        <w:tc>
          <w:tcPr>
            <w:tcW w:w="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10.54</w:t>
            </w:r>
          </w:p>
        </w:tc>
        <w:tc>
          <w:tcPr>
            <w:tcW w:w="7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2.19</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12.73</w:t>
            </w:r>
          </w:p>
        </w:tc>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K2</w:t>
            </w:r>
          </w:p>
        </w:tc>
        <w:tc>
          <w:tcPr>
            <w:tcW w:w="6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脉状</w:t>
            </w:r>
          </w:p>
        </w:tc>
        <w:tc>
          <w:tcPr>
            <w:tcW w:w="7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325</w:t>
            </w:r>
          </w:p>
        </w:tc>
        <w:tc>
          <w:tcPr>
            <w:tcW w:w="9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13.51</w:t>
            </w:r>
          </w:p>
        </w:tc>
        <w:tc>
          <w:tcPr>
            <w:tcW w:w="11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453～288</w:t>
            </w:r>
          </w:p>
        </w:tc>
        <w:tc>
          <w:tcPr>
            <w:tcW w:w="11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314/60</w:t>
            </w:r>
          </w:p>
        </w:tc>
        <w:tc>
          <w:tcPr>
            <w:tcW w:w="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10.60</w:t>
            </w:r>
          </w:p>
        </w:tc>
        <w:tc>
          <w:tcPr>
            <w:tcW w:w="7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2.35</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12.95</w:t>
            </w:r>
          </w:p>
        </w:tc>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K3</w:t>
            </w:r>
          </w:p>
        </w:tc>
        <w:tc>
          <w:tcPr>
            <w:tcW w:w="6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脉状</w:t>
            </w:r>
          </w:p>
        </w:tc>
        <w:tc>
          <w:tcPr>
            <w:tcW w:w="7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9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8.26</w:t>
            </w:r>
          </w:p>
        </w:tc>
        <w:tc>
          <w:tcPr>
            <w:tcW w:w="11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379～280</w:t>
            </w:r>
          </w:p>
        </w:tc>
        <w:tc>
          <w:tcPr>
            <w:tcW w:w="11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328/60</w:t>
            </w:r>
          </w:p>
        </w:tc>
        <w:tc>
          <w:tcPr>
            <w:tcW w:w="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10.78</w:t>
            </w:r>
          </w:p>
        </w:tc>
        <w:tc>
          <w:tcPr>
            <w:tcW w:w="7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2.47</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13.25</w:t>
            </w:r>
          </w:p>
        </w:tc>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K4</w:t>
            </w:r>
          </w:p>
        </w:tc>
        <w:tc>
          <w:tcPr>
            <w:tcW w:w="6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脉状</w:t>
            </w:r>
          </w:p>
        </w:tc>
        <w:tc>
          <w:tcPr>
            <w:tcW w:w="7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9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10.47</w:t>
            </w:r>
          </w:p>
        </w:tc>
        <w:tc>
          <w:tcPr>
            <w:tcW w:w="11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349～280</w:t>
            </w:r>
          </w:p>
        </w:tc>
        <w:tc>
          <w:tcPr>
            <w:tcW w:w="11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328/60</w:t>
            </w:r>
          </w:p>
        </w:tc>
        <w:tc>
          <w:tcPr>
            <w:tcW w:w="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10.51</w:t>
            </w:r>
          </w:p>
        </w:tc>
        <w:tc>
          <w:tcPr>
            <w:tcW w:w="7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2.48</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12.99</w:t>
            </w:r>
          </w:p>
        </w:tc>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K5</w:t>
            </w:r>
          </w:p>
        </w:tc>
        <w:tc>
          <w:tcPr>
            <w:tcW w:w="6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脉状</w:t>
            </w:r>
          </w:p>
        </w:tc>
        <w:tc>
          <w:tcPr>
            <w:tcW w:w="7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9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8.39</w:t>
            </w:r>
          </w:p>
        </w:tc>
        <w:tc>
          <w:tcPr>
            <w:tcW w:w="11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443～334</w:t>
            </w:r>
          </w:p>
        </w:tc>
        <w:tc>
          <w:tcPr>
            <w:tcW w:w="11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314/60</w:t>
            </w:r>
          </w:p>
        </w:tc>
        <w:tc>
          <w:tcPr>
            <w:tcW w:w="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11.29</w:t>
            </w:r>
          </w:p>
        </w:tc>
        <w:tc>
          <w:tcPr>
            <w:tcW w:w="7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13.79</w:t>
            </w:r>
          </w:p>
        </w:tc>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K6</w:t>
            </w:r>
          </w:p>
        </w:tc>
        <w:tc>
          <w:tcPr>
            <w:tcW w:w="6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脉状</w:t>
            </w:r>
          </w:p>
        </w:tc>
        <w:tc>
          <w:tcPr>
            <w:tcW w:w="7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w:t>
            </w:r>
          </w:p>
        </w:tc>
        <w:tc>
          <w:tcPr>
            <w:tcW w:w="95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14.15</w:t>
            </w:r>
          </w:p>
        </w:tc>
        <w:tc>
          <w:tcPr>
            <w:tcW w:w="11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465～376</w:t>
            </w:r>
          </w:p>
        </w:tc>
        <w:tc>
          <w:tcPr>
            <w:tcW w:w="11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314/60</w:t>
            </w:r>
          </w:p>
        </w:tc>
        <w:tc>
          <w:tcPr>
            <w:tcW w:w="8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11.44</w:t>
            </w:r>
          </w:p>
        </w:tc>
        <w:tc>
          <w:tcPr>
            <w:tcW w:w="7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2.15</w:t>
            </w:r>
          </w:p>
        </w:tc>
        <w:tc>
          <w:tcPr>
            <w:tcW w:w="12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13.58</w:t>
            </w:r>
          </w:p>
        </w:tc>
        <w:tc>
          <w:tcPr>
            <w:tcW w:w="7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0.09</w:t>
            </w:r>
          </w:p>
        </w:tc>
      </w:tr>
    </w:tbl>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矿石质量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（1）矿石的物质组成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矿体属伟晶岩脉型，矿石呈灰白～白色。矿物成份以钾长石为主（60%±），含少量钠长石（20%±）、石英（15%±）、电气石（3%±）、云母（1%±）等。钾长石：新鲜为灰白色，玻璃光泽，风化后钾长石色调较灰暗，晶形自形程度较高，呈厚板状，大小一般在1～2cm，部分可达3cm±。石英：为灰白色～白色，粒径一般在2mm～5mm，透明～半透明，弱油脂光泽。中粗粒状结构，致密块状构造。</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bookmarkStart w:id="211" w:name="_Toc403001947"/>
      <w:bookmarkStart w:id="212" w:name="_Toc385887735"/>
      <w:bookmarkStart w:id="213" w:name="_Toc390257294"/>
      <w:r>
        <w:rPr>
          <w:rFonts w:hint="default" w:ascii="Times New Roman" w:hAnsi="Times New Roman" w:eastAsia="宋体" w:cs="Times New Roman"/>
          <w:color w:val="auto"/>
          <w:sz w:val="24"/>
          <w:szCs w:val="24"/>
          <w:highlight w:val="none"/>
        </w:rPr>
        <w:t>（2）矿石的化学成分</w:t>
      </w:r>
      <w:bookmarkEnd w:id="211"/>
      <w:bookmarkEnd w:id="212"/>
      <w:bookmarkEnd w:id="21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color w:val="auto"/>
        </w:rPr>
      </w:pPr>
      <w:r>
        <w:rPr>
          <w:rFonts w:hint="default" w:ascii="Times New Roman" w:hAnsi="Times New Roman" w:eastAsia="宋体" w:cs="Times New Roman"/>
          <w:color w:val="auto"/>
          <w:sz w:val="24"/>
          <w:szCs w:val="24"/>
          <w:highlight w:val="none"/>
        </w:rPr>
        <w:t>本区矿石主要用途为陶瓷用长石，经上期储量核实报告中172基本分析样品统计，K</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O含量一般在8.92%～12.10%，平均10.65%；Na</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O含量一般在1.18%～2.92%，平均2.34%；SiO</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含量一般在61.88%～69.14%，平均66.11%；Fe</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含量一般在0.01%～0.20%，平均0.07%；Al</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O</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含量一般在11.19%～18.73%，平均14.62%。</w:t>
      </w:r>
      <w:r>
        <w:rPr>
          <w:rFonts w:hint="eastAsia" w:cs="Times New Roman"/>
          <w:color w:val="auto"/>
          <w:sz w:val="24"/>
          <w:szCs w:val="24"/>
          <w:highlight w:val="none"/>
          <w:lang w:val="en-US" w:eastAsia="zh-CN"/>
        </w:rPr>
        <w:t>根据</w:t>
      </w:r>
      <w:r>
        <w:rPr>
          <w:color w:val="auto"/>
        </w:rPr>
        <w:t>中国建筑材料工业地质勘查中心辽宁测试研究所对本项目矿石</w:t>
      </w:r>
      <w:r>
        <w:rPr>
          <w:rFonts w:hint="eastAsia"/>
          <w:color w:val="auto"/>
          <w:lang w:val="en-US" w:eastAsia="zh-CN"/>
        </w:rPr>
        <w:t>监测</w:t>
      </w:r>
      <w:r>
        <w:rPr>
          <w:color w:val="auto"/>
        </w:rPr>
        <w:t>，分析情况见表</w:t>
      </w:r>
      <w:r>
        <w:rPr>
          <w:rFonts w:hint="eastAsia"/>
          <w:color w:val="auto"/>
          <w:lang w:val="en-US" w:eastAsia="zh-CN"/>
        </w:rPr>
        <w:t>3.2</w:t>
      </w:r>
      <w:r>
        <w:rPr>
          <w:color w:val="auto"/>
        </w:rPr>
        <w:t>-</w:t>
      </w:r>
      <w:r>
        <w:rPr>
          <w:rFonts w:hint="eastAsia"/>
          <w:color w:val="auto"/>
          <w:lang w:val="en-US" w:eastAsia="zh-CN"/>
        </w:rPr>
        <w:t>2</w:t>
      </w:r>
      <w:r>
        <w:rPr>
          <w:color w:val="auto"/>
        </w:rPr>
        <w:t>，检测报告见附件。</w:t>
      </w:r>
    </w:p>
    <w:p>
      <w:pPr>
        <w:autoSpaceDE w:val="0"/>
        <w:autoSpaceDN w:val="0"/>
        <w:spacing w:line="240" w:lineRule="auto"/>
        <w:ind w:firstLine="422"/>
        <w:jc w:val="center"/>
        <w:textAlignment w:val="baseline"/>
        <w:rPr>
          <w:rFonts w:hint="eastAsia" w:ascii="Times New Roman" w:hAnsi="Times New Roman" w:cs="Times New Roman"/>
          <w:b/>
          <w:color w:val="auto"/>
          <w:sz w:val="21"/>
          <w:szCs w:val="21"/>
          <w:lang w:val="en-US" w:eastAsia="zh-CN"/>
        </w:rPr>
      </w:pPr>
      <w:r>
        <w:rPr>
          <w:rFonts w:hint="eastAsia" w:ascii="Times New Roman" w:hAnsi="Times New Roman" w:cs="Times New Roman"/>
          <w:b/>
          <w:color w:val="auto"/>
          <w:sz w:val="21"/>
          <w:szCs w:val="21"/>
        </w:rPr>
        <w:t>表</w:t>
      </w:r>
      <w:r>
        <w:rPr>
          <w:rFonts w:hint="eastAsia" w:ascii="Times New Roman" w:hAnsi="Times New Roman" w:cs="Times New Roman"/>
          <w:b/>
          <w:color w:val="auto"/>
          <w:sz w:val="21"/>
          <w:szCs w:val="21"/>
          <w:lang w:val="en-US" w:eastAsia="zh-CN"/>
        </w:rPr>
        <w:t>3.2-2</w:t>
      </w:r>
      <w:r>
        <w:rPr>
          <w:rFonts w:hint="eastAsia" w:ascii="Times New Roman" w:hAnsi="Times New Roman" w:cs="Times New Roman"/>
          <w:b/>
          <w:color w:val="auto"/>
          <w:sz w:val="21"/>
          <w:szCs w:val="21"/>
        </w:rPr>
        <w:t xml:space="preserve"> 全组分分析</w:t>
      </w:r>
      <w:r>
        <w:rPr>
          <w:rFonts w:hint="eastAsia" w:ascii="Times New Roman" w:hAnsi="Times New Roman" w:cs="Times New Roman"/>
          <w:b/>
          <w:color w:val="auto"/>
          <w:sz w:val="21"/>
          <w:szCs w:val="21"/>
          <w:lang w:val="en-US" w:eastAsia="zh-CN"/>
        </w:rPr>
        <w:t>结果</w:t>
      </w:r>
    </w:p>
    <w:tbl>
      <w:tblPr>
        <w:tblStyle w:val="45"/>
        <w:tblW w:w="4998"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shd w:val="clear" w:color="auto" w:fill="auto"/>
        <w:tblLayout w:type="autofit"/>
        <w:tblCellMar>
          <w:top w:w="0" w:type="dxa"/>
          <w:left w:w="108" w:type="dxa"/>
          <w:bottom w:w="0" w:type="dxa"/>
          <w:right w:w="108" w:type="dxa"/>
        </w:tblCellMar>
      </w:tblPr>
      <w:tblGrid>
        <w:gridCol w:w="980"/>
        <w:gridCol w:w="789"/>
        <w:gridCol w:w="789"/>
        <w:gridCol w:w="722"/>
        <w:gridCol w:w="669"/>
        <w:gridCol w:w="789"/>
        <w:gridCol w:w="789"/>
        <w:gridCol w:w="667"/>
        <w:gridCol w:w="691"/>
        <w:gridCol w:w="789"/>
        <w:gridCol w:w="789"/>
        <w:gridCol w:w="820"/>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shd w:val="clear" w:color="auto" w:fill="auto"/>
          <w:tblCellMar>
            <w:top w:w="0" w:type="dxa"/>
            <w:left w:w="108" w:type="dxa"/>
            <w:bottom w:w="0" w:type="dxa"/>
            <w:right w:w="108" w:type="dxa"/>
          </w:tblCellMar>
        </w:tblPrEx>
        <w:trPr>
          <w:trHeight w:val="360" w:hRule="atLeast"/>
        </w:trPr>
        <w:tc>
          <w:tcPr>
            <w:tcW w:w="528"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矿样号</w:t>
            </w:r>
          </w:p>
        </w:tc>
        <w:tc>
          <w:tcPr>
            <w:tcW w:w="4471" w:type="pct"/>
            <w:gridSpan w:val="11"/>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成          份        分        析  / %</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shd w:val="clear" w:color="auto" w:fill="auto"/>
          <w:tblCellMar>
            <w:top w:w="0" w:type="dxa"/>
            <w:left w:w="108" w:type="dxa"/>
            <w:bottom w:w="0" w:type="dxa"/>
            <w:right w:w="108" w:type="dxa"/>
          </w:tblCellMar>
        </w:tblPrEx>
        <w:trPr>
          <w:trHeight w:val="360" w:hRule="atLeast"/>
        </w:trPr>
        <w:tc>
          <w:tcPr>
            <w:tcW w:w="528"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4"/>
                <w:szCs w:val="24"/>
                <w:u w:val="none"/>
              </w:rPr>
            </w:pP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SiO</w:t>
            </w:r>
            <w:r>
              <w:rPr>
                <w:rFonts w:hint="default" w:ascii="Times New Roman" w:hAnsi="Times New Roman" w:eastAsia="宋体" w:cs="Times New Roman"/>
                <w:i w:val="0"/>
                <w:iCs w:val="0"/>
                <w:color w:val="auto"/>
                <w:kern w:val="0"/>
                <w:sz w:val="20"/>
                <w:szCs w:val="20"/>
                <w:u w:val="none"/>
                <w:vertAlign w:val="subscript"/>
                <w:lang w:val="en-US" w:eastAsia="zh-CN" w:bidi="ar"/>
              </w:rPr>
              <w:t>2</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Al</w:t>
            </w:r>
            <w:r>
              <w:rPr>
                <w:rFonts w:hint="default" w:ascii="Times New Roman" w:hAnsi="Times New Roman" w:eastAsia="宋体" w:cs="Times New Roman"/>
                <w:i w:val="0"/>
                <w:iCs w:val="0"/>
                <w:color w:val="auto"/>
                <w:kern w:val="0"/>
                <w:sz w:val="20"/>
                <w:szCs w:val="20"/>
                <w:u w:val="none"/>
                <w:vertAlign w:val="subscript"/>
                <w:lang w:val="en-US" w:eastAsia="zh-CN" w:bidi="ar"/>
              </w:rPr>
              <w:t>2</w:t>
            </w:r>
            <w:r>
              <w:rPr>
                <w:rFonts w:hint="default" w:ascii="Times New Roman" w:hAnsi="Times New Roman" w:eastAsia="宋体" w:cs="Times New Roman"/>
                <w:i w:val="0"/>
                <w:iCs w:val="0"/>
                <w:color w:val="auto"/>
                <w:kern w:val="0"/>
                <w:sz w:val="20"/>
                <w:szCs w:val="20"/>
                <w:u w:val="none"/>
                <w:lang w:val="en-US" w:eastAsia="zh-CN" w:bidi="ar"/>
              </w:rPr>
              <w:t>O</w:t>
            </w:r>
            <w:r>
              <w:rPr>
                <w:rFonts w:hint="default" w:ascii="Times New Roman" w:hAnsi="Times New Roman" w:eastAsia="宋体" w:cs="Times New Roman"/>
                <w:i w:val="0"/>
                <w:iCs w:val="0"/>
                <w:color w:val="auto"/>
                <w:kern w:val="0"/>
                <w:sz w:val="20"/>
                <w:szCs w:val="20"/>
                <w:u w:val="none"/>
                <w:vertAlign w:val="subscript"/>
                <w:lang w:val="en-US" w:eastAsia="zh-CN" w:bidi="ar"/>
              </w:rPr>
              <w:t>3</w:t>
            </w:r>
          </w:p>
        </w:tc>
        <w:tc>
          <w:tcPr>
            <w:tcW w:w="38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Fe</w:t>
            </w:r>
            <w:r>
              <w:rPr>
                <w:rFonts w:hint="default" w:ascii="Times New Roman" w:hAnsi="Times New Roman" w:eastAsia="宋体" w:cs="Times New Roman"/>
                <w:i w:val="0"/>
                <w:iCs w:val="0"/>
                <w:color w:val="auto"/>
                <w:kern w:val="0"/>
                <w:sz w:val="20"/>
                <w:szCs w:val="20"/>
                <w:u w:val="none"/>
                <w:vertAlign w:val="subscript"/>
                <w:lang w:val="en-US" w:eastAsia="zh-CN" w:bidi="ar"/>
              </w:rPr>
              <w:t>2</w:t>
            </w:r>
            <w:r>
              <w:rPr>
                <w:rFonts w:hint="default" w:ascii="Times New Roman" w:hAnsi="Times New Roman" w:eastAsia="宋体" w:cs="Times New Roman"/>
                <w:i w:val="0"/>
                <w:iCs w:val="0"/>
                <w:color w:val="auto"/>
                <w:kern w:val="0"/>
                <w:sz w:val="20"/>
                <w:szCs w:val="20"/>
                <w:u w:val="none"/>
                <w:lang w:val="en-US" w:eastAsia="zh-CN" w:bidi="ar"/>
              </w:rPr>
              <w:t>O</w:t>
            </w:r>
            <w:r>
              <w:rPr>
                <w:rFonts w:hint="default" w:ascii="Times New Roman" w:hAnsi="Times New Roman" w:eastAsia="宋体" w:cs="Times New Roman"/>
                <w:i w:val="0"/>
                <w:iCs w:val="0"/>
                <w:color w:val="auto"/>
                <w:kern w:val="0"/>
                <w:sz w:val="20"/>
                <w:szCs w:val="20"/>
                <w:u w:val="none"/>
                <w:vertAlign w:val="subscript"/>
                <w:lang w:val="en-US" w:eastAsia="zh-CN" w:bidi="ar"/>
              </w:rPr>
              <w:t>3</w:t>
            </w:r>
          </w:p>
        </w:tc>
        <w:tc>
          <w:tcPr>
            <w:tcW w:w="36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TiO</w:t>
            </w:r>
            <w:r>
              <w:rPr>
                <w:rFonts w:hint="default" w:ascii="Times New Roman" w:hAnsi="Times New Roman" w:eastAsia="宋体" w:cs="Times New Roman"/>
                <w:i w:val="0"/>
                <w:iCs w:val="0"/>
                <w:color w:val="auto"/>
                <w:kern w:val="0"/>
                <w:sz w:val="20"/>
                <w:szCs w:val="20"/>
                <w:u w:val="none"/>
                <w:vertAlign w:val="subscript"/>
                <w:lang w:val="en-US" w:eastAsia="zh-CN" w:bidi="ar"/>
              </w:rPr>
              <w:t>2</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CaO</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MgO</w:t>
            </w:r>
          </w:p>
        </w:tc>
        <w:tc>
          <w:tcPr>
            <w:tcW w:w="3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K</w:t>
            </w:r>
            <w:r>
              <w:rPr>
                <w:rFonts w:hint="default" w:ascii="Times New Roman" w:hAnsi="Times New Roman" w:eastAsia="宋体" w:cs="Times New Roman"/>
                <w:i w:val="0"/>
                <w:iCs w:val="0"/>
                <w:color w:val="auto"/>
                <w:kern w:val="0"/>
                <w:sz w:val="20"/>
                <w:szCs w:val="20"/>
                <w:u w:val="none"/>
                <w:vertAlign w:val="subscript"/>
                <w:lang w:val="en-US" w:eastAsia="zh-CN" w:bidi="ar"/>
              </w:rPr>
              <w:t>2</w:t>
            </w:r>
            <w:r>
              <w:rPr>
                <w:rFonts w:hint="default" w:ascii="Times New Roman" w:hAnsi="Times New Roman" w:eastAsia="宋体" w:cs="Times New Roman"/>
                <w:i w:val="0"/>
                <w:iCs w:val="0"/>
                <w:color w:val="auto"/>
                <w:kern w:val="0"/>
                <w:sz w:val="20"/>
                <w:szCs w:val="20"/>
                <w:u w:val="none"/>
                <w:lang w:val="en-US" w:eastAsia="zh-CN" w:bidi="ar"/>
              </w:rPr>
              <w:t>O</w:t>
            </w:r>
          </w:p>
        </w:tc>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Na</w:t>
            </w:r>
            <w:r>
              <w:rPr>
                <w:rFonts w:hint="default" w:ascii="Times New Roman" w:hAnsi="Times New Roman" w:eastAsia="宋体" w:cs="Times New Roman"/>
                <w:i w:val="0"/>
                <w:iCs w:val="0"/>
                <w:color w:val="auto"/>
                <w:kern w:val="0"/>
                <w:sz w:val="20"/>
                <w:szCs w:val="20"/>
                <w:u w:val="none"/>
                <w:vertAlign w:val="subscript"/>
                <w:lang w:val="en-US" w:eastAsia="zh-CN" w:bidi="ar"/>
              </w:rPr>
              <w:t>2</w:t>
            </w:r>
            <w:r>
              <w:rPr>
                <w:rFonts w:hint="default" w:ascii="Times New Roman" w:hAnsi="Times New Roman" w:eastAsia="宋体" w:cs="Times New Roman"/>
                <w:i w:val="0"/>
                <w:iCs w:val="0"/>
                <w:color w:val="auto"/>
                <w:kern w:val="0"/>
                <w:sz w:val="20"/>
                <w:szCs w:val="20"/>
                <w:u w:val="none"/>
                <w:lang w:val="en-US" w:eastAsia="zh-CN" w:bidi="ar"/>
              </w:rPr>
              <w:t>O</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P</w:t>
            </w:r>
            <w:r>
              <w:rPr>
                <w:rFonts w:hint="default" w:ascii="Times New Roman" w:hAnsi="Times New Roman" w:eastAsia="宋体" w:cs="Times New Roman"/>
                <w:i w:val="0"/>
                <w:iCs w:val="0"/>
                <w:color w:val="auto"/>
                <w:kern w:val="0"/>
                <w:sz w:val="20"/>
                <w:szCs w:val="20"/>
                <w:u w:val="none"/>
                <w:vertAlign w:val="subscript"/>
                <w:lang w:val="en-US" w:eastAsia="zh-CN" w:bidi="ar"/>
              </w:rPr>
              <w:t>2</w:t>
            </w:r>
            <w:r>
              <w:rPr>
                <w:rFonts w:hint="default" w:ascii="Times New Roman" w:hAnsi="Times New Roman" w:eastAsia="宋体" w:cs="Times New Roman"/>
                <w:i w:val="0"/>
                <w:iCs w:val="0"/>
                <w:color w:val="auto"/>
                <w:kern w:val="0"/>
                <w:sz w:val="20"/>
                <w:szCs w:val="20"/>
                <w:u w:val="none"/>
                <w:lang w:val="en-US" w:eastAsia="zh-CN" w:bidi="ar"/>
              </w:rPr>
              <w:t>O</w:t>
            </w:r>
            <w:r>
              <w:rPr>
                <w:rFonts w:hint="default" w:ascii="Times New Roman" w:hAnsi="Times New Roman" w:eastAsia="宋体" w:cs="Times New Roman"/>
                <w:i w:val="0"/>
                <w:iCs w:val="0"/>
                <w:color w:val="auto"/>
                <w:kern w:val="0"/>
                <w:sz w:val="20"/>
                <w:szCs w:val="20"/>
                <w:u w:val="none"/>
                <w:vertAlign w:val="subscript"/>
                <w:lang w:val="en-US" w:eastAsia="zh-CN" w:bidi="ar"/>
              </w:rPr>
              <w:t>5</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S</w:t>
            </w:r>
          </w:p>
        </w:tc>
        <w:tc>
          <w:tcPr>
            <w:tcW w:w="43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0"/>
                <w:szCs w:val="20"/>
                <w:u w:val="none"/>
              </w:rPr>
            </w:pPr>
            <w:r>
              <w:rPr>
                <w:rFonts w:hint="default" w:ascii="Times New Roman" w:hAnsi="Times New Roman" w:eastAsia="宋体" w:cs="Times New Roman"/>
                <w:i w:val="0"/>
                <w:iCs w:val="0"/>
                <w:color w:val="auto"/>
                <w:kern w:val="0"/>
                <w:sz w:val="20"/>
                <w:szCs w:val="20"/>
                <w:u w:val="none"/>
                <w:lang w:val="en-US" w:eastAsia="zh-CN" w:bidi="ar"/>
              </w:rPr>
              <w:t>L.O.I</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shd w:val="clear" w:color="auto" w:fill="auto"/>
          <w:tblCellMar>
            <w:top w:w="0" w:type="dxa"/>
            <w:left w:w="108" w:type="dxa"/>
            <w:bottom w:w="0" w:type="dxa"/>
            <w:right w:w="108" w:type="dxa"/>
          </w:tblCellMar>
        </w:tblPrEx>
        <w:trPr>
          <w:trHeight w:val="360" w:hRule="atLeast"/>
        </w:trPr>
        <w:tc>
          <w:tcPr>
            <w:tcW w:w="5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矿石</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66</w:t>
            </w:r>
            <w:r>
              <w:rPr>
                <w:rFonts w:hint="default" w:ascii="Times New Roman" w:hAnsi="Times New Roman" w:eastAsia="宋体" w:cs="Times New Roman"/>
                <w:i w:val="0"/>
                <w:iCs w:val="0"/>
                <w:color w:val="auto"/>
                <w:kern w:val="0"/>
                <w:sz w:val="24"/>
                <w:szCs w:val="24"/>
                <w:u w:val="none"/>
                <w:lang w:val="en-US" w:eastAsia="zh-CN" w:bidi="ar"/>
              </w:rPr>
              <w:t>.89</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1</w:t>
            </w:r>
            <w:r>
              <w:rPr>
                <w:rFonts w:hint="default" w:ascii="Times New Roman" w:hAnsi="Times New Roman" w:eastAsia="宋体" w:cs="Times New Roman"/>
                <w:i w:val="0"/>
                <w:iCs w:val="0"/>
                <w:color w:val="auto"/>
                <w:kern w:val="0"/>
                <w:sz w:val="24"/>
                <w:szCs w:val="24"/>
                <w:u w:val="none"/>
                <w:lang w:val="en-US" w:eastAsia="zh-CN" w:bidi="ar"/>
              </w:rPr>
              <w:t>1.64</w:t>
            </w:r>
          </w:p>
        </w:tc>
        <w:tc>
          <w:tcPr>
            <w:tcW w:w="38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0</w:t>
            </w:r>
            <w:r>
              <w:rPr>
                <w:rFonts w:hint="default" w:ascii="Times New Roman" w:hAnsi="Times New Roman" w:eastAsia="宋体" w:cs="Times New Roman"/>
                <w:i w:val="0"/>
                <w:iCs w:val="0"/>
                <w:color w:val="auto"/>
                <w:kern w:val="0"/>
                <w:sz w:val="24"/>
                <w:szCs w:val="24"/>
                <w:u w:val="none"/>
                <w:lang w:val="en-US" w:eastAsia="zh-CN" w:bidi="ar"/>
              </w:rPr>
              <w:t>.21</w:t>
            </w:r>
          </w:p>
        </w:tc>
        <w:tc>
          <w:tcPr>
            <w:tcW w:w="36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0.11</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0.60</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6</w:t>
            </w:r>
            <w:r>
              <w:rPr>
                <w:rFonts w:hint="default" w:ascii="Times New Roman" w:hAnsi="Times New Roman" w:eastAsia="宋体" w:cs="Times New Roman"/>
                <w:i w:val="0"/>
                <w:iCs w:val="0"/>
                <w:color w:val="auto"/>
                <w:kern w:val="0"/>
                <w:sz w:val="24"/>
                <w:szCs w:val="24"/>
                <w:u w:val="none"/>
                <w:lang w:val="en-US" w:eastAsia="zh-CN" w:bidi="ar"/>
              </w:rPr>
              <w:t>.96</w:t>
            </w:r>
          </w:p>
        </w:tc>
        <w:tc>
          <w:tcPr>
            <w:tcW w:w="3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0.15</w:t>
            </w:r>
          </w:p>
        </w:tc>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1</w:t>
            </w:r>
            <w:r>
              <w:rPr>
                <w:rFonts w:hint="default" w:ascii="Times New Roman" w:hAnsi="Times New Roman" w:eastAsia="宋体" w:cs="Times New Roman"/>
                <w:i w:val="0"/>
                <w:iCs w:val="0"/>
                <w:color w:val="auto"/>
                <w:kern w:val="0"/>
                <w:sz w:val="24"/>
                <w:szCs w:val="24"/>
                <w:u w:val="none"/>
                <w:lang w:val="en-US" w:eastAsia="zh-CN" w:bidi="ar"/>
              </w:rPr>
              <w:t>.12</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0.014</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0.012</w:t>
            </w:r>
          </w:p>
        </w:tc>
        <w:tc>
          <w:tcPr>
            <w:tcW w:w="43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12.24</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shd w:val="clear" w:color="auto" w:fill="auto"/>
          <w:tblCellMar>
            <w:top w:w="0" w:type="dxa"/>
            <w:left w:w="108" w:type="dxa"/>
            <w:bottom w:w="0" w:type="dxa"/>
            <w:right w:w="108" w:type="dxa"/>
          </w:tblCellMar>
        </w:tblPrEx>
        <w:trPr>
          <w:trHeight w:val="360" w:hRule="atLeast"/>
        </w:trPr>
        <w:tc>
          <w:tcPr>
            <w:tcW w:w="52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废石</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61</w:t>
            </w:r>
            <w:r>
              <w:rPr>
                <w:rFonts w:hint="default" w:ascii="Times New Roman" w:hAnsi="Times New Roman" w:eastAsia="宋体" w:cs="Times New Roman"/>
                <w:i w:val="0"/>
                <w:iCs w:val="0"/>
                <w:color w:val="auto"/>
                <w:kern w:val="0"/>
                <w:sz w:val="24"/>
                <w:szCs w:val="24"/>
                <w:u w:val="none"/>
                <w:lang w:val="en-US" w:eastAsia="zh-CN" w:bidi="ar"/>
              </w:rPr>
              <w:t>.65</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1</w:t>
            </w:r>
            <w:r>
              <w:rPr>
                <w:rFonts w:hint="default" w:ascii="Times New Roman" w:hAnsi="Times New Roman" w:eastAsia="宋体" w:cs="Times New Roman"/>
                <w:i w:val="0"/>
                <w:iCs w:val="0"/>
                <w:color w:val="auto"/>
                <w:kern w:val="0"/>
                <w:sz w:val="24"/>
                <w:szCs w:val="24"/>
                <w:u w:val="none"/>
                <w:lang w:val="en-US" w:eastAsia="zh-CN" w:bidi="ar"/>
              </w:rPr>
              <w:t>4.85</w:t>
            </w:r>
          </w:p>
        </w:tc>
        <w:tc>
          <w:tcPr>
            <w:tcW w:w="38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0</w:t>
            </w:r>
            <w:r>
              <w:rPr>
                <w:rFonts w:hint="default" w:ascii="Times New Roman" w:hAnsi="Times New Roman" w:eastAsia="宋体" w:cs="Times New Roman"/>
                <w:i w:val="0"/>
                <w:iCs w:val="0"/>
                <w:color w:val="auto"/>
                <w:kern w:val="0"/>
                <w:sz w:val="24"/>
                <w:szCs w:val="24"/>
                <w:u w:val="none"/>
                <w:lang w:val="en-US" w:eastAsia="zh-CN" w:bidi="ar"/>
              </w:rPr>
              <w:t>.92</w:t>
            </w:r>
          </w:p>
        </w:tc>
        <w:tc>
          <w:tcPr>
            <w:tcW w:w="36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0.17</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0</w:t>
            </w:r>
            <w:r>
              <w:rPr>
                <w:rFonts w:hint="default" w:ascii="Times New Roman" w:hAnsi="Times New Roman" w:eastAsia="宋体" w:cs="Times New Roman"/>
                <w:i w:val="0"/>
                <w:iCs w:val="0"/>
                <w:color w:val="auto"/>
                <w:kern w:val="0"/>
                <w:sz w:val="24"/>
                <w:szCs w:val="24"/>
                <w:u w:val="none"/>
                <w:lang w:val="en-US" w:eastAsia="zh-CN" w:bidi="ar"/>
              </w:rPr>
              <w:t>1.28</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8.92</w:t>
            </w:r>
          </w:p>
        </w:tc>
        <w:tc>
          <w:tcPr>
            <w:tcW w:w="3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0.25</w:t>
            </w:r>
          </w:p>
        </w:tc>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eastAsia" w:ascii="Times New Roman" w:hAnsi="Times New Roman" w:eastAsia="宋体" w:cs="Times New Roman"/>
                <w:i w:val="0"/>
                <w:iCs w:val="0"/>
                <w:color w:val="auto"/>
                <w:kern w:val="0"/>
                <w:sz w:val="24"/>
                <w:szCs w:val="24"/>
                <w:u w:val="none"/>
                <w:lang w:val="en-US" w:eastAsia="zh-CN" w:bidi="ar"/>
              </w:rPr>
              <w:t>1</w:t>
            </w:r>
            <w:r>
              <w:rPr>
                <w:rFonts w:hint="default" w:ascii="Times New Roman" w:hAnsi="Times New Roman" w:eastAsia="宋体" w:cs="Times New Roman"/>
                <w:i w:val="0"/>
                <w:iCs w:val="0"/>
                <w:color w:val="auto"/>
                <w:kern w:val="0"/>
                <w:sz w:val="24"/>
                <w:szCs w:val="24"/>
                <w:u w:val="none"/>
                <w:lang w:val="en-US" w:eastAsia="zh-CN" w:bidi="ar"/>
              </w:rPr>
              <w:t>.20</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0.11</w:t>
            </w:r>
          </w:p>
        </w:tc>
        <w:tc>
          <w:tcPr>
            <w:tcW w:w="42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0.014</w:t>
            </w:r>
          </w:p>
        </w:tc>
        <w:tc>
          <w:tcPr>
            <w:tcW w:w="43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10.55</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color w:val="auto"/>
        </w:rPr>
      </w:pP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（3）矿石风（氧）化特征</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本区矿石多未出露地表，风化程度较弱。局部地段因开采形成露天采坑，裸露地表，但风化亦较弱，矿石结构、构造未发生明显变化，只是颜色较未风化矿石略白。</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矿石类型和品级</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（1）矿石自然类型为伟晶岩脉型晶质钾长石，工业类型为陶瓷用长石。</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（2）矿石未分品级。</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矿体围岩与夹石</w:t>
      </w:r>
    </w:p>
    <w:p>
      <w:pPr>
        <w:bidi w:val="0"/>
        <w:rPr>
          <w:rFonts w:hint="default" w:ascii="Times New Roman" w:hAnsi="Times New Roman" w:eastAsia="宋体" w:cs="Times New Roman"/>
          <w:color w:val="auto"/>
          <w:highlight w:val="none"/>
        </w:rPr>
      </w:pPr>
      <w:bookmarkStart w:id="214" w:name="_Toc403375485"/>
      <w:bookmarkStart w:id="215" w:name="_Toc488310476"/>
      <w:r>
        <w:rPr>
          <w:rFonts w:hint="default" w:ascii="Times New Roman" w:hAnsi="Times New Roman" w:eastAsia="宋体" w:cs="Times New Roman"/>
          <w:color w:val="auto"/>
          <w:highlight w:val="none"/>
        </w:rPr>
        <w:t>矿体的上下盘围岩主要为伟晶岩和浅粒岩，矿体与浅粒岩呈断层接触，界线清楚，除断层附近较为破碎，一般均致密坚硬。</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矿体中未见大的夹石，仅见几处条带状硅化带。</w:t>
      </w:r>
    </w:p>
    <w:bookmarkEnd w:id="214"/>
    <w:bookmarkEnd w:id="215"/>
    <w:p>
      <w:pPr>
        <w:pStyle w:val="5"/>
        <w:bidi w:val="0"/>
        <w:rPr>
          <w:rFonts w:hint="default" w:ascii="Times New Roman" w:hAnsi="Times New Roman" w:eastAsia="宋体" w:cs="Times New Roman"/>
          <w:color w:val="auto"/>
          <w:highlight w:val="none"/>
        </w:rPr>
      </w:pPr>
      <w:bookmarkStart w:id="216" w:name="_Toc369764160"/>
      <w:bookmarkStart w:id="217" w:name="_Toc308182456"/>
      <w:bookmarkStart w:id="218" w:name="_Toc335314625"/>
      <w:bookmarkStart w:id="219" w:name="_Toc306970839"/>
      <w:bookmarkStart w:id="220" w:name="_Toc413162813"/>
      <w:bookmarkStart w:id="221" w:name="_Toc336345774"/>
      <w:bookmarkStart w:id="222" w:name="_Toc1266"/>
      <w:bookmarkStart w:id="223" w:name="_Toc335382959"/>
      <w:bookmarkStart w:id="224" w:name="_Toc301161192"/>
      <w:bookmarkStart w:id="225" w:name="_Toc335382849"/>
      <w:r>
        <w:rPr>
          <w:rFonts w:hint="default" w:ascii="Times New Roman" w:hAnsi="Times New Roman" w:eastAsia="宋体" w:cs="Times New Roman"/>
          <w:color w:val="auto"/>
          <w:highlight w:val="none"/>
        </w:rPr>
        <w:t>矿床开采技术条件</w:t>
      </w:r>
      <w:bookmarkEnd w:id="216"/>
      <w:bookmarkEnd w:id="217"/>
      <w:bookmarkEnd w:id="218"/>
      <w:bookmarkEnd w:id="219"/>
      <w:bookmarkEnd w:id="220"/>
      <w:bookmarkEnd w:id="221"/>
      <w:bookmarkEnd w:id="222"/>
      <w:bookmarkEnd w:id="223"/>
      <w:bookmarkEnd w:id="224"/>
      <w:bookmarkEnd w:id="225"/>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（1）矿区水文地质</w:t>
      </w:r>
      <w:r>
        <w:rPr>
          <w:rFonts w:hint="default" w:ascii="Times New Roman" w:hAnsi="Times New Roman" w:eastAsia="宋体" w:cs="Times New Roman"/>
          <w:color w:val="auto"/>
          <w:highlight w:val="none"/>
          <w:lang w:val="en-US" w:eastAsia="zh-CN"/>
        </w:rPr>
        <w:t>条件</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本矿区位于辽东山地基岩含水为主水文地质单元的弱－中等富水区。从微观上它处在一个次级分水岭的顶部，在水文地质条件上有一定的独立性。</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体赋存标高在280m以上，而当地侵蚀基准面标高为200m左右。本区地表水系不发育，矿区南部及北部沟谷中有季节性小溪,雨季水量较大,枯水期水量较小甚至干枯。矿区北部地表水通过沟谷流入古洞河中，汇入哨子河；南部地表水可通过沟谷流入牤牛河，汇入大洋河，排泄条件良好，地表水动态呈季节性变化。矿区外南部牤牛河下游河水流量1.91～19.18</w:t>
      </w:r>
      <w:r>
        <w:rPr>
          <w:rFonts w:hint="default" w:ascii="Times New Roman" w:hAnsi="Times New Roman" w:eastAsia="宋体" w:cs="Times New Roman"/>
          <w:color w:val="auto"/>
          <w:highlight w:val="none"/>
          <w:lang w:val="en-US" w:eastAsia="zh-CN"/>
        </w:rPr>
        <w:t>L</w:t>
      </w:r>
      <w:r>
        <w:rPr>
          <w:rFonts w:hint="default" w:ascii="Times New Roman" w:hAnsi="Times New Roman" w:eastAsia="宋体" w:cs="Times New Roman"/>
          <w:color w:val="auto"/>
          <w:highlight w:val="none"/>
        </w:rPr>
        <w:t>/s，据访问，当地暴雨季节最高水位可高于当地侵蚀基准面（+200m）0.5～1m，而暴雨季节洪水前锋龙头则高达1.5m。</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地下水系统与地表水系统在空间上具有较强的相似性，即地下分水岭和地表分水岭一致且流向相同。地下水接受大气降水入渗补给，以相对完整的基岩面为底板沿第四系孔隙或基岩裂隙向下游径流，在合适的部位呈泉出露，亦有部分径流补给沟谷地表水。在含水层薄或地下水位高的某些部位，地下水还可能以毛细蒸发的形式排流。</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综上所述，矿区水文地质条件属简单类型。</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（2）矿区工程地质勘探类型</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本矿床矿体赋存于伟晶岩脉中，矿石致密坚硬，矿体稳固，但地表部分矿体风化，稳固性较差。围岩为浅粒岩和黑云变粒岩，局部见极细的煌斑岩脉。上述岩石均致密坚硬，稳固性好。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断裂构造不甚发育，主要为北东向断裂构造，局部地段可见小的节理裂隙。北东向断裂构造为控矿构造，被伟晶岩脉所充填，稳固性较好。矿体上下盘与围岩接触处常见围岩破碎或糜棱岩化，但影响范围较小，一般厚约0.5～2m。2m以外围岩均较完整，稳固性较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综上所述，本矿区地层岩性较复杂，地质构造简单，矿体及围岩较完整～完整，局部破碎，工程地质复杂程度为中等。</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（3）矿区环境地质勘探类型</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矿自建矿以来，形成两个露天采场，但开采规模不是很大。对地貌破坏较大的，主要是采场及两处排岩场，破坏了植被，造成一定的水土流失，使环境质量受到一定的影响。但至今未发生过规模性的崩塌、滑坡、泥石流、地面塌陷、地裂缝等地质灾害。矿区及周边人类工程活动程度一般。</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未来开采中会产生一定量的废水，对地表和地下水有一定的影响。同时会产生一定量的废岩碎石、废油及其它废物，对矿山及其周边的环境也有一定的影响。要合理堆放，避免地质灾害的发生。矿石不易分解有毒成分，无放射性。在矿山开采建设过程中应加强矿山环境的保护，在矿山建设和开采过程中尽量减少对地形、地貌的破坏，建设排岩场，合理堆放残渣；开采完毕后应在裸露开采区种草、植树造林，进行治理恢复，防止水土流失及人为地质灾害的发生，保护环境。</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综上所述环境地质条件属中等类型。</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矿区资源、储量</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依据该矿山经评审并备案的储量核实报告备案证明（辽国土资储备字[2018]094号），确定该矿山矿区范围内保有钾长石资源量（122b+333）2926.60千吨。</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计算，地下开采K1、K2矿体资源总量（122b+333）197.111万t，扣除保护间柱和底部尖灭资源量合计（122b+333）38.474万t，本次设计利用资源储量（122b+333）158.637万t，设计资源利用率为80.48%；露天一采场K3、K4矿体资源总量（122b+333）75.501万t，扣除边坡压矿量及剥采比不合理资源量合计（122b+333）13.365万t，本次设计利用资源储量（122b+333）62.136万t，设计资源利用率为82.3%；露天二采场K5、K6矿体资源总量（333）20.048万t，扣除边坡压矿量及剥采比不合理资源量合计（333）4.118万t，本次设计利用资源储量（333）15.93万t，设计资源利用率为79.46%。</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本次设计资源总量为（122b+333）236.703万t，设计资源利用率为80.88%。</w:t>
      </w:r>
    </w:p>
    <w:p>
      <w:pPr>
        <w:spacing w:line="240" w:lineRule="atLeast"/>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表</w:t>
      </w:r>
      <w:r>
        <w:rPr>
          <w:rFonts w:hint="eastAsia" w:cs="Times New Roman"/>
          <w:b/>
          <w:bCs/>
          <w:color w:val="auto"/>
          <w:sz w:val="21"/>
          <w:szCs w:val="21"/>
          <w:highlight w:val="none"/>
          <w:lang w:val="en-US" w:eastAsia="zh-CN"/>
        </w:rPr>
        <w:t>3.2</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rPr>
        <w:t>设计利用资源储量估算结果表</w:t>
      </w:r>
    </w:p>
    <w:tbl>
      <w:tblPr>
        <w:tblStyle w:val="4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5"/>
        <w:gridCol w:w="986"/>
        <w:gridCol w:w="1685"/>
        <w:gridCol w:w="1652"/>
        <w:gridCol w:w="1655"/>
        <w:gridCol w:w="20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采区</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53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矿体</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资源储</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量类型</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保有资源</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储量（万吨）</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损失资源</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储量（万吨）</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设计利用资源</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储量（万吨）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开采</w:t>
            </w:r>
          </w:p>
        </w:tc>
        <w:tc>
          <w:tcPr>
            <w:tcW w:w="531"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K1</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28.999</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11.167</w:t>
            </w:r>
          </w:p>
        </w:tc>
        <w:tc>
          <w:tcPr>
            <w:tcW w:w="1114" w:type="pct"/>
            <w:tcBorders>
              <w:tl2br w:val="nil"/>
              <w:tr2bl w:val="nil"/>
            </w:tcBorders>
            <w:noWrap w:val="0"/>
            <w:vAlign w:val="bottom"/>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17.832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41.269</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15.892</w:t>
            </w:r>
          </w:p>
        </w:tc>
        <w:tc>
          <w:tcPr>
            <w:tcW w:w="1114" w:type="pct"/>
            <w:tcBorders>
              <w:tl2br w:val="nil"/>
              <w:tr2bl w:val="nil"/>
            </w:tcBorders>
            <w:noWrap w:val="0"/>
            <w:vAlign w:val="bottom"/>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25.377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70.268</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27.059</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43.209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K2</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42.224</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3.787</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38.437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84.619</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7.628</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76.991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126.843</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11.415</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115.428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197.111</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38.474</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158.637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一采场</w:t>
            </w:r>
          </w:p>
        </w:tc>
        <w:tc>
          <w:tcPr>
            <w:tcW w:w="53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K3</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41.481</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8.311</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K4</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16.285</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1.741</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14.544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17.735</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3.313</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14.422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34.020</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5.054</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28.966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75.501</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13.365</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62.136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二采场</w:t>
            </w:r>
          </w:p>
        </w:tc>
        <w:tc>
          <w:tcPr>
            <w:tcW w:w="53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K5</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11.23</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2.321</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8.909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K6</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8.818</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1.797</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7.021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65" w:type="pct"/>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3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合计</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20.048</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4.118</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15.930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6" w:type="pct"/>
            <w:gridSpan w:val="2"/>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全矿区总计</w:t>
            </w: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87.508</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16.695</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70.813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6" w:type="pct"/>
            <w:gridSpan w:val="2"/>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205.152</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39.262</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165.89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96" w:type="pct"/>
            <w:gridSpan w:val="2"/>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907"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122b+333</w:t>
            </w:r>
          </w:p>
        </w:tc>
        <w:tc>
          <w:tcPr>
            <w:tcW w:w="889"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292.66</w:t>
            </w:r>
          </w:p>
        </w:tc>
        <w:tc>
          <w:tcPr>
            <w:tcW w:w="891"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55.957</w:t>
            </w:r>
          </w:p>
        </w:tc>
        <w:tc>
          <w:tcPr>
            <w:tcW w:w="1114" w:type="pc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236.703</w:t>
            </w:r>
          </w:p>
        </w:tc>
      </w:tr>
    </w:tbl>
    <w:p>
      <w:pPr>
        <w:bidi w:val="0"/>
        <w:rPr>
          <w:rFonts w:hint="default" w:ascii="Times New Roman" w:hAnsi="Times New Roman" w:eastAsia="宋体" w:cs="Times New Roman"/>
          <w:color w:val="auto"/>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bookmarkStart w:id="226" w:name="_Toc515537839"/>
      <w:bookmarkStart w:id="227" w:name="_Toc450827015"/>
      <w:bookmarkStart w:id="228" w:name="_Toc15376186"/>
    </w:p>
    <w:bookmarkEnd w:id="226"/>
    <w:bookmarkEnd w:id="227"/>
    <w:bookmarkEnd w:id="228"/>
    <w:p>
      <w:pPr>
        <w:pStyle w:val="4"/>
        <w:bidi w:val="0"/>
        <w:rPr>
          <w:rFonts w:hint="default"/>
          <w:color w:val="auto"/>
        </w:rPr>
      </w:pPr>
      <w:bookmarkStart w:id="229" w:name="_Toc19475"/>
      <w:r>
        <w:rPr>
          <w:rFonts w:hint="eastAsia"/>
          <w:color w:val="auto"/>
          <w:lang w:val="en-US" w:eastAsia="zh-CN"/>
        </w:rPr>
        <w:t>工程分析</w:t>
      </w:r>
      <w:bookmarkEnd w:id="229"/>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露天开采工艺流程及排污节点分析</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3.3.1.</w:t>
      </w:r>
      <w:r>
        <w:rPr>
          <w:rFonts w:hint="default" w:ascii="Times New Roman" w:hAnsi="Times New Roman" w:eastAsia="宋体" w:cs="Times New Roman"/>
          <w:color w:val="auto"/>
          <w:sz w:val="24"/>
          <w:highlight w:val="none"/>
          <w:lang w:val="en-US" w:eastAsia="zh-CN"/>
        </w:rPr>
        <w:t>1矿床开拓方案</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着技术上先进，生产工艺简单，经济上合理的原则，设计优先考虑了公路开拓汽车运输方案。台阶高度10m，台阶坡面角65°，安全平台宽度6m，清扫平台宽度8m。道路路面宽度8m，限制坡度10%。根据露天采场结构参数，露天采场实际境界范围圈定结果</w:t>
      </w:r>
      <w:r>
        <w:rPr>
          <w:rFonts w:hint="default" w:ascii="Times New Roman" w:hAnsi="Times New Roman" w:eastAsia="宋体" w:cs="Times New Roman"/>
          <w:color w:val="auto"/>
          <w:highlight w:val="none"/>
          <w:lang w:val="en-US" w:eastAsia="zh-CN"/>
        </w:rPr>
        <w:t>见表</w:t>
      </w:r>
      <w:r>
        <w:rPr>
          <w:rFonts w:hint="eastAsia" w:cs="Times New Roman"/>
          <w:color w:val="auto"/>
          <w:highlight w:val="none"/>
          <w:lang w:val="en-US" w:eastAsia="zh-CN"/>
        </w:rPr>
        <w:t>3.3-</w:t>
      </w:r>
      <w:r>
        <w:rPr>
          <w:rFonts w:hint="default" w:ascii="Times New Roman" w:hAnsi="Times New Roman" w:eastAsia="宋体" w:cs="Times New Roman"/>
          <w:color w:val="auto"/>
          <w:highlight w:val="none"/>
          <w:lang w:val="en-US" w:eastAsia="zh-CN"/>
        </w:rPr>
        <w:t>1，露天开采终了图见图</w:t>
      </w:r>
      <w:r>
        <w:rPr>
          <w:rFonts w:hint="eastAsia" w:cs="Times New Roman"/>
          <w:color w:val="auto"/>
          <w:highlight w:val="none"/>
          <w:lang w:val="en-US" w:eastAsia="zh-CN"/>
        </w:rPr>
        <w:t>3.3-1</w:t>
      </w:r>
      <w:r>
        <w:rPr>
          <w:rFonts w:hint="default" w:ascii="Times New Roman" w:hAnsi="Times New Roman" w:eastAsia="宋体" w:cs="Times New Roman"/>
          <w:color w:val="auto"/>
          <w:highlight w:val="none"/>
          <w:lang w:val="en-US" w:eastAsia="zh-CN"/>
        </w:rPr>
        <w:t>。</w:t>
      </w:r>
    </w:p>
    <w:p>
      <w:pPr>
        <w:spacing w:line="240" w:lineRule="atLeast"/>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cs="Times New Roman"/>
          <w:b/>
          <w:bCs/>
          <w:color w:val="auto"/>
          <w:sz w:val="21"/>
          <w:szCs w:val="21"/>
          <w:highlight w:val="none"/>
          <w:lang w:val="en-US" w:eastAsia="zh-CN"/>
        </w:rPr>
        <w:t>3.3-</w:t>
      </w:r>
      <w:r>
        <w:rPr>
          <w:rFonts w:hint="default" w:ascii="Times New Roman" w:hAnsi="Times New Roman" w:eastAsia="宋体" w:cs="Times New Roman"/>
          <w:b/>
          <w:bCs/>
          <w:color w:val="auto"/>
          <w:sz w:val="21"/>
          <w:szCs w:val="21"/>
          <w:highlight w:val="none"/>
          <w:lang w:val="en-US" w:eastAsia="zh-CN"/>
        </w:rPr>
        <w:t xml:space="preserve">1  露天采场技术参数表 </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992"/>
        <w:gridCol w:w="1998"/>
        <w:gridCol w:w="1290"/>
        <w:gridCol w:w="1204"/>
        <w:gridCol w:w="1567"/>
        <w:gridCol w:w="18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序号</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项目名称</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单位</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露天一采场</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露天二采场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设计采场上部标高</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+390</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设计采场下部标高</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+280</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采场高度</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110</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分台阶高度</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并段后台阶高度</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底部工作平台最小宽度</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71</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1998" w:type="dxa"/>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采场规格</w:t>
            </w:r>
          </w:p>
        </w:tc>
        <w:tc>
          <w:tcPr>
            <w:tcW w:w="1290"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长</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360</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998" w:type="dxa"/>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290"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宽</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187</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1998" w:type="dxa"/>
            <w:vMerge w:val="restart"/>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采场最终帮坡角</w:t>
            </w:r>
          </w:p>
        </w:tc>
        <w:tc>
          <w:tcPr>
            <w:tcW w:w="1290"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上盘</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49</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w:t>
            </w:r>
          </w:p>
        </w:tc>
        <w:tc>
          <w:tcPr>
            <w:tcW w:w="1998" w:type="dxa"/>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290"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下盘</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w:t>
            </w:r>
          </w:p>
        </w:tc>
        <w:tc>
          <w:tcPr>
            <w:tcW w:w="1998" w:type="dxa"/>
            <w:vMerge w:val="continue"/>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290"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端部</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设计利用资源量</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万t</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62.136</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15.930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开采产生的岩土量</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万t</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207.519</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23.320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0" w:hRule="atLeast"/>
          <w:jc w:val="center"/>
        </w:trPr>
        <w:tc>
          <w:tcPr>
            <w:tcW w:w="992"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3288" w:type="dxa"/>
            <w:gridSpan w:val="2"/>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平均剥采比</w:t>
            </w:r>
          </w:p>
        </w:tc>
        <w:tc>
          <w:tcPr>
            <w:tcW w:w="1204"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t/t</w:t>
            </w:r>
          </w:p>
        </w:tc>
        <w:tc>
          <w:tcPr>
            <w:tcW w:w="1567"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3.340</w:t>
            </w:r>
          </w:p>
        </w:tc>
        <w:tc>
          <w:tcPr>
            <w:tcW w:w="1846" w:type="dxa"/>
            <w:tcBorders>
              <w:tl2br w:val="nil"/>
              <w:tr2bl w:val="nil"/>
            </w:tcBorders>
            <w:noWrap w:val="0"/>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1.464</w:t>
            </w:r>
          </w:p>
        </w:tc>
      </w:tr>
    </w:tbl>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3.3.1.</w:t>
      </w:r>
      <w:r>
        <w:rPr>
          <w:rFonts w:hint="default" w:ascii="Times New Roman" w:hAnsi="Times New Roman" w:eastAsia="宋体" w:cs="Times New Roman"/>
          <w:color w:val="auto"/>
          <w:sz w:val="24"/>
          <w:highlight w:val="none"/>
          <w:lang w:val="en-US" w:eastAsia="zh-CN"/>
        </w:rPr>
        <w:t>2 基建工程</w:t>
      </w:r>
    </w:p>
    <w:p>
      <w:pPr>
        <w:keepNext w:val="0"/>
        <w:keepLines w:val="0"/>
        <w:widowControl/>
        <w:suppressLineNumbers w:val="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露天一采场基建工程主要包括：修筑运输道路270m、高水位蓄水池、剥离矿体上部风化层、布置首采台阶等准备工作，基建期约6个月（合计0.5a）。</w:t>
      </w:r>
    </w:p>
    <w:p>
      <w:pPr>
        <w:keepNext w:val="0"/>
        <w:keepLines w:val="0"/>
        <w:widowControl/>
        <w:suppressLineNumbers w:val="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露天二采场基建工程主要包括：修筑运输道路740m、高水位蓄水池、剥离矿体上部风化层、布置首采台阶等准备工作，基建期约10个月（合计0.83a）。</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3.3.1.</w:t>
      </w:r>
      <w:r>
        <w:rPr>
          <w:rFonts w:hint="default" w:ascii="Times New Roman" w:hAnsi="Times New Roman" w:eastAsia="宋体" w:cs="Times New Roman"/>
          <w:color w:val="auto"/>
          <w:sz w:val="24"/>
          <w:highlight w:val="none"/>
          <w:lang w:val="en-US" w:eastAsia="zh-CN"/>
        </w:rPr>
        <w:t>3 采矿方法</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开采方法为自上而下水平台阶逐段进行，分台阶高度10m，并段后台阶高度20m，生产台阶坡面角65°。各阶段按地形等高线垂直矿体开沟，沟宽不小于8 m，沿矿体走向推进。</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3.3.1.</w:t>
      </w:r>
      <w:r>
        <w:rPr>
          <w:rFonts w:hint="default" w:ascii="Times New Roman" w:hAnsi="Times New Roman" w:eastAsia="宋体" w:cs="Times New Roman"/>
          <w:color w:val="auto"/>
          <w:sz w:val="24"/>
          <w:highlight w:val="none"/>
          <w:lang w:val="en-US" w:eastAsia="zh-CN"/>
        </w:rPr>
        <w:t>4 穿孔、凿岩、爆破工作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本次设计该矿山一、二露天采场凿岩穿孔各选择1台CL561Y型潜孔钻机和1台DACY-21.0/8型柴油移动螺杆空压机组（共计2套），负责凿岩穿孔。</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highlight w:val="none"/>
        </w:rPr>
        <w:t>每个阶段全部采用中深孔一次爆破，以</w:t>
      </w:r>
      <w:r>
        <w:rPr>
          <w:rFonts w:hint="default" w:ascii="Times New Roman" w:hAnsi="Times New Roman" w:eastAsia="宋体" w:cs="Times New Roman"/>
          <w:color w:val="auto"/>
          <w:highlight w:val="none"/>
          <w:lang w:val="en-US" w:eastAsia="zh-CN"/>
        </w:rPr>
        <w:t>铵油</w:t>
      </w:r>
      <w:r>
        <w:rPr>
          <w:rFonts w:hint="default" w:ascii="Times New Roman" w:hAnsi="Times New Roman" w:eastAsia="宋体" w:cs="Times New Roman"/>
          <w:color w:val="auto"/>
          <w:highlight w:val="none"/>
        </w:rPr>
        <w:t>炸药为主；有水孔可采用防水乳化炸药为辅。对爆破后产生的大块矿石，严禁进行二次穿孔爆破，使用机械方式进行破碎。</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本项目生产爆破作业由外委的专业爆破公司提供</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一体化</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服务，双方签订了爆破服务协议。根据本项目每次爆破使用量，由爆破公司专用车将爆破材料直接送至爆破作业区，在现场进行混装、现场灌入钻孔使用。爆破后如有剩余，由爆破公司负责收回，矿山不存储火工品，不设置炸药库。</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3.3.1.</w:t>
      </w:r>
      <w:r>
        <w:rPr>
          <w:rFonts w:hint="default" w:ascii="Times New Roman" w:hAnsi="Times New Roman" w:eastAsia="宋体" w:cs="Times New Roman"/>
          <w:color w:val="auto"/>
          <w:sz w:val="24"/>
          <w:highlight w:val="none"/>
          <w:lang w:val="en-US" w:eastAsia="zh-CN"/>
        </w:rPr>
        <w:t>5 采装作业</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矿山一、二露天采场各选用ZL-50型装载机1台（共计2台）；另外为了降低运输公路的粉尘，以便为作业人员提供一个好工作环境，矿山一、二露天采场共选用CA11型5t洒水车1台，用于公路洒水作业。</w:t>
      </w:r>
    </w:p>
    <w:p>
      <w:pPr>
        <w:pStyle w:val="27"/>
        <w:rPr>
          <w:rFonts w:hint="default" w:ascii="Times New Roman" w:hAnsi="Times New Roman" w:eastAsia="宋体" w:cs="Times New Roman"/>
          <w:color w:val="auto"/>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bookmarkStart w:id="230" w:name="_Toc450827018"/>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drawing>
          <wp:inline distT="0" distB="0" distL="114300" distR="114300">
            <wp:extent cx="10577195" cy="8536940"/>
            <wp:effectExtent l="0" t="0" r="14605" b="16510"/>
            <wp:docPr id="69" name="图片 69" descr="图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3.1-1"/>
                    <pic:cNvPicPr>
                      <a:picLocks noChangeAspect="1"/>
                    </pic:cNvPicPr>
                  </pic:nvPicPr>
                  <pic:blipFill>
                    <a:blip r:embed="rId55"/>
                    <a:srcRect l="9032" t="6928" r="9418"/>
                    <a:stretch>
                      <a:fillRect/>
                    </a:stretch>
                  </pic:blipFill>
                  <pic:spPr>
                    <a:xfrm>
                      <a:off x="0" y="0"/>
                      <a:ext cx="10577195" cy="8536940"/>
                    </a:xfrm>
                    <a:prstGeom prst="rect">
                      <a:avLst/>
                    </a:prstGeom>
                  </pic:spPr>
                </pic:pic>
              </a:graphicData>
            </a:graphic>
          </wp:inline>
        </w:drawing>
      </w:r>
    </w:p>
    <w:p>
      <w:pPr>
        <w:jc w:val="center"/>
        <w:rPr>
          <w:rFonts w:hint="default"/>
          <w:color w:val="auto"/>
          <w:highlight w:val="none"/>
          <w:lang w:val="en-US" w:eastAsia="zh-CN"/>
        </w:rPr>
        <w:sectPr>
          <w:pgSz w:w="23811" w:h="16838" w:orient="landscape"/>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color w:val="auto"/>
          <w:sz w:val="21"/>
          <w:szCs w:val="21"/>
          <w:highlight w:val="none"/>
        </w:rPr>
        <w:t>图</w:t>
      </w:r>
      <w:r>
        <w:rPr>
          <w:rFonts w:hint="eastAsia" w:cs="Times New Roman"/>
          <w:b/>
          <w:color w:val="auto"/>
          <w:sz w:val="21"/>
          <w:szCs w:val="21"/>
          <w:highlight w:val="none"/>
          <w:lang w:val="en-US" w:eastAsia="zh-CN"/>
        </w:rPr>
        <w:t>3.3-</w:t>
      </w:r>
      <w:r>
        <w:rPr>
          <w:rFonts w:hint="default" w:ascii="Times New Roman" w:hAnsi="Times New Roman" w:eastAsia="宋体" w:cs="Times New Roman"/>
          <w:b/>
          <w:color w:val="auto"/>
          <w:sz w:val="21"/>
          <w:szCs w:val="21"/>
          <w:highlight w:val="none"/>
          <w:lang w:val="en-US" w:eastAsia="zh-CN"/>
        </w:rPr>
        <w:t>1露天开采终了及井上下工程对照图</w:t>
      </w:r>
      <w:r>
        <w:rPr>
          <w:rFonts w:hint="eastAsia" w:cs="Times New Roman"/>
          <w:b/>
          <w:color w:val="auto"/>
          <w:sz w:val="21"/>
          <w:szCs w:val="21"/>
          <w:highlight w:val="none"/>
          <w:lang w:val="en-US" w:eastAsia="zh-CN"/>
        </w:rPr>
        <w:t xml:space="preserve">  </w:t>
      </w:r>
    </w:p>
    <w:p>
      <w:pPr>
        <w:pStyle w:val="27"/>
        <w:rPr>
          <w:rFonts w:hint="default"/>
          <w:color w:val="auto"/>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drawing>
          <wp:inline distT="0" distB="0" distL="114300" distR="114300">
            <wp:extent cx="8856345" cy="4314190"/>
            <wp:effectExtent l="0" t="0" r="1905" b="10160"/>
            <wp:docPr id="109" name="图片 109" descr="露天一采场横、纵剖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露天一采场横、纵剖面图"/>
                    <pic:cNvPicPr>
                      <a:picLocks noChangeAspect="1"/>
                    </pic:cNvPicPr>
                  </pic:nvPicPr>
                  <pic:blipFill>
                    <a:blip r:embed="rId56"/>
                    <a:srcRect l="1039" t="18958" r="2362" b="14498"/>
                    <a:stretch>
                      <a:fillRect/>
                    </a:stretch>
                  </pic:blipFill>
                  <pic:spPr>
                    <a:xfrm>
                      <a:off x="0" y="0"/>
                      <a:ext cx="8856345" cy="43141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图</w:t>
      </w:r>
      <w:r>
        <w:rPr>
          <w:rFonts w:hint="eastAsia" w:cs="Times New Roman"/>
          <w:b/>
          <w:color w:val="auto"/>
          <w:sz w:val="21"/>
          <w:szCs w:val="21"/>
          <w:highlight w:val="none"/>
          <w:lang w:val="en-US" w:eastAsia="zh-CN"/>
        </w:rPr>
        <w:t>3.3-2</w:t>
      </w:r>
      <w:r>
        <w:rPr>
          <w:rFonts w:hint="default" w:ascii="Times New Roman" w:hAnsi="Times New Roman" w:eastAsia="宋体" w:cs="Times New Roman"/>
          <w:b/>
          <w:color w:val="auto"/>
          <w:sz w:val="21"/>
          <w:szCs w:val="21"/>
          <w:highlight w:val="none"/>
          <w:lang w:val="en-US" w:eastAsia="zh-CN"/>
        </w:rPr>
        <w:t>露天一采场横、纵剖面图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drawing>
          <wp:inline distT="0" distB="0" distL="114300" distR="114300">
            <wp:extent cx="8416925" cy="5342255"/>
            <wp:effectExtent l="0" t="0" r="3175" b="10795"/>
            <wp:docPr id="110" name="图片 110" descr="露天二采场横、纵剖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露天二采场横、纵剖面图"/>
                    <pic:cNvPicPr>
                      <a:picLocks noChangeAspect="1"/>
                    </pic:cNvPicPr>
                  </pic:nvPicPr>
                  <pic:blipFill>
                    <a:blip r:embed="rId57"/>
                    <a:srcRect l="3312" t="8699" r="2602" b="6858"/>
                    <a:stretch>
                      <a:fillRect/>
                    </a:stretch>
                  </pic:blipFill>
                  <pic:spPr>
                    <a:xfrm>
                      <a:off x="0" y="0"/>
                      <a:ext cx="8416925" cy="53422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rPr>
        <w:t>图</w:t>
      </w:r>
      <w:r>
        <w:rPr>
          <w:rFonts w:hint="eastAsia" w:cs="Times New Roman"/>
          <w:b/>
          <w:color w:val="auto"/>
          <w:sz w:val="21"/>
          <w:szCs w:val="21"/>
          <w:highlight w:val="none"/>
          <w:lang w:val="en-US" w:eastAsia="zh-CN"/>
        </w:rPr>
        <w:t>3.3-3</w:t>
      </w:r>
      <w:r>
        <w:rPr>
          <w:rFonts w:hint="default" w:ascii="Times New Roman" w:hAnsi="Times New Roman" w:eastAsia="宋体" w:cs="Times New Roman"/>
          <w:b/>
          <w:color w:val="auto"/>
          <w:sz w:val="21"/>
          <w:szCs w:val="21"/>
          <w:highlight w:val="none"/>
          <w:lang w:val="en-US" w:eastAsia="zh-CN"/>
        </w:rPr>
        <w:t>露天二采场横、纵剖面图</w:t>
      </w:r>
    </w:p>
    <w:p>
      <w:pPr>
        <w:bidi w:val="0"/>
        <w:rPr>
          <w:rFonts w:hint="default" w:ascii="Times New Roman" w:hAnsi="Times New Roman" w:eastAsia="宋体" w:cs="Times New Roman"/>
          <w:color w:val="auto"/>
          <w:highlight w:val="none"/>
        </w:rPr>
        <w:sectPr>
          <w:pgSz w:w="16840" w:h="11907" w:orient="landscape"/>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.1.8露天开采工艺流程图</w:t>
      </w:r>
    </w:p>
    <w:p>
      <w:pPr>
        <w:rPr>
          <w:rFonts w:hint="default" w:ascii="Times New Roman" w:hAnsi="Times New Roman" w:eastAsia="宋体" w:cs="Times New Roman"/>
          <w:color w:val="auto"/>
          <w:highlight w:val="none"/>
          <w:lang w:val="en-US" w:eastAsia="zh-CN"/>
        </w:rPr>
      </w:pPr>
    </w:p>
    <w:p>
      <w:pPr>
        <w:pStyle w:val="27"/>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04320" behindDoc="0" locked="0" layoutInCell="1" allowOverlap="1">
                <wp:simplePos x="0" y="0"/>
                <wp:positionH relativeFrom="column">
                  <wp:posOffset>3698240</wp:posOffset>
                </wp:positionH>
                <wp:positionV relativeFrom="paragraph">
                  <wp:posOffset>69215</wp:posOffset>
                </wp:positionV>
                <wp:extent cx="470535" cy="311785"/>
                <wp:effectExtent l="0" t="0" r="0" b="0"/>
                <wp:wrapNone/>
                <wp:docPr id="60" name="矩形 60"/>
                <wp:cNvGraphicFramePr/>
                <a:graphic xmlns:a="http://schemas.openxmlformats.org/drawingml/2006/main">
                  <a:graphicData uri="http://schemas.microsoft.com/office/word/2010/wordprocessingShape">
                    <wps:wsp>
                      <wps:cNvSpPr/>
                      <wps:spPr>
                        <a:xfrm>
                          <a:off x="0" y="0"/>
                          <a:ext cx="470535" cy="311785"/>
                        </a:xfrm>
                        <a:prstGeom prst="rect">
                          <a:avLst/>
                        </a:prstGeom>
                        <a:noFill/>
                        <a:ln>
                          <a:noFill/>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S1</w:t>
                            </w:r>
                          </w:p>
                        </w:txbxContent>
                      </wps:txbx>
                      <wps:bodyPr upright="1"/>
                    </wps:wsp>
                  </a:graphicData>
                </a:graphic>
              </wp:anchor>
            </w:drawing>
          </mc:Choice>
          <mc:Fallback>
            <w:pict>
              <v:rect id="_x0000_s1026" o:spid="_x0000_s1026" o:spt="1" style="position:absolute;left:0pt;margin-left:291.2pt;margin-top:5.45pt;height:24.55pt;width:37.05pt;z-index:251704320;mso-width-relative:page;mso-height-relative:page;" filled="f" stroked="f" coordsize="21600,21600" o:gfxdata="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A9JXRz2QAAAAkBAAAPAAAA&#10;AAAAAAEAIAAAACIAAABkcnMvZG93bnJldi54bWxQSwECFAAUAAAACACHTuJAHFoI56IBAABCAwAA&#10;DgAAAAAAAAABACAAAAAoAQAAZHJzL2Uyb0RvYy54bWxQSwUGAAAAAAYABgBZAQAAPAUAAAAA&#10;">
                <v:fill on="f" focussize="0,0"/>
                <v:stroke on="f"/>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S1</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3047365</wp:posOffset>
                </wp:positionH>
                <wp:positionV relativeFrom="paragraph">
                  <wp:posOffset>239395</wp:posOffset>
                </wp:positionV>
                <wp:extent cx="632460" cy="635"/>
                <wp:effectExtent l="0" t="48895" r="15240" b="64770"/>
                <wp:wrapNone/>
                <wp:docPr id="178" name="直接连接符 178"/>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39.95pt;margin-top:18.85pt;height:0.05pt;width:49.8pt;z-index:251703296;mso-width-relative:page;mso-height-relative:page;" filled="f" stroked="t" coordsize="21600,21600" o:gfxdata="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IMTDzWAAAACQEAAA8AAAAAAAAAAQAgAAAAIgAAAGRycy9kb3ducmV2&#10;LnhtbFBLAQIUABQAAAAIAIdO4kBsAifN/gEAAOoDAAAOAAAAAAAAAAEAIAAAACUBAABkcnMvZTJv&#10;RG9jLnhtbFBLBQYAAAAABgAGAFkBAACVBQAAAAA=&#10;">
                <v:fill on="f" focussize="0,0"/>
                <v:stroke color="#FF0000" joinstyle="round" endarrow="open"/>
                <v:imagedata o:title=""/>
                <o:lock v:ext="edit" aspectratio="f"/>
              </v:line>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1947545</wp:posOffset>
                </wp:positionH>
                <wp:positionV relativeFrom="paragraph">
                  <wp:posOffset>67945</wp:posOffset>
                </wp:positionV>
                <wp:extent cx="1099820" cy="299720"/>
                <wp:effectExtent l="4445" t="4445" r="19685" b="19685"/>
                <wp:wrapNone/>
                <wp:docPr id="62" name="矩形 62"/>
                <wp:cNvGraphicFramePr/>
                <a:graphic xmlns:a="http://schemas.openxmlformats.org/drawingml/2006/main">
                  <a:graphicData uri="http://schemas.microsoft.com/office/word/2010/wordprocessingShape">
                    <wps:wsp>
                      <wps:cNvSpPr/>
                      <wps:spPr>
                        <a:xfrm>
                          <a:off x="0" y="0"/>
                          <a:ext cx="109982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Cs w:val="21"/>
                                <w:lang w:eastAsia="zh-CN"/>
                              </w:rPr>
                            </w:pPr>
                            <w:r>
                              <w:rPr>
                                <w:rFonts w:hint="eastAsia" w:ascii="宋体" w:hAnsi="宋体" w:cs="宋体"/>
                                <w:szCs w:val="21"/>
                                <w:lang w:eastAsia="zh-CN"/>
                              </w:rPr>
                              <w:t>表土剥离</w:t>
                            </w:r>
                          </w:p>
                        </w:txbxContent>
                      </wps:txbx>
                      <wps:bodyPr upright="1"/>
                    </wps:wsp>
                  </a:graphicData>
                </a:graphic>
              </wp:anchor>
            </w:drawing>
          </mc:Choice>
          <mc:Fallback>
            <w:pict>
              <v:rect id="_x0000_s1026" o:spid="_x0000_s1026" o:spt="1" style="position:absolute;left:0pt;margin-left:153.35pt;margin-top:5.35pt;height:23.6pt;width:86.6pt;z-index:251702272;mso-width-relative:page;mso-height-relative:page;" fillcolor="#FFFFFF" filled="t" stroked="t" coordsize="21600,21600" o:gfxdata="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qDwys1wAAAAkBAAAPAAAAAAAAAAEAIAAAACIAAABkcnMvZG93&#10;bnJldi54bWxQSwECFAAUAAAACACHTuJAUJWNcwECAAArBAAADgAAAAAAAAABACAAAAAmAQAAZHJz&#10;L2Uyb0RvYy54bWxQSwUGAAAAAAYABgBZAQAAmQU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Cs w:val="21"/>
                          <w:lang w:eastAsia="zh-CN"/>
                        </w:rPr>
                      </w:pPr>
                      <w:r>
                        <w:rPr>
                          <w:rFonts w:hint="eastAsia" w:ascii="宋体" w:hAnsi="宋体" w:cs="宋体"/>
                          <w:szCs w:val="21"/>
                          <w:lang w:eastAsia="zh-CN"/>
                        </w:rPr>
                        <w:t>表土剥离</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01248" behindDoc="0" locked="0" layoutInCell="1" allowOverlap="1">
                <wp:simplePos x="0" y="0"/>
                <wp:positionH relativeFrom="column">
                  <wp:posOffset>2505710</wp:posOffset>
                </wp:positionH>
                <wp:positionV relativeFrom="paragraph">
                  <wp:posOffset>364490</wp:posOffset>
                </wp:positionV>
                <wp:extent cx="635" cy="378460"/>
                <wp:effectExtent l="37465" t="0" r="38100" b="2540"/>
                <wp:wrapNone/>
                <wp:docPr id="179" name="直接箭头连接符 179"/>
                <wp:cNvGraphicFramePr/>
                <a:graphic xmlns:a="http://schemas.openxmlformats.org/drawingml/2006/main">
                  <a:graphicData uri="http://schemas.microsoft.com/office/word/2010/wordprocessingShape">
                    <wps:wsp>
                      <wps:cNvCnPr/>
                      <wps:spPr>
                        <a:xfrm>
                          <a:off x="0" y="0"/>
                          <a:ext cx="635" cy="3784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97.3pt;margin-top:28.7pt;height:29.8pt;width:0.05pt;z-index:251701248;mso-width-relative:page;mso-height-relative:page;" filled="f" stroked="t" coordsize="21600,21600" o:gfxdata="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qcvOHaAAAACgEAAA8AAAAAAAAAAQAgAAAA&#10;IgAAAGRycy9kb3ducmV2LnhtbFBLAQIUABQAAAAIAIdO4kClWl4ACQIAAPUDAAAOAAAAAAAAAAEA&#10;IAAAACkBAABkcnMvZTJvRG9jLnhtbFBLBQYAAAAABgAGAFkBAACkBQAAAAA=&#10;">
                <v:fill on="f" focussize="0,0"/>
                <v:stroke color="#000000" joinstyle="round" endarrow="block"/>
                <v:imagedata o:title=""/>
                <o:lock v:ext="edit" aspectratio="f"/>
              </v:shape>
            </w:pict>
          </mc:Fallback>
        </mc:AlternateContent>
      </w:r>
    </w:p>
    <w:p>
      <w:pPr>
        <w:spacing w:line="500" w:lineRule="exact"/>
        <w:ind w:firstLine="482" w:firstLineChars="200"/>
        <w:rPr>
          <w:rFonts w:hint="default" w:ascii="Times New Roman" w:hAnsi="Times New Roman" w:eastAsia="宋体" w:cs="Times New Roman"/>
          <w:b/>
          <w:color w:val="auto"/>
          <w:sz w:val="24"/>
          <w:highlight w:val="none"/>
        </w:rPr>
      </w:pPr>
    </w:p>
    <w:p>
      <w:pPr>
        <w:spacing w:line="500" w:lineRule="exact"/>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84864" behindDoc="0" locked="0" layoutInCell="1" allowOverlap="1">
                <wp:simplePos x="0" y="0"/>
                <wp:positionH relativeFrom="column">
                  <wp:posOffset>1983740</wp:posOffset>
                </wp:positionH>
                <wp:positionV relativeFrom="paragraph">
                  <wp:posOffset>18415</wp:posOffset>
                </wp:positionV>
                <wp:extent cx="1061720" cy="299720"/>
                <wp:effectExtent l="4445" t="4445" r="19685" b="19685"/>
                <wp:wrapNone/>
                <wp:docPr id="180" name="矩形 180"/>
                <wp:cNvGraphicFramePr/>
                <a:graphic xmlns:a="http://schemas.openxmlformats.org/drawingml/2006/main">
                  <a:graphicData uri="http://schemas.microsoft.com/office/word/2010/wordprocessingShape">
                    <wps:wsp>
                      <wps:cNvSpPr/>
                      <wps:spPr>
                        <a:xfrm>
                          <a:off x="0" y="0"/>
                          <a:ext cx="106172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Cs w:val="21"/>
                              </w:rPr>
                            </w:pPr>
                            <w:r>
                              <w:rPr>
                                <w:rFonts w:hint="eastAsia" w:ascii="宋体" w:hAnsi="宋体" w:eastAsia="宋体" w:cs="宋体"/>
                                <w:szCs w:val="21"/>
                              </w:rPr>
                              <w:t>穿孔</w:t>
                            </w:r>
                            <w:r>
                              <w:rPr>
                                <w:rFonts w:hint="default" w:ascii="Times New Roman" w:hAnsi="Times New Roman" w:eastAsia="宋体" w:cs="Times New Roman"/>
                                <w:szCs w:val="21"/>
                              </w:rPr>
                              <w:t>、凿岩</w:t>
                            </w:r>
                          </w:p>
                        </w:txbxContent>
                      </wps:txbx>
                      <wps:bodyPr upright="1"/>
                    </wps:wsp>
                  </a:graphicData>
                </a:graphic>
              </wp:anchor>
            </w:drawing>
          </mc:Choice>
          <mc:Fallback>
            <w:pict>
              <v:rect id="_x0000_s1026" o:spid="_x0000_s1026" o:spt="1" style="position:absolute;left:0pt;margin-left:156.2pt;margin-top:1.45pt;height:23.6pt;width:83.6pt;z-index:251684864;mso-width-relative:page;mso-height-relative:page;" fillcolor="#FFFFFF" filled="t" stroked="t" coordsize="21600,21600" o:gfxdata="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h4NNPXAAAACAEAAA8AAAAAAAAAAQAgAAAAIgAAAGRycy9kb3du&#10;cmV2LnhtbFBLAQIUABQAAAAIAIdO4kASfFy9AAIAAC0EAAAOAAAAAAAAAAEAIAAAACYBAABkcnMv&#10;ZTJvRG9jLnhtbFBLBQYAAAAABgAGAFkBAACYBQ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Cs w:val="21"/>
                        </w:rPr>
                      </w:pPr>
                      <w:r>
                        <w:rPr>
                          <w:rFonts w:hint="eastAsia" w:ascii="宋体" w:hAnsi="宋体" w:eastAsia="宋体" w:cs="宋体"/>
                          <w:szCs w:val="21"/>
                        </w:rPr>
                        <w:t>穿孔</w:t>
                      </w:r>
                      <w:r>
                        <w:rPr>
                          <w:rFonts w:hint="default" w:ascii="Times New Roman" w:hAnsi="Times New Roman" w:eastAsia="宋体" w:cs="Times New Roman"/>
                          <w:szCs w:val="21"/>
                        </w:rPr>
                        <w:t>、凿岩</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94080" behindDoc="0" locked="0" layoutInCell="1" allowOverlap="1">
                <wp:simplePos x="0" y="0"/>
                <wp:positionH relativeFrom="column">
                  <wp:posOffset>3781425</wp:posOffset>
                </wp:positionH>
                <wp:positionV relativeFrom="paragraph">
                  <wp:posOffset>5080</wp:posOffset>
                </wp:positionV>
                <wp:extent cx="720725" cy="311785"/>
                <wp:effectExtent l="0" t="0" r="0" b="0"/>
                <wp:wrapNone/>
                <wp:docPr id="31" name="矩形 31"/>
                <wp:cNvGraphicFramePr/>
                <a:graphic xmlns:a="http://schemas.openxmlformats.org/drawingml/2006/main">
                  <a:graphicData uri="http://schemas.microsoft.com/office/word/2010/wordprocessingShape">
                    <wps:wsp>
                      <wps:cNvSpPr/>
                      <wps:spPr>
                        <a:xfrm>
                          <a:off x="0" y="0"/>
                          <a:ext cx="720725" cy="311785"/>
                        </a:xfrm>
                        <a:prstGeom prst="rect">
                          <a:avLst/>
                        </a:prstGeom>
                        <a:noFill/>
                        <a:ln>
                          <a:noFill/>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G1、N1</w:t>
                            </w:r>
                          </w:p>
                        </w:txbxContent>
                      </wps:txbx>
                      <wps:bodyPr upright="1"/>
                    </wps:wsp>
                  </a:graphicData>
                </a:graphic>
              </wp:anchor>
            </w:drawing>
          </mc:Choice>
          <mc:Fallback>
            <w:pict>
              <v:rect id="_x0000_s1026" o:spid="_x0000_s1026" o:spt="1" style="position:absolute;left:0pt;margin-left:297.75pt;margin-top:0.4pt;height:24.55pt;width:56.75pt;z-index:251694080;mso-width-relative:page;mso-height-relative:page;" filled="f" stroked="f" coordsize="21600,21600" o:gfxdata="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uUApbtgAAAAHAQAADwAAAAAA&#10;AAABACAAAAAiAAAAZHJzL2Rvd25yZXYueG1sUEsBAhQAFAAAAAgAh07iQGqkWlmhAQAAQgMAAA4A&#10;AAAAAAAAAQAgAAAAJwEAAGRycy9lMm9Eb2MueG1sUEsFBgAAAAAGAAYAWQEAADoFAAAAAA==&#10;">
                <v:fill on="f" focussize="0,0"/>
                <v:stroke on="f"/>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G1、N1</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3082925</wp:posOffset>
                </wp:positionH>
                <wp:positionV relativeFrom="paragraph">
                  <wp:posOffset>169545</wp:posOffset>
                </wp:positionV>
                <wp:extent cx="632460" cy="635"/>
                <wp:effectExtent l="0" t="48895" r="15240" b="64770"/>
                <wp:wrapNone/>
                <wp:docPr id="174" name="直接连接符 174"/>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42.75pt;margin-top:13.35pt;height:0.05pt;width:49.8pt;z-index:251693056;mso-width-relative:page;mso-height-relative:page;" filled="f" stroked="t" coordsize="21600,21600" o:gfxdata="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4vFMzVAAAACQEAAA8AAAAAAAAAAQAgAAAAIgAAAGRycy9kb3ducmV2&#10;LnhtbFBLAQIUABQAAAAIAIdO4kBkUwCI/wEAAOoDAAAOAAAAAAAAAAEAIAAAACQBAABkcnMvZTJv&#10;RG9jLnhtbFBLBQYAAAAABgAGAFkBAACVBQAAAAA=&#10;">
                <v:fill on="f" focussize="0,0"/>
                <v:stroke color="#FF0000" joinstyle="round" endarrow="open"/>
                <v:imagedata o:title=""/>
                <o:lock v:ext="edit" aspectratio="f"/>
              </v:line>
            </w:pict>
          </mc:Fallback>
        </mc:AlternateContent>
      </w:r>
    </w:p>
    <w:p>
      <w:pPr>
        <w:spacing w:line="500" w:lineRule="exact"/>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85888" behindDoc="0" locked="0" layoutInCell="1" allowOverlap="1">
                <wp:simplePos x="0" y="0"/>
                <wp:positionH relativeFrom="column">
                  <wp:posOffset>2520315</wp:posOffset>
                </wp:positionH>
                <wp:positionV relativeFrom="paragraph">
                  <wp:posOffset>15875</wp:posOffset>
                </wp:positionV>
                <wp:extent cx="635" cy="378460"/>
                <wp:effectExtent l="37465" t="0" r="38100" b="2540"/>
                <wp:wrapNone/>
                <wp:docPr id="181" name="直接箭头连接符 181"/>
                <wp:cNvGraphicFramePr/>
                <a:graphic xmlns:a="http://schemas.openxmlformats.org/drawingml/2006/main">
                  <a:graphicData uri="http://schemas.microsoft.com/office/word/2010/wordprocessingShape">
                    <wps:wsp>
                      <wps:cNvCnPr/>
                      <wps:spPr>
                        <a:xfrm>
                          <a:off x="0" y="0"/>
                          <a:ext cx="635" cy="3784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98.45pt;margin-top:1.25pt;height:29.8pt;width:0.05pt;z-index:251685888;mso-width-relative:page;mso-height-relative:page;" filled="f" stroked="t" coordsize="21600,21600" o:gfxdata="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9b689kAAAAIAQAADwAAAAAAAAABACAAAAAi&#10;AAAAZHJzL2Rvd25yZXYueG1sUEsBAhQAFAAAAAgAh07iQFu8Nq8JAgAA9QMAAA4AAAAAAAAAAQAg&#10;AAAAKAEAAGRycy9lMm9Eb2MueG1sUEsFBgAAAAAGAAYAWQEAAKMFAAAAAA==&#10;">
                <v:fill on="f" focussize="0,0"/>
                <v:stroke color="#000000" joinstyle="round" endarrow="block"/>
                <v:imagedata o:title=""/>
                <o:lock v:ext="edit" aspectratio="f"/>
              </v:shape>
            </w:pict>
          </mc:Fallback>
        </mc:AlternateContent>
      </w:r>
    </w:p>
    <w:p>
      <w:pPr>
        <w:spacing w:line="500" w:lineRule="exact"/>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08416" behindDoc="0" locked="0" layoutInCell="1" allowOverlap="1">
                <wp:simplePos x="0" y="0"/>
                <wp:positionH relativeFrom="column">
                  <wp:posOffset>723900</wp:posOffset>
                </wp:positionH>
                <wp:positionV relativeFrom="paragraph">
                  <wp:posOffset>130175</wp:posOffset>
                </wp:positionV>
                <wp:extent cx="683895" cy="311785"/>
                <wp:effectExtent l="0" t="0" r="0" b="0"/>
                <wp:wrapNone/>
                <wp:docPr id="75" name="矩形 75"/>
                <wp:cNvGraphicFramePr/>
                <a:graphic xmlns:a="http://schemas.openxmlformats.org/drawingml/2006/main">
                  <a:graphicData uri="http://schemas.microsoft.com/office/word/2010/wordprocessingShape">
                    <wps:wsp>
                      <wps:cNvSpPr/>
                      <wps:spPr>
                        <a:xfrm>
                          <a:off x="0" y="0"/>
                          <a:ext cx="683895" cy="311785"/>
                        </a:xfrm>
                        <a:prstGeom prst="rect">
                          <a:avLst/>
                        </a:prstGeom>
                        <a:noFill/>
                        <a:ln>
                          <a:noFill/>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G4、W1</w:t>
                            </w:r>
                          </w:p>
                        </w:txbxContent>
                      </wps:txbx>
                      <wps:bodyPr upright="1"/>
                    </wps:wsp>
                  </a:graphicData>
                </a:graphic>
              </wp:anchor>
            </w:drawing>
          </mc:Choice>
          <mc:Fallback>
            <w:pict>
              <v:rect id="_x0000_s1026" o:spid="_x0000_s1026" o:spt="1" style="position:absolute;left:0pt;margin-left:57pt;margin-top:10.25pt;height:24.55pt;width:53.85pt;z-index:251708416;mso-width-relative:page;mso-height-relative:page;" filled="f" stroked="f" coordsize="21600,21600" o:gfxdata="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thY8V9kAAAAJAQAADwAA&#10;AAAAAAABACAAAAAiAAAAZHJzL2Rvd25yZXYueG1sUEsBAhQAFAAAAAgAh07iQKAodtCjAQAAQgMA&#10;AA4AAAAAAAAAAQAgAAAAKAEAAGRycy9lMm9Eb2MueG1sUEsFBgAAAAAGAAYAWQEAAD0FAAAAAA==&#10;">
                <v:fill on="f" focussize="0,0"/>
                <v:stroke on="f"/>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G4、W1</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86912" behindDoc="0" locked="0" layoutInCell="1" allowOverlap="1">
                <wp:simplePos x="0" y="0"/>
                <wp:positionH relativeFrom="column">
                  <wp:posOffset>2155190</wp:posOffset>
                </wp:positionH>
                <wp:positionV relativeFrom="paragraph">
                  <wp:posOffset>84455</wp:posOffset>
                </wp:positionV>
                <wp:extent cx="640080" cy="288925"/>
                <wp:effectExtent l="5080" t="4445" r="21590" b="11430"/>
                <wp:wrapNone/>
                <wp:docPr id="34" name="矩形 34"/>
                <wp:cNvGraphicFramePr/>
                <a:graphic xmlns:a="http://schemas.openxmlformats.org/drawingml/2006/main">
                  <a:graphicData uri="http://schemas.microsoft.com/office/word/2010/wordprocessingShape">
                    <wps:wsp>
                      <wps:cNvSpPr/>
                      <wps:spPr>
                        <a:xfrm>
                          <a:off x="0" y="0"/>
                          <a:ext cx="640080" cy="2889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爆破</w:t>
                            </w:r>
                          </w:p>
                        </w:txbxContent>
                      </wps:txbx>
                      <wps:bodyPr upright="1"/>
                    </wps:wsp>
                  </a:graphicData>
                </a:graphic>
              </wp:anchor>
            </w:drawing>
          </mc:Choice>
          <mc:Fallback>
            <w:pict>
              <v:rect id="_x0000_s1026" o:spid="_x0000_s1026" o:spt="1" style="position:absolute;left:0pt;margin-left:169.7pt;margin-top:6.65pt;height:22.75pt;width:50.4pt;z-index:251686912;mso-width-relative:page;mso-height-relative:page;" fillcolor="#FFFFFF" filled="t" stroked="t" coordsize="21600,21600" o:gfxdata="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mfYCD1wAAAAkBAAAPAAAAAAAAAAEAIAAAACIAAABkcnMvZG93&#10;bnJldi54bWxQSwECFAAUAAAACACHTuJAc1mMZAECAAAqBAAADgAAAAAAAAABACAAAAAmAQAAZHJz&#10;L2Uyb0RvYy54bWxQSwUGAAAAAAYABgBZAQAAmQUAAAAA&#10;">
                <v:fill on="t" focussize="0,0"/>
                <v:stroke color="#000000" joinstyle="miter"/>
                <v:imagedata o:title=""/>
                <o:lock v:ext="edit" aspectratio="f"/>
                <v:textbox>
                  <w:txbxContent>
                    <w:p>
                      <w:pPr>
                        <w:spacing w:line="240" w:lineRule="auto"/>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爆破</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5104" behindDoc="0" locked="0" layoutInCell="1" allowOverlap="1">
                <wp:simplePos x="0" y="0"/>
                <wp:positionH relativeFrom="column">
                  <wp:posOffset>2820035</wp:posOffset>
                </wp:positionH>
                <wp:positionV relativeFrom="paragraph">
                  <wp:posOffset>235585</wp:posOffset>
                </wp:positionV>
                <wp:extent cx="632460" cy="635"/>
                <wp:effectExtent l="0" t="48895" r="15240" b="64770"/>
                <wp:wrapNone/>
                <wp:docPr id="77" name="直接连接符 77"/>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22.05pt;margin-top:18.55pt;height:0.05pt;width:49.8pt;z-index:251695104;mso-width-relative:page;mso-height-relative:page;" filled="f" stroked="t" coordsize="21600,21600" o:gfxdata="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oUnKjVAAAACQEAAA8AAAAAAAAAAQAgAAAAIgAAAGRycy9kb3ducmV2&#10;LnhtbFBLAQIUABQAAAAIAIdO4kA9GAad/wEAAOgDAAAOAAAAAAAAAAEAIAAAACQBAABkcnMvZTJv&#10;RG9jLnhtbFBLBQYAAAAABgAGAFkBAACVBQAAAAA=&#10;">
                <v:fill on="f" focussize="0,0"/>
                <v:stroke color="#FF0000" joinstyle="round" endarrow="open"/>
                <v:imagedata o:title=""/>
                <o:lock v:ext="edit" aspectratio="f"/>
              </v:line>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96128" behindDoc="0" locked="0" layoutInCell="1" allowOverlap="1">
                <wp:simplePos x="0" y="0"/>
                <wp:positionH relativeFrom="column">
                  <wp:posOffset>3526155</wp:posOffset>
                </wp:positionH>
                <wp:positionV relativeFrom="paragraph">
                  <wp:posOffset>74930</wp:posOffset>
                </wp:positionV>
                <wp:extent cx="721360" cy="311785"/>
                <wp:effectExtent l="0" t="0" r="0" b="0"/>
                <wp:wrapNone/>
                <wp:docPr id="56" name="矩形 56"/>
                <wp:cNvGraphicFramePr/>
                <a:graphic xmlns:a="http://schemas.openxmlformats.org/drawingml/2006/main">
                  <a:graphicData uri="http://schemas.microsoft.com/office/word/2010/wordprocessingShape">
                    <wps:wsp>
                      <wps:cNvSpPr/>
                      <wps:spPr>
                        <a:xfrm>
                          <a:off x="0" y="0"/>
                          <a:ext cx="721360" cy="311785"/>
                        </a:xfrm>
                        <a:prstGeom prst="rect">
                          <a:avLst/>
                        </a:prstGeom>
                        <a:noFill/>
                        <a:ln>
                          <a:noFill/>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G2、N2</w:t>
                            </w:r>
                          </w:p>
                        </w:txbxContent>
                      </wps:txbx>
                      <wps:bodyPr upright="1"/>
                    </wps:wsp>
                  </a:graphicData>
                </a:graphic>
              </wp:anchor>
            </w:drawing>
          </mc:Choice>
          <mc:Fallback>
            <w:pict>
              <v:rect id="_x0000_s1026" o:spid="_x0000_s1026" o:spt="1" style="position:absolute;left:0pt;margin-left:277.65pt;margin-top:5.9pt;height:24.55pt;width:56.8pt;z-index:251696128;mso-width-relative:page;mso-height-relative:page;" filled="f" stroked="f" coordsize="21600,21600" o:gfxdata="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oxSHr9oAAAAJAQAADwAA&#10;AAAAAAABACAAAAAiAAAAZHJzL2Rvd25yZXYueG1sUEsBAhQAFAAAAAgAh07iQBkR/XeiAQAAQgMA&#10;AA4AAAAAAAAAAQAgAAAAKQEAAGRycy9lMm9Eb2MueG1sUEsFBgAAAAAGAAYAWQEAAD0FAAAAAA==&#10;">
                <v:fill on="f" focussize="0,0"/>
                <v:stroke on="f"/>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G2、N2</w:t>
                      </w:r>
                    </w:p>
                  </w:txbxContent>
                </v:textbox>
              </v:rect>
            </w:pict>
          </mc:Fallback>
        </mc:AlternateContent>
      </w:r>
    </w:p>
    <w:p>
      <w:pPr>
        <w:spacing w:line="500" w:lineRule="exact"/>
        <w:ind w:firstLine="480"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7392" behindDoc="0" locked="0" layoutInCell="1" allowOverlap="1">
                <wp:simplePos x="0" y="0"/>
                <wp:positionH relativeFrom="column">
                  <wp:posOffset>1065530</wp:posOffset>
                </wp:positionH>
                <wp:positionV relativeFrom="paragraph">
                  <wp:posOffset>135890</wp:posOffset>
                </wp:positionV>
                <wp:extent cx="635" cy="389890"/>
                <wp:effectExtent l="48895" t="0" r="64770" b="10160"/>
                <wp:wrapNone/>
                <wp:docPr id="80" name="直接连接符 80"/>
                <wp:cNvGraphicFramePr/>
                <a:graphic xmlns:a="http://schemas.openxmlformats.org/drawingml/2006/main">
                  <a:graphicData uri="http://schemas.microsoft.com/office/word/2010/wordprocessingShape">
                    <wps:wsp>
                      <wps:cNvCnPr/>
                      <wps:spPr>
                        <a:xfrm flipV="1">
                          <a:off x="0" y="0"/>
                          <a:ext cx="635" cy="389890"/>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83.9pt;margin-top:10.7pt;height:30.7pt;width:0.05pt;z-index:251707392;mso-width-relative:page;mso-height-relative:page;" filled="f" stroked="t" coordsize="21600,21600" o:gfxdata="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WuuQ/NcAAAAJAQAADwAAAAAAAAABACAAAAAiAAAA&#10;ZHJzL2Rvd25yZXYueG1sUEsBAhQAFAAAAAgAh07iQKTzf8EIAgAA8gMAAA4AAAAAAAAAAQAgAAAA&#10;JgEAAGRycy9lMm9Eb2MueG1sUEsFBgAAAAAGAAYAWQEAAKAFAAAAAA==&#10;">
                <v:fill on="f" focussize="0,0"/>
                <v:stroke color="#FF0000" joinstyle="round" endarrow="open"/>
                <v:imagedata o:title=""/>
                <o:lock v:ext="edit" aspectratio="f"/>
              </v:line>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87936" behindDoc="0" locked="0" layoutInCell="1" allowOverlap="1">
                <wp:simplePos x="0" y="0"/>
                <wp:positionH relativeFrom="column">
                  <wp:posOffset>2499360</wp:posOffset>
                </wp:positionH>
                <wp:positionV relativeFrom="paragraph">
                  <wp:posOffset>86360</wp:posOffset>
                </wp:positionV>
                <wp:extent cx="0" cy="433070"/>
                <wp:effectExtent l="38100" t="0" r="38100" b="5080"/>
                <wp:wrapNone/>
                <wp:docPr id="58" name="直接箭头连接符 58"/>
                <wp:cNvGraphicFramePr/>
                <a:graphic xmlns:a="http://schemas.openxmlformats.org/drawingml/2006/main">
                  <a:graphicData uri="http://schemas.microsoft.com/office/word/2010/wordprocessingShape">
                    <wps:wsp>
                      <wps:cNvCnPr/>
                      <wps:spPr>
                        <a:xfrm>
                          <a:off x="0" y="0"/>
                          <a:ext cx="0" cy="4330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96.8pt;margin-top:6.8pt;height:34.1pt;width:0pt;z-index:251687936;mso-width-relative:page;mso-height-relative:page;" filled="f" stroked="t" coordsize="21600,21600" o:gfxdata="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YLw0dcAAAAJAQAADwAAAAAAAAABACAAAAAiAAAAZHJz&#10;L2Rvd25yZXYueG1sUEsBAhQAFAAAAAgAh07iQO74MmoFAgAA8QMAAA4AAAAAAAAAAQAgAAAAJgEA&#10;AGRycy9lMm9Eb2MueG1sUEsFBgAAAAAGAAYAWQEAAJ0FAAAAAA==&#10;">
                <v:fill on="f" focussize="0,0"/>
                <v:stroke color="#000000" joinstyle="round" endarrow="block"/>
                <v:imagedata o:title=""/>
                <o:lock v:ext="edit" aspectratio="f"/>
              </v:shape>
            </w:pict>
          </mc:Fallback>
        </mc:AlternateContent>
      </w:r>
    </w:p>
    <w:p>
      <w:pPr>
        <w:spacing w:line="500" w:lineRule="exact"/>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56544" behindDoc="0" locked="0" layoutInCell="1" allowOverlap="1">
                <wp:simplePos x="0" y="0"/>
                <wp:positionH relativeFrom="column">
                  <wp:posOffset>1702435</wp:posOffset>
                </wp:positionH>
                <wp:positionV relativeFrom="paragraph">
                  <wp:posOffset>80645</wp:posOffset>
                </wp:positionV>
                <wp:extent cx="470535" cy="311785"/>
                <wp:effectExtent l="0" t="0" r="0" b="0"/>
                <wp:wrapNone/>
                <wp:docPr id="102" name="矩形 102"/>
                <wp:cNvGraphicFramePr/>
                <a:graphic xmlns:a="http://schemas.openxmlformats.org/drawingml/2006/main">
                  <a:graphicData uri="http://schemas.microsoft.com/office/word/2010/wordprocessingShape">
                    <wps:wsp>
                      <wps:cNvSpPr/>
                      <wps:spPr>
                        <a:xfrm>
                          <a:off x="0" y="0"/>
                          <a:ext cx="470535" cy="311785"/>
                        </a:xfrm>
                        <a:prstGeom prst="rect">
                          <a:avLst/>
                        </a:prstGeom>
                        <a:noFill/>
                        <a:ln>
                          <a:noFill/>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S2</w:t>
                            </w:r>
                          </w:p>
                        </w:txbxContent>
                      </wps:txbx>
                      <wps:bodyPr upright="1"/>
                    </wps:wsp>
                  </a:graphicData>
                </a:graphic>
              </wp:anchor>
            </w:drawing>
          </mc:Choice>
          <mc:Fallback>
            <w:pict>
              <v:rect id="_x0000_s1026" o:spid="_x0000_s1026" o:spt="1" style="position:absolute;left:0pt;margin-left:134.05pt;margin-top:6.35pt;height:24.55pt;width:37.05pt;z-index:251756544;mso-width-relative:page;mso-height-relative:page;" filled="f" stroked="f" coordsize="21600,21600" o:gfxdata="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cg7iUtkAAAAJAQAADwAA&#10;AAAAAAABACAAAAAiAAAAZHJzL2Rvd25yZXYueG1sUEsBAhQAFAAAAAgAh07iQBdF4pqjAQAARAMA&#10;AA4AAAAAAAAAAQAgAAAAKAEAAGRycy9lMm9Eb2MueG1sUEsFBgAAAAAGAAYAWQEAAD0FAAAAAA==&#10;">
                <v:fill on="f" focussize="0,0"/>
                <v:stroke on="f"/>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S2</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697230</wp:posOffset>
                </wp:positionH>
                <wp:positionV relativeFrom="paragraph">
                  <wp:posOffset>207010</wp:posOffset>
                </wp:positionV>
                <wp:extent cx="819150" cy="320040"/>
                <wp:effectExtent l="4445" t="4445" r="14605" b="18415"/>
                <wp:wrapNone/>
                <wp:docPr id="57" name="矩形 57"/>
                <wp:cNvGraphicFramePr/>
                <a:graphic xmlns:a="http://schemas.openxmlformats.org/drawingml/2006/main">
                  <a:graphicData uri="http://schemas.microsoft.com/office/word/2010/wordprocessingShape">
                    <wps:wsp>
                      <wps:cNvSpPr/>
                      <wps:spPr>
                        <a:xfrm>
                          <a:off x="0" y="0"/>
                          <a:ext cx="819150"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Cs w:val="21"/>
                                <w:lang w:eastAsia="zh-CN"/>
                              </w:rPr>
                            </w:pPr>
                            <w:r>
                              <w:rPr>
                                <w:rFonts w:hint="eastAsia" w:ascii="宋体" w:hAnsi="宋体" w:cs="宋体"/>
                                <w:szCs w:val="21"/>
                                <w:lang w:val="en-US" w:eastAsia="zh-CN"/>
                              </w:rPr>
                              <w:t>排岩</w:t>
                            </w:r>
                            <w:r>
                              <w:rPr>
                                <w:rFonts w:hint="eastAsia" w:ascii="宋体" w:hAnsi="宋体" w:cs="宋体"/>
                                <w:szCs w:val="21"/>
                                <w:lang w:eastAsia="zh-CN"/>
                              </w:rPr>
                              <w:t>场</w:t>
                            </w:r>
                          </w:p>
                        </w:txbxContent>
                      </wps:txbx>
                      <wps:bodyPr upright="1"/>
                    </wps:wsp>
                  </a:graphicData>
                </a:graphic>
              </wp:anchor>
            </w:drawing>
          </mc:Choice>
          <mc:Fallback>
            <w:pict>
              <v:rect id="_x0000_s1026" o:spid="_x0000_s1026" o:spt="1" style="position:absolute;left:0pt;margin-left:54.9pt;margin-top:16.3pt;height:25.2pt;width:64.5pt;z-index:251706368;mso-width-relative:page;mso-height-relative:page;" fillcolor="#FFFFFF" filled="t" stroked="t" coordsize="21600,21600" o:gfxdata="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28Yb5NYAAAAJAQAADwAAAAAAAAABACAAAAAiAAAAZHJzL2Rv&#10;d25yZXYueG1sUEsBAhQAFAAAAAgAh07iQBYqYaIDAgAAKgQAAA4AAAAAAAAAAQAgAAAAJQEAAGRy&#10;cy9lMm9Eb2MueG1sUEsFBgAAAAAGAAYAWQEAAJoFA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Cs w:val="21"/>
                          <w:lang w:eastAsia="zh-CN"/>
                        </w:rPr>
                      </w:pPr>
                      <w:r>
                        <w:rPr>
                          <w:rFonts w:hint="eastAsia" w:ascii="宋体" w:hAnsi="宋体" w:cs="宋体"/>
                          <w:szCs w:val="21"/>
                          <w:lang w:val="en-US" w:eastAsia="zh-CN"/>
                        </w:rPr>
                        <w:t>排岩</w:t>
                      </w:r>
                      <w:r>
                        <w:rPr>
                          <w:rFonts w:hint="eastAsia" w:ascii="宋体" w:hAnsi="宋体" w:cs="宋体"/>
                          <w:szCs w:val="21"/>
                          <w:lang w:eastAsia="zh-CN"/>
                        </w:rPr>
                        <w:t>场</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98176" behindDoc="0" locked="0" layoutInCell="1" allowOverlap="1">
                <wp:simplePos x="0" y="0"/>
                <wp:positionH relativeFrom="column">
                  <wp:posOffset>3512820</wp:posOffset>
                </wp:positionH>
                <wp:positionV relativeFrom="paragraph">
                  <wp:posOffset>201930</wp:posOffset>
                </wp:positionV>
                <wp:extent cx="769620" cy="311785"/>
                <wp:effectExtent l="0" t="0" r="0" b="0"/>
                <wp:wrapNone/>
                <wp:docPr id="177" name="矩形 177"/>
                <wp:cNvGraphicFramePr/>
                <a:graphic xmlns:a="http://schemas.openxmlformats.org/drawingml/2006/main">
                  <a:graphicData uri="http://schemas.microsoft.com/office/word/2010/wordprocessingShape">
                    <wps:wsp>
                      <wps:cNvSpPr/>
                      <wps:spPr>
                        <a:xfrm>
                          <a:off x="0" y="0"/>
                          <a:ext cx="769620" cy="311785"/>
                        </a:xfrm>
                        <a:prstGeom prst="rect">
                          <a:avLst/>
                        </a:prstGeom>
                        <a:noFill/>
                        <a:ln>
                          <a:noFill/>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G3、N3</w:t>
                            </w:r>
                          </w:p>
                        </w:txbxContent>
                      </wps:txbx>
                      <wps:bodyPr upright="1"/>
                    </wps:wsp>
                  </a:graphicData>
                </a:graphic>
              </wp:anchor>
            </w:drawing>
          </mc:Choice>
          <mc:Fallback>
            <w:pict>
              <v:rect id="_x0000_s1026" o:spid="_x0000_s1026" o:spt="1" style="position:absolute;left:0pt;margin-left:276.6pt;margin-top:15.9pt;height:24.55pt;width:60.6pt;z-index:251698176;mso-width-relative:page;mso-height-relative:page;" filled="f" stroked="f" coordsize="21600,21600" o:gfxdata="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OhDpkzbAAAACQEAAA8A&#10;AAAAAAAAAQAgAAAAIgAAAGRycy9kb3ducmV2LnhtbFBLAQIUABQAAAAIAIdO4kDzF8x7ogEAAEQD&#10;AAAOAAAAAAAAAAEAIAAAACoBAABkcnMvZTJvRG9jLnhtbFBLBQYAAAAABgAGAFkBAAA+BQAAAAA=&#10;">
                <v:fill on="f" focussize="0,0"/>
                <v:stroke on="f"/>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G3、N3</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2203450</wp:posOffset>
                </wp:positionH>
                <wp:positionV relativeFrom="paragraph">
                  <wp:posOffset>220980</wp:posOffset>
                </wp:positionV>
                <wp:extent cx="589915" cy="292735"/>
                <wp:effectExtent l="4445" t="4445" r="15240" b="7620"/>
                <wp:wrapNone/>
                <wp:docPr id="64" name="矩形 64"/>
                <wp:cNvGraphicFramePr/>
                <a:graphic xmlns:a="http://schemas.openxmlformats.org/drawingml/2006/main">
                  <a:graphicData uri="http://schemas.microsoft.com/office/word/2010/wordprocessingShape">
                    <wps:wsp>
                      <wps:cNvSpPr/>
                      <wps:spPr>
                        <a:xfrm>
                          <a:off x="0" y="0"/>
                          <a:ext cx="589915" cy="2927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Cs w:val="21"/>
                              </w:rPr>
                            </w:pPr>
                            <w:r>
                              <w:rPr>
                                <w:rFonts w:hint="eastAsia" w:ascii="宋体" w:hAnsi="宋体" w:cs="宋体"/>
                                <w:szCs w:val="21"/>
                                <w:lang w:eastAsia="zh-CN"/>
                              </w:rPr>
                              <w:t>采</w:t>
                            </w:r>
                            <w:r>
                              <w:rPr>
                                <w:rFonts w:hint="eastAsia" w:ascii="宋体" w:hAnsi="宋体" w:eastAsia="宋体" w:cs="宋体"/>
                                <w:szCs w:val="21"/>
                              </w:rPr>
                              <w:t>装</w:t>
                            </w:r>
                          </w:p>
                        </w:txbxContent>
                      </wps:txbx>
                      <wps:bodyPr upright="1"/>
                    </wps:wsp>
                  </a:graphicData>
                </a:graphic>
              </wp:anchor>
            </w:drawing>
          </mc:Choice>
          <mc:Fallback>
            <w:pict>
              <v:rect id="_x0000_s1026" o:spid="_x0000_s1026" o:spt="1" style="position:absolute;left:0pt;margin-left:173.5pt;margin-top:17.4pt;height:23.05pt;width:46.45pt;z-index:251688960;mso-width-relative:page;mso-height-relative:page;" fillcolor="#FFFFFF" filled="t" stroked="t" coordsize="21600,21600" o:gfxdata="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plc1h1wAAAAkBAAAPAAAAAAAAAAEAIAAAACIAAABkcnMvZG93&#10;bnJldi54bWxQSwECFAAUAAAACACHTuJAWuWRvwECAAAqBAAADgAAAAAAAAABACAAAAAmAQAAZHJz&#10;L2Uyb0RvYy54bWxQSwUGAAAAAAYABgBZAQAAmQU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Cs w:val="21"/>
                        </w:rPr>
                      </w:pPr>
                      <w:r>
                        <w:rPr>
                          <w:rFonts w:hint="eastAsia" w:ascii="宋体" w:hAnsi="宋体" w:cs="宋体"/>
                          <w:szCs w:val="21"/>
                          <w:lang w:eastAsia="zh-CN"/>
                        </w:rPr>
                        <w:t>采</w:t>
                      </w:r>
                      <w:r>
                        <w:rPr>
                          <w:rFonts w:hint="eastAsia" w:ascii="宋体" w:hAnsi="宋体" w:eastAsia="宋体" w:cs="宋体"/>
                          <w:szCs w:val="21"/>
                        </w:rPr>
                        <w:t>装</w:t>
                      </w:r>
                    </w:p>
                  </w:txbxContent>
                </v:textbox>
              </v:rect>
            </w:pict>
          </mc:Fallback>
        </mc:AlternateContent>
      </w:r>
    </w:p>
    <w:p>
      <w:pPr>
        <w:spacing w:line="500" w:lineRule="exact"/>
        <w:ind w:firstLine="480"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05344" behindDoc="0" locked="0" layoutInCell="1" allowOverlap="1">
                <wp:simplePos x="0" y="0"/>
                <wp:positionH relativeFrom="column">
                  <wp:posOffset>1547495</wp:posOffset>
                </wp:positionH>
                <wp:positionV relativeFrom="paragraph">
                  <wp:posOffset>52705</wp:posOffset>
                </wp:positionV>
                <wp:extent cx="632460" cy="635"/>
                <wp:effectExtent l="0" t="48895" r="15240" b="64770"/>
                <wp:wrapNone/>
                <wp:docPr id="35" name="直接连接符 35"/>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arrow" w="med" len="med"/>
                          <a:tailEnd type="none" w="med" len="med"/>
                        </a:ln>
                      </wps:spPr>
                      <wps:bodyPr upright="1"/>
                    </wps:wsp>
                  </a:graphicData>
                </a:graphic>
              </wp:anchor>
            </w:drawing>
          </mc:Choice>
          <mc:Fallback>
            <w:pict>
              <v:line id="_x0000_s1026" o:spid="_x0000_s1026" o:spt="20" style="position:absolute;left:0pt;margin-left:121.85pt;margin-top:4.15pt;height:0.05pt;width:49.8pt;z-index:251705344;mso-width-relative:page;mso-height-relative:page;" filled="f" stroked="t" coordsize="21600,21600" o:gfxdata="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Y02NdYAAAAHAQAADwAAAAAAAAABACAAAAAiAAAAZHJzL2Rvd25y&#10;ZXYueG1sUEsBAhQAFAAAAAgAh07iQI//OvsAAgAA6AMAAA4AAAAAAAAAAQAgAAAAJQEAAGRycy9l&#10;Mm9Eb2MueG1sUEsFBgAAAAAGAAYAWQEAAJcFAAAAAA==&#10;">
                <v:fill on="f" focussize="0,0"/>
                <v:stroke color="#FF0000" joinstyle="round" startarrow="open"/>
                <v:imagedata o:title=""/>
                <o:lock v:ext="edit" aspectratio="f"/>
              </v:lin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7152" behindDoc="0" locked="0" layoutInCell="1" allowOverlap="1">
                <wp:simplePos x="0" y="0"/>
                <wp:positionH relativeFrom="column">
                  <wp:posOffset>2835275</wp:posOffset>
                </wp:positionH>
                <wp:positionV relativeFrom="paragraph">
                  <wp:posOffset>37465</wp:posOffset>
                </wp:positionV>
                <wp:extent cx="632460" cy="635"/>
                <wp:effectExtent l="0" t="48895" r="15240" b="64770"/>
                <wp:wrapNone/>
                <wp:docPr id="54" name="直接连接符 54"/>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23.25pt;margin-top:2.95pt;height:0.05pt;width:49.8pt;z-index:251697152;mso-width-relative:page;mso-height-relative:page;" filled="f" stroked="t" coordsize="21600,21600" o:gfxdata="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L4yUYDTAAAABwEAAA8AAAAAAAAAAQAgAAAAIgAAAGRycy9kb3ducmV2Lnht&#10;bFBLAQIUABQAAAAIAIdO4kB6be7F/gEAAOgDAAAOAAAAAAAAAAEAIAAAACIBAABkcnMvZTJvRG9j&#10;LnhtbFBLBQYAAAAABgAGAFkBAACSBQAAAAA=&#10;">
                <v:fill on="f" focussize="0,0"/>
                <v:stroke color="#FF0000" joinstyle="round" endarrow="open"/>
                <v:imagedata o:title=""/>
                <o:lock v:ext="edit" aspectratio="f"/>
              </v:line>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2553970</wp:posOffset>
                </wp:positionH>
                <wp:positionV relativeFrom="paragraph">
                  <wp:posOffset>239395</wp:posOffset>
                </wp:positionV>
                <wp:extent cx="583565" cy="287020"/>
                <wp:effectExtent l="5080" t="5080" r="20955" b="12700"/>
                <wp:wrapNone/>
                <wp:docPr id="163" name="矩形 163"/>
                <wp:cNvGraphicFramePr/>
                <a:graphic xmlns:a="http://schemas.openxmlformats.org/drawingml/2006/main">
                  <a:graphicData uri="http://schemas.microsoft.com/office/word/2010/wordprocessingShape">
                    <wps:wsp>
                      <wps:cNvSpPr/>
                      <wps:spPr>
                        <a:xfrm>
                          <a:off x="0" y="0"/>
                          <a:ext cx="583565" cy="28702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both"/>
                              <w:rPr>
                                <w:rFonts w:hint="eastAsia" w:ascii="宋体" w:hAnsi="宋体" w:eastAsia="宋体" w:cs="宋体"/>
                                <w:szCs w:val="21"/>
                              </w:rPr>
                            </w:pPr>
                            <w:r>
                              <w:rPr>
                                <w:rFonts w:hint="eastAsia" w:ascii="宋体" w:hAnsi="宋体" w:eastAsia="宋体" w:cs="宋体"/>
                                <w:szCs w:val="21"/>
                              </w:rPr>
                              <w:t>矿石</w:t>
                            </w:r>
                          </w:p>
                        </w:txbxContent>
                      </wps:txbx>
                      <wps:bodyPr upright="1"/>
                    </wps:wsp>
                  </a:graphicData>
                </a:graphic>
              </wp:anchor>
            </w:drawing>
          </mc:Choice>
          <mc:Fallback>
            <w:pict>
              <v:rect id="_x0000_s1026" o:spid="_x0000_s1026" o:spt="1" style="position:absolute;left:0pt;margin-left:201.1pt;margin-top:18.85pt;height:22.6pt;width:45.95pt;z-index:251692032;mso-width-relative:page;mso-height-relative:page;" fillcolor="#FFFFFF" filled="t" stroked="t" coordsize="21600,21600" o:gfxdata="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dKf2U2AAAAAkBAAAPAAAAAAAAAAEAIAAAACIAAABkcnMvZG93&#10;bnJldi54bWxQSwECFAAUAAAACACHTuJAZptH5AACAAAsBAAADgAAAAAAAAABACAAAAAnAQAAZHJz&#10;L2Uyb0RvYy54bWxQSwUGAAAAAAYABgBZAQAAmQUAAAAA&#10;">
                <v:fill on="t" focussize="0,0"/>
                <v:stroke color="#FFFFFF" joinstyle="miter"/>
                <v:imagedata o:title=""/>
                <o:lock v:ext="edit" aspectratio="f"/>
                <v:textbox>
                  <w:txbxContent>
                    <w:p>
                      <w:pPr>
                        <w:spacing w:line="240" w:lineRule="auto"/>
                        <w:ind w:left="0" w:leftChars="0" w:firstLine="0" w:firstLineChars="0"/>
                        <w:jc w:val="both"/>
                        <w:rPr>
                          <w:rFonts w:hint="eastAsia" w:ascii="宋体" w:hAnsi="宋体" w:eastAsia="宋体" w:cs="宋体"/>
                          <w:szCs w:val="21"/>
                        </w:rPr>
                      </w:pPr>
                      <w:r>
                        <w:rPr>
                          <w:rFonts w:hint="eastAsia" w:ascii="宋体" w:hAnsi="宋体" w:eastAsia="宋体" w:cs="宋体"/>
                          <w:szCs w:val="21"/>
                        </w:rPr>
                        <w:t>矿石</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89984" behindDoc="0" locked="0" layoutInCell="1" allowOverlap="1">
                <wp:simplePos x="0" y="0"/>
                <wp:positionH relativeFrom="column">
                  <wp:posOffset>2489835</wp:posOffset>
                </wp:positionH>
                <wp:positionV relativeFrom="paragraph">
                  <wp:posOffset>208280</wp:posOffset>
                </wp:positionV>
                <wp:extent cx="635" cy="396240"/>
                <wp:effectExtent l="37465" t="0" r="38100" b="3810"/>
                <wp:wrapNone/>
                <wp:docPr id="55" name="直接箭头连接符 55"/>
                <wp:cNvGraphicFramePr/>
                <a:graphic xmlns:a="http://schemas.openxmlformats.org/drawingml/2006/main">
                  <a:graphicData uri="http://schemas.microsoft.com/office/word/2010/wordprocessingShape">
                    <wps:wsp>
                      <wps:cNvCnPr/>
                      <wps:spPr>
                        <a:xfrm>
                          <a:off x="0" y="0"/>
                          <a:ext cx="635" cy="3962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96.05pt;margin-top:16.4pt;height:31.2pt;width:0.05pt;z-index:251689984;mso-width-relative:page;mso-height-relative:page;" filled="f" stroked="t" coordsize="21600,21600" o:gfxdata="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kEqYkdgAAAAJAQAADwAAAAAAAAABACAAAAAiAAAA&#10;ZHJzL2Rvd25yZXYueG1sUEsBAhQAFAAAAAgAh07iQEHr4BEHAgAA8wMAAA4AAAAAAAAAAQAgAAAA&#10;JwEAAGRycy9lMm9Eb2MueG1sUEsFBgAAAAAGAAYAWQEAAKAFAAAAAA==&#10;">
                <v:fill on="f" focussize="0,0"/>
                <v:stroke color="#000000" joinstyle="round" endarrow="block"/>
                <v:imagedata o:title=""/>
                <o:lock v:ext="edit" aspectratio="f"/>
              </v:shape>
            </w:pict>
          </mc:Fallback>
        </mc:AlternateContent>
      </w:r>
    </w:p>
    <w:p>
      <w:pPr>
        <w:spacing w:line="500" w:lineRule="exact"/>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2068195</wp:posOffset>
                </wp:positionH>
                <wp:positionV relativeFrom="paragraph">
                  <wp:posOffset>298450</wp:posOffset>
                </wp:positionV>
                <wp:extent cx="858520" cy="309880"/>
                <wp:effectExtent l="4445" t="4445" r="13335" b="9525"/>
                <wp:wrapNone/>
                <wp:docPr id="182" name="矩形 182"/>
                <wp:cNvGraphicFramePr/>
                <a:graphic xmlns:a="http://schemas.openxmlformats.org/drawingml/2006/main">
                  <a:graphicData uri="http://schemas.microsoft.com/office/word/2010/wordprocessingShape">
                    <wps:wsp>
                      <wps:cNvSpPr/>
                      <wps:spPr>
                        <a:xfrm>
                          <a:off x="0" y="0"/>
                          <a:ext cx="858520" cy="3098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仿宋_GB2312" w:eastAsia="仿宋_GB2312"/>
                                <w:szCs w:val="21"/>
                              </w:rPr>
                            </w:pPr>
                            <w:r>
                              <w:rPr>
                                <w:rFonts w:hint="eastAsia" w:ascii="宋体" w:hAnsi="宋体" w:eastAsia="宋体" w:cs="宋体"/>
                                <w:szCs w:val="21"/>
                              </w:rPr>
                              <w:t>汽车运输</w:t>
                            </w:r>
                          </w:p>
                        </w:txbxContent>
                      </wps:txbx>
                      <wps:bodyPr upright="1"/>
                    </wps:wsp>
                  </a:graphicData>
                </a:graphic>
              </wp:anchor>
            </w:drawing>
          </mc:Choice>
          <mc:Fallback>
            <w:pict>
              <v:rect id="_x0000_s1026" o:spid="_x0000_s1026" o:spt="1" style="position:absolute;left:0pt;margin-left:162.85pt;margin-top:23.5pt;height:24.4pt;width:67.6pt;z-index:251691008;mso-width-relative:page;mso-height-relative:page;" fillcolor="#FFFFFF" filled="t" stroked="t" coordsize="21600,21600" o:gfxdata="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zjvUl9gAAAAJAQAADwAAAAAAAAABACAAAAAiAAAAZHJz&#10;L2Rvd25yZXYueG1sUEsBAhQAFAAAAAgAh07iQIe6RFUEAgAALAQAAA4AAAAAAAAAAQAgAAAAJwEA&#10;AGRycy9lMm9Eb2MueG1sUEsFBgAAAAAGAAYAWQEAAJ0FAAAAAA==&#10;">
                <v:fill on="t" focussize="0,0"/>
                <v:stroke color="#000000" joinstyle="miter"/>
                <v:imagedata o:title=""/>
                <o:lock v:ext="edit" aspectratio="f"/>
                <v:textbox>
                  <w:txbxContent>
                    <w:p>
                      <w:pPr>
                        <w:spacing w:line="240" w:lineRule="auto"/>
                        <w:ind w:left="0" w:leftChars="0" w:firstLine="0" w:firstLineChars="0"/>
                        <w:jc w:val="center"/>
                        <w:rPr>
                          <w:rFonts w:hint="eastAsia" w:ascii="仿宋_GB2312" w:eastAsia="仿宋_GB2312"/>
                          <w:szCs w:val="21"/>
                        </w:rPr>
                      </w:pPr>
                      <w:r>
                        <w:rPr>
                          <w:rFonts w:hint="eastAsia" w:ascii="宋体" w:hAnsi="宋体" w:eastAsia="宋体" w:cs="宋体"/>
                          <w:szCs w:val="21"/>
                        </w:rPr>
                        <w:t>汽车运输</w:t>
                      </w:r>
                    </w:p>
                  </w:txbxContent>
                </v:textbox>
              </v:rect>
            </w:pict>
          </mc:Fallback>
        </mc:AlternateContent>
      </w:r>
    </w:p>
    <w:p>
      <w:pPr>
        <w:spacing w:line="500" w:lineRule="exact"/>
        <w:ind w:firstLine="482" w:firstLineChars="20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00224" behindDoc="0" locked="0" layoutInCell="1" allowOverlap="1">
                <wp:simplePos x="0" y="0"/>
                <wp:positionH relativeFrom="column">
                  <wp:posOffset>3539490</wp:posOffset>
                </wp:positionH>
                <wp:positionV relativeFrom="paragraph">
                  <wp:posOffset>15240</wp:posOffset>
                </wp:positionV>
                <wp:extent cx="721360" cy="311785"/>
                <wp:effectExtent l="4445" t="5080" r="17145" b="6985"/>
                <wp:wrapNone/>
                <wp:docPr id="183" name="矩形 183"/>
                <wp:cNvGraphicFramePr/>
                <a:graphic xmlns:a="http://schemas.openxmlformats.org/drawingml/2006/main">
                  <a:graphicData uri="http://schemas.microsoft.com/office/word/2010/wordprocessingShape">
                    <wps:wsp>
                      <wps:cNvSpPr/>
                      <wps:spPr>
                        <a:xfrm>
                          <a:off x="0" y="0"/>
                          <a:ext cx="721360" cy="3117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G5、N4</w:t>
                            </w:r>
                          </w:p>
                        </w:txbxContent>
                      </wps:txbx>
                      <wps:bodyPr upright="1"/>
                    </wps:wsp>
                  </a:graphicData>
                </a:graphic>
              </wp:anchor>
            </w:drawing>
          </mc:Choice>
          <mc:Fallback>
            <w:pict>
              <v:rect id="_x0000_s1026" o:spid="_x0000_s1026" o:spt="1" style="position:absolute;left:0pt;margin-left:278.7pt;margin-top:1.2pt;height:24.55pt;width:56.8pt;z-index:251700224;mso-width-relative:page;mso-height-relative:page;" fillcolor="#FFFFFF" filled="t" stroked="t" coordsize="21600,21600" o:gfxdata="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sfeDK1gAAAAgBAAAPAAAAAAAAAAEAIAAAACIAAABkcnMvZG93bnJl&#10;di54bWxQSwECFAAUAAAACACHTuJABtDf7P8BAAAsBAAADgAAAAAAAAABACAAAAAlAQAAZHJzL2Uy&#10;b0RvYy54bWxQSwUGAAAAAAYABgBZAQAAlgUAAAAA&#10;">
                <v:fill on="t" focussize="0,0"/>
                <v:stroke color="#FFFFFF" joinstyle="miter"/>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G5、N4</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2903855</wp:posOffset>
                </wp:positionH>
                <wp:positionV relativeFrom="paragraph">
                  <wp:posOffset>141605</wp:posOffset>
                </wp:positionV>
                <wp:extent cx="632460" cy="635"/>
                <wp:effectExtent l="0" t="48895" r="15240" b="64770"/>
                <wp:wrapNone/>
                <wp:docPr id="185" name="直接连接符 185"/>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28.65pt;margin-top:11.15pt;height:0.05pt;width:49.8pt;z-index:251699200;mso-width-relative:page;mso-height-relative:page;" filled="f" stroked="t" coordsize="21600,21600" o:gfxdata="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TkUcd1gAAAAkBAAAPAAAAAAAAAAEAIAAAACIAAABkcnMvZG93&#10;bnJldi54bWxQSwECFAAUAAAACACHTuJAbtu1pwICAADqAwAADgAAAAAAAAABACAAAAAlAQAAZHJz&#10;L2Uyb0RvYy54bWxQSwUGAAAAAAYABgBZAQAAmQUAAAAA&#10;">
                <v:fill on="f" focussize="0,0"/>
                <v:stroke color="#FF0000" joinstyle="round" endarrow="open"/>
                <v:imagedata o:title=""/>
                <o:lock v:ext="edit" aspectratio="f"/>
              </v:line>
            </w:pict>
          </mc:Fallback>
        </mc:AlternateContent>
      </w:r>
    </w:p>
    <w:p>
      <w:pPr>
        <w:spacing w:line="500" w:lineRule="exact"/>
        <w:ind w:firstLine="482" w:firstLineChars="200"/>
        <w:rPr>
          <w:rFonts w:hint="default" w:ascii="Times New Roman" w:hAnsi="Times New Roman" w:eastAsia="宋体" w:cs="Times New Roman"/>
          <w:b/>
          <w:color w:val="auto"/>
          <w:sz w:val="24"/>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图</w:t>
      </w:r>
      <w:r>
        <w:rPr>
          <w:rFonts w:hint="eastAsia" w:cs="Times New Roman"/>
          <w:b/>
          <w:color w:val="auto"/>
          <w:sz w:val="21"/>
          <w:szCs w:val="21"/>
          <w:highlight w:val="none"/>
          <w:lang w:val="en-US" w:eastAsia="zh-CN"/>
        </w:rPr>
        <w:t>3.3-4</w:t>
      </w:r>
      <w:r>
        <w:rPr>
          <w:rFonts w:hint="default" w:ascii="Times New Roman" w:hAnsi="Times New Roman" w:eastAsia="宋体" w:cs="Times New Roman"/>
          <w:b/>
          <w:color w:val="auto"/>
          <w:sz w:val="21"/>
          <w:szCs w:val="21"/>
          <w:highlight w:val="none"/>
          <w:lang w:eastAsia="zh-CN"/>
        </w:rPr>
        <w:t xml:space="preserve"> 露天开采工艺流程图</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.1.9露天开采排污节点</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lang w:val="en-US" w:eastAsia="zh-CN"/>
        </w:rPr>
      </w:pPr>
      <w:r>
        <w:rPr>
          <w:rFonts w:hint="default" w:ascii="Times New Roman" w:hAnsi="Times New Roman" w:eastAsia="宋体" w:cs="Times New Roman"/>
          <w:b/>
          <w:bCs/>
          <w:color w:val="auto"/>
          <w:sz w:val="21"/>
          <w:highlight w:val="none"/>
          <w:lang w:val="en-US" w:eastAsia="zh-CN"/>
        </w:rPr>
        <w:t>表</w:t>
      </w:r>
      <w:r>
        <w:rPr>
          <w:rFonts w:hint="eastAsia" w:cs="Times New Roman"/>
          <w:b/>
          <w:bCs/>
          <w:color w:val="auto"/>
          <w:sz w:val="21"/>
          <w:highlight w:val="none"/>
          <w:lang w:val="en-US" w:eastAsia="zh-CN"/>
        </w:rPr>
        <w:t>3.3-</w:t>
      </w:r>
      <w:r>
        <w:rPr>
          <w:rFonts w:hint="default" w:ascii="Times New Roman" w:hAnsi="Times New Roman" w:eastAsia="宋体" w:cs="Times New Roman"/>
          <w:b/>
          <w:bCs/>
          <w:color w:val="auto"/>
          <w:sz w:val="21"/>
          <w:highlight w:val="none"/>
          <w:lang w:val="en-US" w:eastAsia="zh-CN"/>
        </w:rPr>
        <w:t>2     露天开采排污节点汇总一览表</w:t>
      </w:r>
    </w:p>
    <w:tbl>
      <w:tblPr>
        <w:tblStyle w:val="4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4"/>
        <w:gridCol w:w="1548"/>
        <w:gridCol w:w="2838"/>
        <w:gridCol w:w="32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污染类型</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编号</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污染源</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主要污染因子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restar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废气</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G1</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穿孔凿岩</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G2</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爆破</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TSP、NO</w:t>
            </w:r>
            <w:r>
              <w:rPr>
                <w:rFonts w:hint="default" w:ascii="Times New Roman" w:hAnsi="Times New Roman" w:eastAsia="宋体" w:cs="Times New Roman"/>
                <w:snapToGrid/>
                <w:color w:val="auto"/>
                <w:kern w:val="2"/>
                <w:sz w:val="21"/>
                <w:szCs w:val="21"/>
                <w:highlight w:val="none"/>
                <w:vertAlign w:val="subscript"/>
                <w:lang w:val="en-US" w:eastAsia="zh-CN" w:bidi="ar-SA"/>
              </w:rPr>
              <w:t>X</w:t>
            </w:r>
            <w:r>
              <w:rPr>
                <w:rFonts w:hint="default" w:ascii="Times New Roman" w:hAnsi="Times New Roman" w:eastAsia="宋体" w:cs="Times New Roman"/>
                <w:snapToGrid/>
                <w:color w:val="auto"/>
                <w:kern w:val="2"/>
                <w:sz w:val="21"/>
                <w:szCs w:val="21"/>
                <w:highlight w:val="none"/>
                <w:vertAlign w:val="baseli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CO</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G3</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采装</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G4</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排岩场</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G5</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运输</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restar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废水</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W1</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排岩场</w:t>
            </w:r>
            <w:r>
              <w:rPr>
                <w:rFonts w:hint="default" w:ascii="Times New Roman" w:hAnsi="Times New Roman" w:eastAsia="宋体" w:cs="Times New Roman"/>
                <w:snapToGrid/>
                <w:color w:val="auto"/>
                <w:kern w:val="2"/>
                <w:sz w:val="21"/>
                <w:szCs w:val="21"/>
                <w:highlight w:val="none"/>
                <w:lang w:val="en-US" w:eastAsia="zh-CN" w:bidi="ar-SA"/>
              </w:rPr>
              <w:t>淋溶水</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W</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生活污水</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COD、NH</w:t>
            </w:r>
            <w:r>
              <w:rPr>
                <w:rFonts w:hint="default" w:ascii="Times New Roman" w:hAnsi="Times New Roman" w:eastAsia="宋体" w:cs="Times New Roman"/>
                <w:snapToGrid/>
                <w:color w:val="auto"/>
                <w:kern w:val="2"/>
                <w:sz w:val="21"/>
                <w:szCs w:val="21"/>
                <w:highlight w:val="none"/>
                <w:vertAlign w:val="subscript"/>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噪声</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N1~N4</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生产设备</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等效A声级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restar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固废</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S1</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表土剥离</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一般工业固体废物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w:t>
            </w:r>
            <w:r>
              <w:rPr>
                <w:rFonts w:hint="eastAsia" w:cs="Times New Roman"/>
                <w:snapToGrid/>
                <w:color w:val="auto"/>
                <w:kern w:val="2"/>
                <w:sz w:val="21"/>
                <w:szCs w:val="21"/>
                <w:highlight w:val="none"/>
                <w:lang w:val="en-US" w:eastAsia="zh-CN" w:bidi="ar-SA"/>
              </w:rPr>
              <w:t>2</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废石</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一般工业固体废物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w:t>
            </w:r>
          </w:p>
        </w:tc>
        <w:tc>
          <w:tcPr>
            <w:tcW w:w="152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生活垃圾</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生活垃圾</w:t>
            </w:r>
          </w:p>
        </w:tc>
      </w:tr>
    </w:tbl>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地下开采</w:t>
      </w:r>
      <w:r>
        <w:rPr>
          <w:rFonts w:hint="default" w:ascii="Times New Roman" w:hAnsi="Times New Roman" w:eastAsia="宋体" w:cs="Times New Roman"/>
          <w:color w:val="auto"/>
          <w:highlight w:val="none"/>
          <w:lang w:eastAsia="zh-CN"/>
        </w:rPr>
        <w:t>工艺流程及排污节点分析</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3.</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val="en-US" w:eastAsia="zh-CN"/>
        </w:rPr>
        <w:t>.2.1 矿床开拓方案</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根据矿体赋存条件及地质地形条件，本次设计确定采用地下开采方式，平硐开拓方案。</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新建平硐PD1，平硐口中心坐标：X=4479766，Y=41531591，平硐口标高Z＝+405m，三心拱断面，规格4m×4.5m。作为开采K2矿体时期回风平硐，并且硐口位于矿体下盘岩体移动界线20m以外，作为矿井安全出口之一。</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平硐PD2，平硐口中心坐标：X=4479766，Y=41531591，平硐口标高Z＝+365m，三心拱断面，规格4m×4.5m。作为开采+365m中段以上K2矿体时期的运输平硐；并作为开采+325m中段K1、K2矿体时期的回风平硐。并且硐口位于矿体下盘岩体移动界线20m以外，作为矿井第一安全出口。</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平硐PD3，平硐口中心坐标：X=4479699，Y=41531656，平硐口标高Z＝+325m，三心拱断面，规格4m×4.5m。作为开采+325m中段K1、K2矿体时期的运输平硐；并且硐口位于矿体下盘岩体移动界线20m以外，作为矿井第二安全出口。</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平硐PD4，平硐口中心坐标：X=4479882，Y=41531826，平硐口标高Z＝+286m，三心拱断面，规格4m×4.5m。作为开采+286m中段K1、K2矿体时期的运输平硐；并且硐口位于矿体下盘岩体移动界线20m以外，作为矿井安全出口之一。</w:t>
      </w:r>
    </w:p>
    <w:p>
      <w:pPr>
        <w:ind w:firstLine="480"/>
        <w:rPr>
          <w:rFonts w:hint="default" w:ascii="Times New Roman" w:hAnsi="Times New Roman" w:eastAsia="宋体" w:cs="Times New Roman"/>
          <w:color w:val="auto"/>
          <w:highlight w:val="none"/>
          <w:lang w:val="en-US" w:eastAsia="zh-CN"/>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lang w:val="en-US" w:eastAsia="zh-CN"/>
        </w:rPr>
        <w:t>井下设4个中段，分别为：+405m中段、+365m中段、+325m中段、+286m中段。</w:t>
      </w:r>
    </w:p>
    <w:p>
      <w:pPr>
        <w:pStyle w:val="2"/>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7783195" cy="5357495"/>
            <wp:effectExtent l="0" t="0" r="8255" b="14605"/>
            <wp:docPr id="106" name="图片 106" descr="地下开采开拓系统垂直纵投影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地下开采开拓系统垂直纵投影图"/>
                    <pic:cNvPicPr>
                      <a:picLocks noChangeAspect="1"/>
                    </pic:cNvPicPr>
                  </pic:nvPicPr>
                  <pic:blipFill>
                    <a:blip r:embed="rId58"/>
                    <a:srcRect l="4205" t="5104" r="3764" b="5322"/>
                    <a:stretch>
                      <a:fillRect/>
                    </a:stretch>
                  </pic:blipFill>
                  <pic:spPr>
                    <a:xfrm>
                      <a:off x="0" y="0"/>
                      <a:ext cx="7783195" cy="53574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图</w:t>
      </w:r>
      <w:r>
        <w:rPr>
          <w:rFonts w:hint="eastAsia" w:cs="Times New Roman"/>
          <w:b/>
          <w:color w:val="auto"/>
          <w:sz w:val="21"/>
          <w:szCs w:val="21"/>
          <w:highlight w:val="none"/>
          <w:lang w:val="en-US" w:eastAsia="zh-CN"/>
        </w:rPr>
        <w:t>3.3-5</w:t>
      </w:r>
      <w:r>
        <w:rPr>
          <w:rFonts w:hint="default" w:ascii="Times New Roman" w:hAnsi="Times New Roman" w:eastAsia="宋体" w:cs="Times New Roman"/>
          <w:b/>
          <w:color w:val="auto"/>
          <w:sz w:val="21"/>
          <w:szCs w:val="21"/>
          <w:highlight w:val="none"/>
          <w:lang w:val="en-US" w:eastAsia="zh-CN"/>
        </w:rPr>
        <w:t>地下开采开拓系统垂直纵投影图</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drawing>
          <wp:inline distT="0" distB="0" distL="114300" distR="114300">
            <wp:extent cx="6805295" cy="5370195"/>
            <wp:effectExtent l="0" t="0" r="14605" b="1905"/>
            <wp:docPr id="108" name="图片 108" descr="地下采场无底柱分段崩落采矿方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地下采场无底柱分段崩落采矿方法图"/>
                    <pic:cNvPicPr>
                      <a:picLocks noChangeAspect="1"/>
                    </pic:cNvPicPr>
                  </pic:nvPicPr>
                  <pic:blipFill>
                    <a:blip r:embed="rId59"/>
                    <a:srcRect l="10946" t="4740" r="8572" b="5442"/>
                    <a:stretch>
                      <a:fillRect/>
                    </a:stretch>
                  </pic:blipFill>
                  <pic:spPr>
                    <a:xfrm>
                      <a:off x="0" y="0"/>
                      <a:ext cx="6805295" cy="53701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color w:val="auto"/>
          <w:sz w:val="21"/>
          <w:szCs w:val="21"/>
          <w:highlight w:val="none"/>
          <w:lang w:val="en-US" w:eastAsia="zh-CN"/>
        </w:rPr>
        <w:sectPr>
          <w:pgSz w:w="16840" w:h="11907" w:orient="landscape"/>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color w:val="auto"/>
          <w:sz w:val="21"/>
          <w:szCs w:val="21"/>
          <w:highlight w:val="none"/>
        </w:rPr>
        <w:t>图</w:t>
      </w:r>
      <w:r>
        <w:rPr>
          <w:rFonts w:hint="eastAsia" w:cs="Times New Roman"/>
          <w:b/>
          <w:color w:val="auto"/>
          <w:sz w:val="21"/>
          <w:szCs w:val="21"/>
          <w:highlight w:val="none"/>
          <w:lang w:val="en-US" w:eastAsia="zh-CN"/>
        </w:rPr>
        <w:t>3.3-6</w:t>
      </w:r>
      <w:r>
        <w:rPr>
          <w:rFonts w:hint="default" w:ascii="Times New Roman" w:hAnsi="Times New Roman" w:eastAsia="宋体" w:cs="Times New Roman"/>
          <w:b/>
          <w:color w:val="auto"/>
          <w:sz w:val="21"/>
          <w:szCs w:val="21"/>
          <w:highlight w:val="none"/>
          <w:lang w:val="en-US" w:eastAsia="zh-CN"/>
        </w:rPr>
        <w:t>地下采场无底柱分段崩落采矿方法图</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3.3.2.</w:t>
      </w:r>
      <w:r>
        <w:rPr>
          <w:rFonts w:hint="default" w:ascii="Times New Roman" w:hAnsi="Times New Roman" w:eastAsia="宋体" w:cs="Times New Roman"/>
          <w:color w:val="auto"/>
          <w:sz w:val="24"/>
          <w:highlight w:val="none"/>
          <w:lang w:val="en-US" w:eastAsia="zh-CN"/>
        </w:rPr>
        <w:t>2 基建工程</w:t>
      </w:r>
    </w:p>
    <w:p>
      <w:pPr>
        <w:bidi w:val="0"/>
        <w:rPr>
          <w:rFonts w:hint="default" w:ascii="Times New Roman" w:hAnsi="Times New Roman" w:eastAsia="宋体" w:cs="Times New Roman"/>
          <w:color w:val="auto"/>
          <w:szCs w:val="24"/>
          <w:highlight w:val="none"/>
          <w:vertAlign w:val="baseline"/>
          <w:lang w:val="en-US" w:eastAsia="zh-CN"/>
        </w:rPr>
      </w:pPr>
      <w:r>
        <w:rPr>
          <w:rFonts w:hint="default" w:ascii="Times New Roman" w:hAnsi="Times New Roman" w:eastAsia="宋体" w:cs="Times New Roman"/>
          <w:color w:val="auto"/>
          <w:highlight w:val="none"/>
        </w:rPr>
        <w:t>地下开采基建工程量（开拓、采准）按能满足正常生产的三级矿量（即开拓矿量3～5年、采准矿量6～12个月、备采矿量3～6个月）进行编制。基建期为10个月（合计0.83a）</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szCs w:val="24"/>
          <w:highlight w:val="none"/>
          <w:vertAlign w:val="baseline"/>
          <w:lang w:val="en-US" w:eastAsia="zh-CN"/>
        </w:rPr>
        <w:t>矿山基建总长度650m，工程量为11259.50m³，基建工程量见表</w:t>
      </w:r>
      <w:r>
        <w:rPr>
          <w:rFonts w:hint="eastAsia" w:cs="Times New Roman"/>
          <w:color w:val="auto"/>
          <w:szCs w:val="24"/>
          <w:highlight w:val="none"/>
          <w:vertAlign w:val="baseline"/>
          <w:lang w:val="en-US" w:eastAsia="zh-CN"/>
        </w:rPr>
        <w:t>3.3-</w:t>
      </w:r>
      <w:r>
        <w:rPr>
          <w:rFonts w:hint="default" w:ascii="Times New Roman" w:hAnsi="Times New Roman" w:eastAsia="宋体" w:cs="Times New Roman"/>
          <w:color w:val="auto"/>
          <w:szCs w:val="24"/>
          <w:highlight w:val="none"/>
          <w:vertAlign w:val="baseline"/>
          <w:lang w:val="en-US" w:eastAsia="zh-CN"/>
        </w:rPr>
        <w:t>3。</w:t>
      </w:r>
    </w:p>
    <w:p>
      <w:pPr>
        <w:adjustRightInd w:val="0"/>
        <w:snapToGrid w:val="0"/>
        <w:spacing w:line="240" w:lineRule="auto"/>
        <w:ind w:left="0" w:leftChars="0" w:firstLine="0" w:firstLineChars="0"/>
        <w:jc w:val="center"/>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表</w:t>
      </w:r>
      <w:r>
        <w:rPr>
          <w:rFonts w:hint="eastAsia" w:cs="Times New Roman"/>
          <w:b/>
          <w:bCs w:val="0"/>
          <w:color w:val="auto"/>
          <w:sz w:val="21"/>
          <w:szCs w:val="21"/>
          <w:highlight w:val="none"/>
          <w:lang w:val="en-US" w:eastAsia="zh-CN"/>
        </w:rPr>
        <w:t>3.3-</w:t>
      </w:r>
      <w:r>
        <w:rPr>
          <w:rFonts w:hint="default" w:ascii="Times New Roman" w:hAnsi="Times New Roman" w:eastAsia="宋体" w:cs="Times New Roman"/>
          <w:b/>
          <w:bCs w:val="0"/>
          <w:color w:val="auto"/>
          <w:sz w:val="21"/>
          <w:szCs w:val="21"/>
          <w:highlight w:val="none"/>
          <w:lang w:val="en-US" w:eastAsia="zh-CN"/>
        </w:rPr>
        <w:t>3</w:t>
      </w:r>
      <w:r>
        <w:rPr>
          <w:rFonts w:hint="default" w:ascii="Times New Roman" w:hAnsi="Times New Roman" w:eastAsia="宋体" w:cs="Times New Roman"/>
          <w:b/>
          <w:bCs w:val="0"/>
          <w:color w:val="auto"/>
          <w:sz w:val="21"/>
          <w:szCs w:val="21"/>
          <w:highlight w:val="none"/>
        </w:rPr>
        <w:t xml:space="preserve">         基建工程量表</w:t>
      </w:r>
    </w:p>
    <w:tbl>
      <w:tblPr>
        <w:tblStyle w:val="45"/>
        <w:tblW w:w="4998"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685"/>
        <w:gridCol w:w="2643"/>
        <w:gridCol w:w="1945"/>
        <w:gridCol w:w="1756"/>
        <w:gridCol w:w="225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12"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序号</w:t>
            </w:r>
          </w:p>
        </w:tc>
        <w:tc>
          <w:tcPr>
            <w:tcW w:w="1423" w:type="pct"/>
            <w:tcBorders>
              <w:top w:val="single" w:color="auto" w:sz="12"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工程名称</w:t>
            </w:r>
          </w:p>
        </w:tc>
        <w:tc>
          <w:tcPr>
            <w:tcW w:w="1047" w:type="pct"/>
            <w:tcBorders>
              <w:top w:val="single" w:color="auto" w:sz="12"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断面（m</w:t>
            </w:r>
            <w:r>
              <w:rPr>
                <w:rFonts w:hint="default" w:ascii="Times New Roman" w:hAnsi="Times New Roman" w:eastAsia="宋体" w:cs="Times New Roman"/>
                <w:snapToGrid/>
                <w:color w:val="auto"/>
                <w:kern w:val="2"/>
                <w:sz w:val="21"/>
                <w:szCs w:val="21"/>
                <w:highlight w:val="none"/>
                <w:vertAlign w:val="superscript"/>
                <w:lang w:val="en-US" w:eastAsia="zh-CN" w:bidi="ar-SA"/>
              </w:rPr>
              <w:t>2</w:t>
            </w:r>
            <w:r>
              <w:rPr>
                <w:rFonts w:hint="default" w:ascii="Times New Roman" w:hAnsi="Times New Roman" w:eastAsia="宋体" w:cs="Times New Roman"/>
                <w:snapToGrid/>
                <w:color w:val="auto"/>
                <w:kern w:val="2"/>
                <w:sz w:val="21"/>
                <w:szCs w:val="21"/>
                <w:highlight w:val="none"/>
                <w:lang w:val="en-US" w:eastAsia="zh-CN" w:bidi="ar-SA"/>
              </w:rPr>
              <w:t>）</w:t>
            </w:r>
          </w:p>
        </w:tc>
        <w:tc>
          <w:tcPr>
            <w:tcW w:w="945" w:type="pct"/>
            <w:tcBorders>
              <w:top w:val="single" w:color="auto" w:sz="12"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长度（m）</w:t>
            </w:r>
          </w:p>
        </w:tc>
        <w:tc>
          <w:tcPr>
            <w:tcW w:w="1213" w:type="pct"/>
            <w:tcBorders>
              <w:top w:val="single" w:color="auto" w:sz="12"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工程量（m³）</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w:t>
            </w:r>
          </w:p>
        </w:tc>
        <w:tc>
          <w:tcPr>
            <w:tcW w:w="142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平硐PD1</w:t>
            </w:r>
          </w:p>
        </w:tc>
        <w:tc>
          <w:tcPr>
            <w:tcW w:w="104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17.5</w:t>
            </w:r>
          </w:p>
        </w:tc>
        <w:tc>
          <w:tcPr>
            <w:tcW w:w="945"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15</w:t>
            </w:r>
          </w:p>
        </w:tc>
        <w:tc>
          <w:tcPr>
            <w:tcW w:w="1213" w:type="pct"/>
            <w:tcBorders>
              <w:top w:val="single" w:color="auto" w:sz="4"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262.50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w:t>
            </w:r>
          </w:p>
        </w:tc>
        <w:tc>
          <w:tcPr>
            <w:tcW w:w="142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平硐PD2</w:t>
            </w:r>
          </w:p>
        </w:tc>
        <w:tc>
          <w:tcPr>
            <w:tcW w:w="104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17.5</w:t>
            </w:r>
          </w:p>
        </w:tc>
        <w:tc>
          <w:tcPr>
            <w:tcW w:w="945"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36</w:t>
            </w:r>
          </w:p>
        </w:tc>
        <w:tc>
          <w:tcPr>
            <w:tcW w:w="1213" w:type="pct"/>
            <w:tcBorders>
              <w:top w:val="single" w:color="auto" w:sz="4"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630.00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w:t>
            </w:r>
          </w:p>
        </w:tc>
        <w:tc>
          <w:tcPr>
            <w:tcW w:w="142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+405m回风石门</w:t>
            </w:r>
          </w:p>
        </w:tc>
        <w:tc>
          <w:tcPr>
            <w:tcW w:w="104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17.5</w:t>
            </w:r>
          </w:p>
        </w:tc>
        <w:tc>
          <w:tcPr>
            <w:tcW w:w="945"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w:t>
            </w:r>
          </w:p>
        </w:tc>
        <w:tc>
          <w:tcPr>
            <w:tcW w:w="1213" w:type="pct"/>
            <w:tcBorders>
              <w:top w:val="single" w:color="auto" w:sz="4"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350.00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w:t>
            </w:r>
          </w:p>
        </w:tc>
        <w:tc>
          <w:tcPr>
            <w:tcW w:w="142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+405m回风平巷</w:t>
            </w:r>
          </w:p>
        </w:tc>
        <w:tc>
          <w:tcPr>
            <w:tcW w:w="104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17.5</w:t>
            </w:r>
          </w:p>
        </w:tc>
        <w:tc>
          <w:tcPr>
            <w:tcW w:w="945"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130</w:t>
            </w:r>
          </w:p>
        </w:tc>
        <w:tc>
          <w:tcPr>
            <w:tcW w:w="1213" w:type="pct"/>
            <w:tcBorders>
              <w:top w:val="single" w:color="auto" w:sz="4"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2275.00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w:t>
            </w:r>
          </w:p>
        </w:tc>
        <w:tc>
          <w:tcPr>
            <w:tcW w:w="142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+365m运输石门</w:t>
            </w:r>
          </w:p>
        </w:tc>
        <w:tc>
          <w:tcPr>
            <w:tcW w:w="104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17.5</w:t>
            </w:r>
          </w:p>
        </w:tc>
        <w:tc>
          <w:tcPr>
            <w:tcW w:w="945"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104</w:t>
            </w:r>
          </w:p>
        </w:tc>
        <w:tc>
          <w:tcPr>
            <w:tcW w:w="1213" w:type="pct"/>
            <w:tcBorders>
              <w:top w:val="single" w:color="auto" w:sz="4"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1820.00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6</w:t>
            </w:r>
          </w:p>
        </w:tc>
        <w:tc>
          <w:tcPr>
            <w:tcW w:w="142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+365m运输平巷</w:t>
            </w:r>
          </w:p>
        </w:tc>
        <w:tc>
          <w:tcPr>
            <w:tcW w:w="104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17.5</w:t>
            </w:r>
          </w:p>
        </w:tc>
        <w:tc>
          <w:tcPr>
            <w:tcW w:w="945"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180</w:t>
            </w:r>
          </w:p>
        </w:tc>
        <w:tc>
          <w:tcPr>
            <w:tcW w:w="1213" w:type="pct"/>
            <w:tcBorders>
              <w:top w:val="single" w:color="auto" w:sz="4"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3150.00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w:t>
            </w:r>
          </w:p>
        </w:tc>
        <w:tc>
          <w:tcPr>
            <w:tcW w:w="142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采准平巷</w:t>
            </w:r>
          </w:p>
        </w:tc>
        <w:tc>
          <w:tcPr>
            <w:tcW w:w="104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17.5</w:t>
            </w:r>
          </w:p>
        </w:tc>
        <w:tc>
          <w:tcPr>
            <w:tcW w:w="945"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120</w:t>
            </w:r>
          </w:p>
        </w:tc>
        <w:tc>
          <w:tcPr>
            <w:tcW w:w="1213" w:type="pct"/>
            <w:tcBorders>
              <w:top w:val="single" w:color="auto" w:sz="4"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2100.00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8</w:t>
            </w:r>
          </w:p>
        </w:tc>
        <w:tc>
          <w:tcPr>
            <w:tcW w:w="1423"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采准天井</w:t>
            </w:r>
          </w:p>
        </w:tc>
        <w:tc>
          <w:tcPr>
            <w:tcW w:w="1047"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4.2</w:t>
            </w:r>
          </w:p>
        </w:tc>
        <w:tc>
          <w:tcPr>
            <w:tcW w:w="945" w:type="pct"/>
            <w:tcBorders>
              <w:top w:val="single" w:color="auto" w:sz="4" w:space="0"/>
              <w:left w:val="single" w:color="auto" w:sz="4" w:space="0"/>
              <w:bottom w:val="single" w:color="auto" w:sz="4"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160</w:t>
            </w:r>
          </w:p>
        </w:tc>
        <w:tc>
          <w:tcPr>
            <w:tcW w:w="1213" w:type="pct"/>
            <w:tcBorders>
              <w:top w:val="single" w:color="auto" w:sz="4" w:space="0"/>
              <w:left w:val="single" w:color="auto" w:sz="4" w:space="0"/>
              <w:bottom w:val="single" w:color="auto" w:sz="4"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672.00</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0" w:hRule="atLeast"/>
        </w:trPr>
        <w:tc>
          <w:tcPr>
            <w:tcW w:w="369" w:type="pct"/>
            <w:tcBorders>
              <w:top w:val="single" w:color="auto" w:sz="4" w:space="0"/>
              <w:left w:val="nil"/>
              <w:bottom w:val="single" w:color="auto" w:sz="12"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9</w:t>
            </w:r>
          </w:p>
        </w:tc>
        <w:tc>
          <w:tcPr>
            <w:tcW w:w="1423" w:type="pct"/>
            <w:tcBorders>
              <w:top w:val="single" w:color="auto" w:sz="4" w:space="0"/>
              <w:left w:val="single" w:color="auto" w:sz="4" w:space="0"/>
              <w:bottom w:val="single" w:color="auto" w:sz="12"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合计</w:t>
            </w:r>
          </w:p>
        </w:tc>
        <w:tc>
          <w:tcPr>
            <w:tcW w:w="1047" w:type="pct"/>
            <w:tcBorders>
              <w:top w:val="single" w:color="auto" w:sz="4" w:space="0"/>
              <w:left w:val="single" w:color="auto" w:sz="4" w:space="0"/>
              <w:bottom w:val="single" w:color="auto" w:sz="12"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945" w:type="pct"/>
            <w:tcBorders>
              <w:top w:val="single" w:color="auto" w:sz="4" w:space="0"/>
              <w:left w:val="single" w:color="auto" w:sz="4" w:space="0"/>
              <w:bottom w:val="single" w:color="auto" w:sz="12" w:space="0"/>
              <w:right w:val="single" w:color="auto" w:sz="4" w:space="0"/>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650</w:t>
            </w:r>
          </w:p>
        </w:tc>
        <w:tc>
          <w:tcPr>
            <w:tcW w:w="1213" w:type="pct"/>
            <w:tcBorders>
              <w:top w:val="single" w:color="auto" w:sz="4" w:space="0"/>
              <w:left w:val="single" w:color="auto" w:sz="4" w:space="0"/>
              <w:bottom w:val="single" w:color="auto" w:sz="12" w:space="0"/>
              <w:right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11259.50</w:t>
            </w:r>
          </w:p>
        </w:tc>
      </w:tr>
    </w:tbl>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3.3.2.</w:t>
      </w:r>
      <w:r>
        <w:rPr>
          <w:rFonts w:hint="default" w:ascii="Times New Roman" w:hAnsi="Times New Roman" w:eastAsia="宋体" w:cs="Times New Roman"/>
          <w:color w:val="auto"/>
          <w:sz w:val="24"/>
          <w:highlight w:val="none"/>
          <w:lang w:val="en-US" w:eastAsia="zh-CN"/>
        </w:rPr>
        <w:t>3 采矿方法</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根据矿体赋存条件，矿石及围岩的物理机械性质及生产规模的要求，选择工艺简单，易于管理的采矿方法，并结合矿山现场矿体顶底板岩层较破碎，确定矿山采用无底柱分段崩落采矿方法。</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3.3.2.</w:t>
      </w:r>
      <w:r>
        <w:rPr>
          <w:rFonts w:hint="default" w:ascii="Times New Roman" w:hAnsi="Times New Roman" w:eastAsia="宋体" w:cs="Times New Roman"/>
          <w:color w:val="auto"/>
          <w:sz w:val="24"/>
          <w:highlight w:val="none"/>
          <w:lang w:val="en-US" w:eastAsia="zh-CN"/>
        </w:rPr>
        <w:t>4 穿孔、凿岩、爆破作业</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切割矿块采用YG80型凿岩机在采切巷道中钻凿上向平行扇形炮孔。边孔倾角55°，每排孔12～13个，总长130～140m，每米崩矿量3.98～5.43t。凿岩机凿岩效率为30m/台·班。炸药采用2#炸药。爆破采用毫秒导爆管和导爆索连续起爆，崩矿步距为2m。</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本项目生产爆破作业由外委的专业爆破公司提供</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一体化</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服务，双方签订了爆破服务协议。根据本项目每次爆破使用量，由爆破公司专用车将爆破材料直接送至爆破作业区，在现场进行混装、现场灌入钻孔使用。爆破后如有剩余，由爆破公司负责收回，矿山不存储火工品，不设置炸药库。</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3.3.2.</w:t>
      </w:r>
      <w:r>
        <w:rPr>
          <w:rFonts w:hint="default" w:ascii="Times New Roman" w:hAnsi="Times New Roman" w:eastAsia="宋体" w:cs="Times New Roman"/>
          <w:color w:val="auto"/>
          <w:sz w:val="24"/>
          <w:highlight w:val="none"/>
          <w:lang w:val="en-US" w:eastAsia="zh-CN"/>
        </w:rPr>
        <w:t>5 采装作业</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爆破后的矿石采用ZL20E轮胎式装载机装车，每个矿块布置1台装载机。采下的矿石经平硐运输至矿石场，采下的废石不升井，回填井下采空区。</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3.3.2.</w:t>
      </w:r>
      <w:r>
        <w:rPr>
          <w:rFonts w:hint="default" w:ascii="Times New Roman" w:hAnsi="Times New Roman" w:eastAsia="宋体" w:cs="Times New Roman"/>
          <w:color w:val="auto"/>
          <w:sz w:val="24"/>
          <w:highlight w:val="none"/>
          <w:lang w:val="en-US" w:eastAsia="zh-CN"/>
        </w:rPr>
        <w:t>7 通风系统</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矿井通风采用对角抽出式通风方式。</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开采+365m中段K2矿体时期，平硐PD1作为回风井。新鲜风流自平硐PD2进入矿井，经+365m运输巷道、人行天井进入采场冲洗工作面后，进入+405m回风巷道，最后污风从回风平硐PD1排出地表。</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开采+325m中段K1、K2矿体时期，平硐PD2作为回风井。新鲜风流自平硐PD3进入矿井，经+325m运输巷道、人行天井进入采场冲洗工作面后，进入+405m回风巷道，最后污风从回风平硐PD2排出地表。</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开采+286m中段K1、K2矿体时期，平硐PD2作为回风井。新鲜风流自平硐PD4进入矿井，经+286m运输巷道、人行天井进入采场冲洗工作面后，进入+365m回风巷道，最后污风从回风平硐PD2排出地表。</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3.3.2.</w:t>
      </w:r>
      <w:r>
        <w:rPr>
          <w:rFonts w:hint="default" w:ascii="Times New Roman" w:hAnsi="Times New Roman" w:eastAsia="宋体" w:cs="Times New Roman"/>
          <w:color w:val="auto"/>
          <w:sz w:val="24"/>
          <w:highlight w:val="none"/>
          <w:lang w:val="en-US" w:eastAsia="zh-CN"/>
        </w:rPr>
        <w:t>8 地下开采工艺流程图</w: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1404620</wp:posOffset>
                </wp:positionH>
                <wp:positionV relativeFrom="paragraph">
                  <wp:posOffset>125730</wp:posOffset>
                </wp:positionV>
                <wp:extent cx="1474470" cy="2095500"/>
                <wp:effectExtent l="7620" t="8255" r="22860" b="10795"/>
                <wp:wrapNone/>
                <wp:docPr id="206" name="矩形 206"/>
                <wp:cNvGraphicFramePr/>
                <a:graphic xmlns:a="http://schemas.openxmlformats.org/drawingml/2006/main">
                  <a:graphicData uri="http://schemas.microsoft.com/office/word/2010/wordprocessingShape">
                    <wps:wsp>
                      <wps:cNvSpPr/>
                      <wps:spPr>
                        <a:xfrm>
                          <a:off x="0" y="0"/>
                          <a:ext cx="1474470" cy="2095500"/>
                        </a:xfrm>
                        <a:prstGeom prst="rect">
                          <a:avLst/>
                        </a:prstGeom>
                        <a:noFill/>
                        <a:ln w="15875" cap="flat" cmpd="sng">
                          <a:solidFill>
                            <a:srgbClr val="00B0F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10.6pt;margin-top:9.9pt;height:165pt;width:116.1pt;z-index:251716608;mso-width-relative:page;mso-height-relative:page;" filled="f" stroked="t" coordsize="21600,21600" o:gfxdata="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AIRf9gAAAAKAQAADwAAAAAAAAABACAAAAAiAAAAZHJzL2Rvd25yZXYu&#10;eG1sUEsBAhQAFAAAAAgAh07iQClHgj/7AQAA+wMAAA4AAAAAAAAAAQAgAAAAJwEAAGRycy9lMm9E&#10;b2MueG1sUEsFBgAAAAAGAAYAWQEAAJQFAAAAAA==&#10;">
                <v:fill on="f" focussize="0,0"/>
                <v:stroke weight="1.25pt" color="#00B0F0" joinstyle="miter"/>
                <v:imagedata o:title=""/>
                <o:lock v:ext="edit" aspectratio="f"/>
              </v:rect>
            </w:pict>
          </mc:Fallback>
        </mc:AlternateConten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342265</wp:posOffset>
                </wp:positionH>
                <wp:positionV relativeFrom="paragraph">
                  <wp:posOffset>235585</wp:posOffset>
                </wp:positionV>
                <wp:extent cx="417195" cy="311785"/>
                <wp:effectExtent l="4445" t="5080" r="16510" b="6985"/>
                <wp:wrapNone/>
                <wp:docPr id="203" name="矩形 203"/>
                <wp:cNvGraphicFramePr/>
                <a:graphic xmlns:a="http://schemas.openxmlformats.org/drawingml/2006/main">
                  <a:graphicData uri="http://schemas.microsoft.com/office/word/2010/wordprocessingShape">
                    <wps:wsp>
                      <wps:cNvSpPr/>
                      <wps:spPr>
                        <a:xfrm>
                          <a:off x="0" y="0"/>
                          <a:ext cx="417195" cy="3117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W1</w:t>
                            </w:r>
                          </w:p>
                        </w:txbxContent>
                      </wps:txbx>
                      <wps:bodyPr upright="1"/>
                    </wps:wsp>
                  </a:graphicData>
                </a:graphic>
              </wp:anchor>
            </w:drawing>
          </mc:Choice>
          <mc:Fallback>
            <w:pict>
              <v:rect id="_x0000_s1026" o:spid="_x0000_s1026" o:spt="1" style="position:absolute;left:0pt;margin-left:26.95pt;margin-top:18.55pt;height:24.55pt;width:32.85pt;z-index:251718656;mso-width-relative:page;mso-height-relative:page;" fillcolor="#FFFFFF" filled="t" stroked="t" coordsize="21600,21600" o:gfxdata="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9cQEA1gAAAAgBAAAPAAAAAAAAAAEAIAAAACIAAABkcnMvZG93bnJl&#10;di54bWxQSwECFAAUAAAACACHTuJAbdWwQv8BAAAsBAAADgAAAAAAAAABACAAAAAlAQAAZHJzL2Uy&#10;b0RvYy54bWxQSwUGAAAAAAYABgBZAQAAlgUAAAAA&#10;">
                <v:fill on="t" focussize="0,0"/>
                <v:stroke color="#FFFFFF" joinstyle="miter"/>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W1</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24800" behindDoc="0" locked="0" layoutInCell="1" allowOverlap="1">
                <wp:simplePos x="0" y="0"/>
                <wp:positionH relativeFrom="column">
                  <wp:posOffset>3388995</wp:posOffset>
                </wp:positionH>
                <wp:positionV relativeFrom="paragraph">
                  <wp:posOffset>10795</wp:posOffset>
                </wp:positionV>
                <wp:extent cx="669290" cy="311785"/>
                <wp:effectExtent l="4445" t="5080" r="12065" b="6985"/>
                <wp:wrapNone/>
                <wp:docPr id="207" name="矩形 207"/>
                <wp:cNvGraphicFramePr/>
                <a:graphic xmlns:a="http://schemas.openxmlformats.org/drawingml/2006/main">
                  <a:graphicData uri="http://schemas.microsoft.com/office/word/2010/wordprocessingShape">
                    <wps:wsp>
                      <wps:cNvSpPr/>
                      <wps:spPr>
                        <a:xfrm>
                          <a:off x="0" y="0"/>
                          <a:ext cx="669290" cy="3117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G1、N1</w:t>
                            </w:r>
                          </w:p>
                        </w:txbxContent>
                      </wps:txbx>
                      <wps:bodyPr upright="1"/>
                    </wps:wsp>
                  </a:graphicData>
                </a:graphic>
              </wp:anchor>
            </w:drawing>
          </mc:Choice>
          <mc:Fallback>
            <w:pict>
              <v:rect id="_x0000_s1026" o:spid="_x0000_s1026" o:spt="1" style="position:absolute;left:0pt;margin-left:266.85pt;margin-top:0.85pt;height:24.55pt;width:52.7pt;z-index:251724800;mso-width-relative:page;mso-height-relative:page;" fillcolor="#FFFFFF" filled="t" stroked="t" coordsize="21600,21600" o:gfxdata="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cBGKM1gAAAAgBAAAPAAAAAAAAAAEAIAAAACIAAABkcnMvZG93bnJl&#10;di54bWxQSwECFAAUAAAACACHTuJA/0lkI/8BAAAsBAAADgAAAAAAAAABACAAAAAlAQAAZHJzL2Uy&#10;b0RvYy54bWxQSwUGAAAAAAYABgBZAQAAlgUAAAAA&#10;">
                <v:fill on="t" focussize="0,0"/>
                <v:stroke color="#FFFFFF" joinstyle="miter"/>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G1、N1</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09440" behindDoc="0" locked="0" layoutInCell="1" allowOverlap="1">
                <wp:simplePos x="0" y="0"/>
                <wp:positionH relativeFrom="column">
                  <wp:posOffset>1598930</wp:posOffset>
                </wp:positionH>
                <wp:positionV relativeFrom="paragraph">
                  <wp:posOffset>18415</wp:posOffset>
                </wp:positionV>
                <wp:extent cx="1099820" cy="299720"/>
                <wp:effectExtent l="4445" t="4445" r="19685" b="19685"/>
                <wp:wrapNone/>
                <wp:docPr id="196" name="矩形 196"/>
                <wp:cNvGraphicFramePr/>
                <a:graphic xmlns:a="http://schemas.openxmlformats.org/drawingml/2006/main">
                  <a:graphicData uri="http://schemas.microsoft.com/office/word/2010/wordprocessingShape">
                    <wps:wsp>
                      <wps:cNvSpPr/>
                      <wps:spPr>
                        <a:xfrm>
                          <a:off x="0" y="0"/>
                          <a:ext cx="1099820" cy="2997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Cs w:val="21"/>
                              </w:rPr>
                            </w:pPr>
                            <w:r>
                              <w:rPr>
                                <w:rFonts w:hint="eastAsia" w:ascii="宋体" w:hAnsi="宋体" w:eastAsia="宋体" w:cs="宋体"/>
                                <w:szCs w:val="21"/>
                              </w:rPr>
                              <w:t>穿孔</w:t>
                            </w:r>
                            <w:r>
                              <w:rPr>
                                <w:rFonts w:hint="default" w:ascii="Times New Roman" w:hAnsi="Times New Roman" w:eastAsia="宋体" w:cs="Times New Roman"/>
                                <w:szCs w:val="21"/>
                              </w:rPr>
                              <w:t>、凿岩</w:t>
                            </w:r>
                          </w:p>
                        </w:txbxContent>
                      </wps:txbx>
                      <wps:bodyPr upright="1"/>
                    </wps:wsp>
                  </a:graphicData>
                </a:graphic>
              </wp:anchor>
            </w:drawing>
          </mc:Choice>
          <mc:Fallback>
            <w:pict>
              <v:rect id="_x0000_s1026" o:spid="_x0000_s1026" o:spt="1" style="position:absolute;left:0pt;margin-left:125.9pt;margin-top:1.45pt;height:23.6pt;width:86.6pt;z-index:251709440;mso-width-relative:page;mso-height-relative:page;" fillcolor="#FFFFFF" filled="t" stroked="t" coordsize="21600,21600" o:gfxdata="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aaNCDWAAAACAEAAA8AAAAAAAAAAQAgAAAAIgAAAGRycy9kb3du&#10;cmV2LnhtbFBLAQIUABQAAAAIAIdO4kB42MUfAQIAAC0EAAAOAAAAAAAAAAEAIAAAACUBAABkcnMv&#10;ZTJvRG9jLnhtbFBLBQYAAAAABgAGAFkBAACYBQ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Cs w:val="21"/>
                        </w:rPr>
                      </w:pPr>
                      <w:r>
                        <w:rPr>
                          <w:rFonts w:hint="eastAsia" w:ascii="宋体" w:hAnsi="宋体" w:eastAsia="宋体" w:cs="宋体"/>
                          <w:szCs w:val="21"/>
                        </w:rPr>
                        <w:t>穿孔</w:t>
                      </w:r>
                      <w:r>
                        <w:rPr>
                          <w:rFonts w:hint="default" w:ascii="Times New Roman" w:hAnsi="Times New Roman" w:eastAsia="宋体" w:cs="Times New Roman"/>
                          <w:szCs w:val="21"/>
                        </w:rPr>
                        <w:t>、凿岩</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2711450</wp:posOffset>
                </wp:positionH>
                <wp:positionV relativeFrom="paragraph">
                  <wp:posOffset>169545</wp:posOffset>
                </wp:positionV>
                <wp:extent cx="632460" cy="635"/>
                <wp:effectExtent l="0" t="48895" r="15240" b="64770"/>
                <wp:wrapNone/>
                <wp:docPr id="208" name="直接连接符 208"/>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13.5pt;margin-top:13.35pt;height:0.05pt;width:49.8pt;z-index:251717632;mso-width-relative:page;mso-height-relative:page;" filled="f" stroked="t" coordsize="21600,21600" o:gfxdata="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pxJN3VAAAACQEAAA8AAAAAAAAAAQAgAAAAIgAAAGRycy9kb3ducmV2&#10;LnhtbFBLAQIUABQAAAAIAIdO4kAmJJ8T/wEAAOoDAAAOAAAAAAAAAAEAIAAAACQBAABkcnMvZTJv&#10;RG9jLnhtbFBLBQYAAAAABgAGAFkBAACVBQAAAAA=&#10;">
                <v:fill on="f" focussize="0,0"/>
                <v:stroke color="#FF0000" joinstyle="round" endarrow="open"/>
                <v:imagedata o:title=""/>
                <o:lock v:ext="edit" aspectratio="f"/>
              </v:line>
            </w:pict>
          </mc:Fallback>
        </mc:AlternateConten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3776" behindDoc="0" locked="0" layoutInCell="1" allowOverlap="1">
                <wp:simplePos x="0" y="0"/>
                <wp:positionH relativeFrom="column">
                  <wp:posOffset>728345</wp:posOffset>
                </wp:positionH>
                <wp:positionV relativeFrom="paragraph">
                  <wp:posOffset>73025</wp:posOffset>
                </wp:positionV>
                <wp:extent cx="632460" cy="635"/>
                <wp:effectExtent l="0" t="48895" r="15240" b="64770"/>
                <wp:wrapNone/>
                <wp:docPr id="209" name="直接连接符 209"/>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arrow" w="med" len="med"/>
                          <a:tailEnd type="none" w="med" len="med"/>
                        </a:ln>
                      </wps:spPr>
                      <wps:bodyPr upright="1"/>
                    </wps:wsp>
                  </a:graphicData>
                </a:graphic>
              </wp:anchor>
            </w:drawing>
          </mc:Choice>
          <mc:Fallback>
            <w:pict>
              <v:line id="_x0000_s1026" o:spid="_x0000_s1026" o:spt="20" style="position:absolute;left:0pt;margin-left:57.35pt;margin-top:5.75pt;height:0.05pt;width:49.8pt;z-index:251723776;mso-width-relative:page;mso-height-relative:page;" filled="f" stroked="t" coordsize="21600,21600" o:gfxdata="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ASBN3YAAAACQEAAA8AAAAAAAAAAQAgAAAAIgAAAGRycy9kb3du&#10;cmV2LnhtbFBLAQIUABQAAAAIAIdO4kD0OH01/wEAAOoDAAAOAAAAAAAAAAEAIAAAACcBAABkcnMv&#10;ZTJvRG9jLnhtbFBLBQYAAAAABgAGAFkBAACYBQAAAAA=&#10;">
                <v:fill on="f" focussize="0,0"/>
                <v:stroke color="#FF0000" joinstyle="round" startarrow="open"/>
                <v:imagedata o:title=""/>
                <o:lock v:ext="edit" aspectratio="f"/>
              </v:line>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10464" behindDoc="0" locked="0" layoutInCell="1" allowOverlap="1">
                <wp:simplePos x="0" y="0"/>
                <wp:positionH relativeFrom="column">
                  <wp:posOffset>2185035</wp:posOffset>
                </wp:positionH>
                <wp:positionV relativeFrom="paragraph">
                  <wp:posOffset>15875</wp:posOffset>
                </wp:positionV>
                <wp:extent cx="635" cy="378460"/>
                <wp:effectExtent l="37465" t="0" r="38100" b="2540"/>
                <wp:wrapNone/>
                <wp:docPr id="210" name="直接箭头连接符 210"/>
                <wp:cNvGraphicFramePr/>
                <a:graphic xmlns:a="http://schemas.openxmlformats.org/drawingml/2006/main">
                  <a:graphicData uri="http://schemas.microsoft.com/office/word/2010/wordprocessingShape">
                    <wps:wsp>
                      <wps:cNvCnPr/>
                      <wps:spPr>
                        <a:xfrm>
                          <a:off x="0" y="0"/>
                          <a:ext cx="635" cy="37846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2.05pt;margin-top:1.25pt;height:29.8pt;width:0.05pt;z-index:251710464;mso-width-relative:page;mso-height-relative:page;" filled="f" stroked="t" coordsize="21600,21600" o:gfxdata="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6GbuvYAAAACAEAAA8AAAAAAAAAAQAgAAAAIgAA&#10;AGRycy9kb3ducmV2LnhtbFBLAQIUABQAAAAIAIdO4kBto5kMCAIAAPUDAAAOAAAAAAAAAAEAIAAA&#10;ACcBAABkcnMvZTJvRG9jLnhtbFBLBQYAAAAABgAGAFkBAAChBQAAAAA=&#10;">
                <v:fill on="f" focussize="0,0"/>
                <v:stroke color="#000000" joinstyle="round" endarrow="block"/>
                <v:imagedata o:title=""/>
                <o:lock v:ext="edit" aspectratio="f"/>
              </v:shape>
            </w:pict>
          </mc:Fallback>
        </mc:AlternateConten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3228975</wp:posOffset>
                </wp:positionH>
                <wp:positionV relativeFrom="paragraph">
                  <wp:posOffset>74930</wp:posOffset>
                </wp:positionV>
                <wp:extent cx="721360" cy="311785"/>
                <wp:effectExtent l="4445" t="5080" r="17145" b="6985"/>
                <wp:wrapNone/>
                <wp:docPr id="200" name="矩形 200"/>
                <wp:cNvGraphicFramePr/>
                <a:graphic xmlns:a="http://schemas.openxmlformats.org/drawingml/2006/main">
                  <a:graphicData uri="http://schemas.microsoft.com/office/word/2010/wordprocessingShape">
                    <wps:wsp>
                      <wps:cNvSpPr/>
                      <wps:spPr>
                        <a:xfrm>
                          <a:off x="0" y="0"/>
                          <a:ext cx="721360" cy="3117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G2、N2</w:t>
                            </w:r>
                          </w:p>
                        </w:txbxContent>
                      </wps:txbx>
                      <wps:bodyPr upright="1"/>
                    </wps:wsp>
                  </a:graphicData>
                </a:graphic>
              </wp:anchor>
            </w:drawing>
          </mc:Choice>
          <mc:Fallback>
            <w:pict>
              <v:rect id="_x0000_s1026" o:spid="_x0000_s1026" o:spt="1" style="position:absolute;left:0pt;margin-left:254.25pt;margin-top:5.9pt;height:24.55pt;width:56.8pt;z-index:251720704;mso-width-relative:page;mso-height-relative:page;" fillcolor="#FFFFFF" filled="t" stroked="t" coordsize="21600,21600" o:gfxdata="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aB/ZzWAAAACQEAAA8AAAAAAAAAAQAgAAAAIgAAAGRycy9kb3ducmV2&#10;LnhtbFBLAQIUABQAAAAIAIdO4kAGr+Ef/gEAACwEAAAOAAAAAAAAAAEAIAAAACUBAABkcnMvZTJv&#10;RG9jLnhtbFBLBQYAAAAABgAGAFkBAACVBQAAAAA=&#10;">
                <v:fill on="t" focussize="0,0"/>
                <v:stroke color="#FFFFFF" joinstyle="miter"/>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G2、N2</w:t>
                      </w:r>
                    </w:p>
                  </w:txbxContent>
                </v:textbox>
              </v:rect>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2543810</wp:posOffset>
                </wp:positionH>
                <wp:positionV relativeFrom="paragraph">
                  <wp:posOffset>235585</wp:posOffset>
                </wp:positionV>
                <wp:extent cx="632460" cy="635"/>
                <wp:effectExtent l="0" t="48895" r="15240" b="64770"/>
                <wp:wrapNone/>
                <wp:docPr id="211" name="直接连接符 211"/>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00.3pt;margin-top:18.55pt;height:0.05pt;width:49.8pt;z-index:251719680;mso-width-relative:page;mso-height-relative:page;" filled="f" stroked="t" coordsize="21600,21600" o:gfxdata="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Ia6Xj1AAAAAkBAAAPAAAAAAAAAAEAIAAAACIAAABkcnMvZG93bnJldi54&#10;bWxQSwECFAAUAAAACACHTuJAMNHcEv4BAADqAwAADgAAAAAAAAABACAAAAAjAQAAZHJzL2Uyb0Rv&#10;Yy54bWxQSwUGAAAAAAYABgBZAQAAkwUAAAAA&#10;">
                <v:fill on="f" focussize="0,0"/>
                <v:stroke color="#FF0000" joinstyle="round" endarrow="open"/>
                <v:imagedata o:title=""/>
                <o:lock v:ext="edit" aspectratio="f"/>
              </v:line>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1856105</wp:posOffset>
                </wp:positionH>
                <wp:positionV relativeFrom="paragraph">
                  <wp:posOffset>84455</wp:posOffset>
                </wp:positionV>
                <wp:extent cx="640080" cy="288925"/>
                <wp:effectExtent l="5080" t="4445" r="21590" b="11430"/>
                <wp:wrapNone/>
                <wp:docPr id="212" name="矩形 212"/>
                <wp:cNvGraphicFramePr/>
                <a:graphic xmlns:a="http://schemas.openxmlformats.org/drawingml/2006/main">
                  <a:graphicData uri="http://schemas.microsoft.com/office/word/2010/wordprocessingShape">
                    <wps:wsp>
                      <wps:cNvSpPr/>
                      <wps:spPr>
                        <a:xfrm>
                          <a:off x="0" y="0"/>
                          <a:ext cx="640080" cy="2889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爆破</w:t>
                            </w:r>
                          </w:p>
                        </w:txbxContent>
                      </wps:txbx>
                      <wps:bodyPr upright="1"/>
                    </wps:wsp>
                  </a:graphicData>
                </a:graphic>
              </wp:anchor>
            </w:drawing>
          </mc:Choice>
          <mc:Fallback>
            <w:pict>
              <v:rect id="_x0000_s1026" o:spid="_x0000_s1026" o:spt="1" style="position:absolute;left:0pt;margin-left:146.15pt;margin-top:6.65pt;height:22.75pt;width:50.4pt;z-index:251711488;mso-width-relative:page;mso-height-relative:page;" fillcolor="#FFFFFF" filled="t" stroked="t" coordsize="21600,21600" o:gfxdata="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6uw21wAAAAkBAAAPAAAAAAAAAAEAIAAAACIAAABkcnMvZG93&#10;bnJldi54bWxQSwECFAAUAAAACACHTuJAtXFblwECAAAsBAAADgAAAAAAAAABACAAAAAmAQAAZHJz&#10;L2Uyb0RvYy54bWxQSwUGAAAAAAYABgBZAQAAmQUAAAAA&#10;">
                <v:fill on="t" focussize="0,0"/>
                <v:stroke color="#000000" joinstyle="miter"/>
                <v:imagedata o:title=""/>
                <o:lock v:ext="edit" aspectratio="f"/>
                <v:textbox>
                  <w:txbxContent>
                    <w:p>
                      <w:pPr>
                        <w:spacing w:line="240" w:lineRule="auto"/>
                        <w:ind w:left="0" w:leftChars="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爆破</w:t>
                      </w:r>
                    </w:p>
                  </w:txbxContent>
                </v:textbox>
              </v:rect>
            </w:pict>
          </mc:Fallback>
        </mc:AlternateConten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29920" behindDoc="0" locked="0" layoutInCell="1" allowOverlap="1">
                <wp:simplePos x="0" y="0"/>
                <wp:positionH relativeFrom="column">
                  <wp:posOffset>1453515</wp:posOffset>
                </wp:positionH>
                <wp:positionV relativeFrom="paragraph">
                  <wp:posOffset>313690</wp:posOffset>
                </wp:positionV>
                <wp:extent cx="426720" cy="311785"/>
                <wp:effectExtent l="4445" t="5080" r="6985" b="6985"/>
                <wp:wrapNone/>
                <wp:docPr id="213" name="矩形 213"/>
                <wp:cNvGraphicFramePr/>
                <a:graphic xmlns:a="http://schemas.openxmlformats.org/drawingml/2006/main">
                  <a:graphicData uri="http://schemas.microsoft.com/office/word/2010/wordprocessingShape">
                    <wps:wsp>
                      <wps:cNvSpPr/>
                      <wps:spPr>
                        <a:xfrm>
                          <a:off x="0" y="0"/>
                          <a:ext cx="426720" cy="3117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S2</w:t>
                            </w:r>
                          </w:p>
                        </w:txbxContent>
                      </wps:txbx>
                      <wps:bodyPr upright="1"/>
                    </wps:wsp>
                  </a:graphicData>
                </a:graphic>
              </wp:anchor>
            </w:drawing>
          </mc:Choice>
          <mc:Fallback>
            <w:pict>
              <v:rect id="_x0000_s1026" o:spid="_x0000_s1026" o:spt="1" style="position:absolute;left:0pt;margin-left:114.45pt;margin-top:24.7pt;height:24.55pt;width:33.6pt;z-index:251729920;mso-width-relative:page;mso-height-relative:page;" fillcolor="#FFFFFF" filled="t" stroked="t" coordsize="21600,21600" o:gfxdata="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x/CQvYAAAACQEAAA8AAAAAAAAAAQAgAAAAIgAAAGRycy9kb3du&#10;cmV2LnhtbFBLAQIUABQAAAAIAIdO4kBFkdzl/wEAACwEAAAOAAAAAAAAAAEAIAAAACcBAABkcnMv&#10;ZTJvRG9jLnhtbFBLBQYAAAAABgAGAFkBAACYBQAAAAA=&#10;">
                <v:fill on="t" focussize="0,0"/>
                <v:stroke color="#FFFFFF" joinstyle="miter"/>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S2</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2196465</wp:posOffset>
                </wp:positionH>
                <wp:positionV relativeFrom="paragraph">
                  <wp:posOffset>71120</wp:posOffset>
                </wp:positionV>
                <wp:extent cx="0" cy="433070"/>
                <wp:effectExtent l="38100" t="0" r="38100" b="5080"/>
                <wp:wrapNone/>
                <wp:docPr id="204" name="直接箭头连接符 204"/>
                <wp:cNvGraphicFramePr/>
                <a:graphic xmlns:a="http://schemas.openxmlformats.org/drawingml/2006/main">
                  <a:graphicData uri="http://schemas.microsoft.com/office/word/2010/wordprocessingShape">
                    <wps:wsp>
                      <wps:cNvCnPr/>
                      <wps:spPr>
                        <a:xfrm>
                          <a:off x="0" y="0"/>
                          <a:ext cx="0" cy="4330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2.95pt;margin-top:5.6pt;height:34.1pt;width:0pt;z-index:251712512;mso-width-relative:page;mso-height-relative:page;" filled="f" stroked="t" coordsize="21600,21600" o:gfxdata="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G6Sa92AAAAAkBAAAPAAAAAAAAAAEAIAAAACIAAABk&#10;cnMvZG93bnJldi54bWxQSwECFAAUAAAACACHTuJANrAKnQYCAADzAwAADgAAAAAAAAABACAAAAAn&#10;AQAAZHJzL2Uyb0RvYy54bWxQSwUGAAAAAAYABgBZAQAAnwUAAAAA&#10;">
                <v:fill on="f" focussize="0,0"/>
                <v:stroke color="#000000" joinstyle="round" endarrow="block"/>
                <v:imagedata o:title=""/>
                <o:lock v:ext="edit" aspectratio="f"/>
              </v:shape>
            </w:pict>
          </mc:Fallback>
        </mc:AlternateConten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22752" behindDoc="0" locked="0" layoutInCell="1" allowOverlap="1">
                <wp:simplePos x="0" y="0"/>
                <wp:positionH relativeFrom="column">
                  <wp:posOffset>3203575</wp:posOffset>
                </wp:positionH>
                <wp:positionV relativeFrom="paragraph">
                  <wp:posOffset>169545</wp:posOffset>
                </wp:positionV>
                <wp:extent cx="744855" cy="311785"/>
                <wp:effectExtent l="4445" t="5080" r="12700" b="6985"/>
                <wp:wrapNone/>
                <wp:docPr id="195" name="矩形 195"/>
                <wp:cNvGraphicFramePr/>
                <a:graphic xmlns:a="http://schemas.openxmlformats.org/drawingml/2006/main">
                  <a:graphicData uri="http://schemas.microsoft.com/office/word/2010/wordprocessingShape">
                    <wps:wsp>
                      <wps:cNvSpPr/>
                      <wps:spPr>
                        <a:xfrm>
                          <a:off x="0" y="0"/>
                          <a:ext cx="744855" cy="3117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G3、N3</w:t>
                            </w:r>
                          </w:p>
                        </w:txbxContent>
                      </wps:txbx>
                      <wps:bodyPr upright="1"/>
                    </wps:wsp>
                  </a:graphicData>
                </a:graphic>
              </wp:anchor>
            </w:drawing>
          </mc:Choice>
          <mc:Fallback>
            <w:pict>
              <v:rect id="_x0000_s1026" o:spid="_x0000_s1026" o:spt="1" style="position:absolute;left:0pt;margin-left:252.25pt;margin-top:13.35pt;height:24.55pt;width:58.65pt;z-index:251722752;mso-width-relative:page;mso-height-relative:page;" fillcolor="#FFFFFF" filled="t" stroked="t" coordsize="21600,21600" o:gfxdata="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2Jl4+9cAAAAJAQAADwAAAAAAAAABACAAAAAiAAAAZHJzL2Rvd25y&#10;ZXYueG1sUEsBAhQAFAAAAAgAh07iQIBPfqX/AQAALAQAAA4AAAAAAAAAAQAgAAAAJgEAAGRycy9l&#10;Mm9Eb2MueG1sUEsFBgAAAAAGAAYAWQEAAJcFAAAAAA==&#10;">
                <v:fill on="t" focussize="0,0"/>
                <v:stroke color="#FFFFFF" joinstyle="miter"/>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G3、N3</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167005</wp:posOffset>
                </wp:positionH>
                <wp:positionV relativeFrom="paragraph">
                  <wp:posOffset>186055</wp:posOffset>
                </wp:positionV>
                <wp:extent cx="1082675" cy="320040"/>
                <wp:effectExtent l="4445" t="5080" r="17780" b="17780"/>
                <wp:wrapNone/>
                <wp:docPr id="190" name="矩形 190"/>
                <wp:cNvGraphicFramePr/>
                <a:graphic xmlns:a="http://schemas.openxmlformats.org/drawingml/2006/main">
                  <a:graphicData uri="http://schemas.microsoft.com/office/word/2010/wordprocessingShape">
                    <wps:wsp>
                      <wps:cNvSpPr/>
                      <wps:spPr>
                        <a:xfrm>
                          <a:off x="0" y="0"/>
                          <a:ext cx="1082675"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default" w:ascii="宋体" w:hAnsi="宋体" w:eastAsia="宋体" w:cs="宋体"/>
                                <w:szCs w:val="21"/>
                                <w:lang w:val="en-US" w:eastAsia="zh-CN"/>
                              </w:rPr>
                            </w:pPr>
                            <w:r>
                              <w:rPr>
                                <w:rFonts w:hint="eastAsia" w:ascii="宋体" w:hAnsi="宋体" w:cs="宋体"/>
                                <w:szCs w:val="21"/>
                                <w:lang w:val="en-US" w:eastAsia="zh-CN"/>
                              </w:rPr>
                              <w:t>回填采空区</w:t>
                            </w:r>
                          </w:p>
                        </w:txbxContent>
                      </wps:txbx>
                      <wps:bodyPr upright="1"/>
                    </wps:wsp>
                  </a:graphicData>
                </a:graphic>
              </wp:anchor>
            </w:drawing>
          </mc:Choice>
          <mc:Fallback>
            <w:pict>
              <v:rect id="_x0000_s1026" o:spid="_x0000_s1026" o:spt="1" style="position:absolute;left:0pt;margin-left:13.15pt;margin-top:14.65pt;height:25.2pt;width:85.25pt;z-index:251728896;mso-width-relative:page;mso-height-relative:page;" fillcolor="#FFFFFF" filled="t" stroked="t" coordsize="21600,21600" o:gfxdata="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dQfC1gAAAAgBAAAPAAAAAAAAAAEAIAAAACIAAABkcnMv&#10;ZG93bnJldi54bWxQSwECFAAUAAAACACHTuJAcfkB3wUCAAAtBAAADgAAAAAAAAABACAAAAAlAQAA&#10;ZHJzL2Uyb0RvYy54bWxQSwUGAAAAAAYABgBZAQAAnAUAAAAA&#10;">
                <v:fill on="t" focussize="0,0"/>
                <v:stroke color="#000000" joinstyle="miter"/>
                <v:imagedata o:title=""/>
                <o:lock v:ext="edit" aspectratio="f"/>
                <v:textbox>
                  <w:txbxContent>
                    <w:p>
                      <w:pPr>
                        <w:spacing w:line="240" w:lineRule="auto"/>
                        <w:ind w:left="0" w:leftChars="0" w:firstLine="0" w:firstLineChars="0"/>
                        <w:jc w:val="center"/>
                        <w:rPr>
                          <w:rFonts w:hint="default" w:ascii="宋体" w:hAnsi="宋体" w:eastAsia="宋体" w:cs="宋体"/>
                          <w:szCs w:val="21"/>
                          <w:lang w:val="en-US" w:eastAsia="zh-CN"/>
                        </w:rPr>
                      </w:pPr>
                      <w:r>
                        <w:rPr>
                          <w:rFonts w:hint="eastAsia" w:ascii="宋体" w:hAnsi="宋体" w:cs="宋体"/>
                          <w:szCs w:val="21"/>
                          <w:lang w:val="en-US" w:eastAsia="zh-CN"/>
                        </w:rPr>
                        <w:t>回填采空区</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1898650</wp:posOffset>
                </wp:positionH>
                <wp:positionV relativeFrom="paragraph">
                  <wp:posOffset>217170</wp:posOffset>
                </wp:positionV>
                <wp:extent cx="589915" cy="292735"/>
                <wp:effectExtent l="4445" t="4445" r="15240" b="7620"/>
                <wp:wrapNone/>
                <wp:docPr id="191" name="矩形 191"/>
                <wp:cNvGraphicFramePr/>
                <a:graphic xmlns:a="http://schemas.openxmlformats.org/drawingml/2006/main">
                  <a:graphicData uri="http://schemas.microsoft.com/office/word/2010/wordprocessingShape">
                    <wps:wsp>
                      <wps:cNvSpPr/>
                      <wps:spPr>
                        <a:xfrm>
                          <a:off x="0" y="0"/>
                          <a:ext cx="589915" cy="29273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宋体" w:hAnsi="宋体" w:eastAsia="宋体" w:cs="宋体"/>
                                <w:szCs w:val="21"/>
                              </w:rPr>
                            </w:pPr>
                            <w:r>
                              <w:rPr>
                                <w:rFonts w:hint="eastAsia" w:ascii="宋体" w:hAnsi="宋体" w:cs="宋体"/>
                                <w:szCs w:val="21"/>
                                <w:lang w:eastAsia="zh-CN"/>
                              </w:rPr>
                              <w:t>采</w:t>
                            </w:r>
                            <w:r>
                              <w:rPr>
                                <w:rFonts w:hint="eastAsia" w:ascii="宋体" w:hAnsi="宋体" w:eastAsia="宋体" w:cs="宋体"/>
                                <w:szCs w:val="21"/>
                              </w:rPr>
                              <w:t>装</w:t>
                            </w:r>
                          </w:p>
                        </w:txbxContent>
                      </wps:txbx>
                      <wps:bodyPr upright="1"/>
                    </wps:wsp>
                  </a:graphicData>
                </a:graphic>
              </wp:anchor>
            </w:drawing>
          </mc:Choice>
          <mc:Fallback>
            <w:pict>
              <v:rect id="_x0000_s1026" o:spid="_x0000_s1026" o:spt="1" style="position:absolute;left:0pt;margin-left:149.5pt;margin-top:17.1pt;height:23.05pt;width:46.45pt;z-index:251713536;mso-width-relative:page;mso-height-relative:page;" fillcolor="#FFFFFF" filled="t" stroked="t" coordsize="21600,21600" o:gfxdata="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Io9U1wAAAAkBAAAPAAAAAAAAAAEAIAAAACIAAABkcnMvZG93&#10;bnJldi54bWxQSwECFAAUAAAACACHTuJA7r0XrAECAAAsBAAADgAAAAAAAAABACAAAAAmAQAAZHJz&#10;L2Uyb0RvYy54bWxQSwUGAAAAAAYABgBZAQAAmQUAAAAA&#10;">
                <v:fill on="t" focussize="0,0"/>
                <v:stroke color="#000000" joinstyle="miter"/>
                <v:imagedata o:title=""/>
                <o:lock v:ext="edit" aspectratio="f"/>
                <v:textbox>
                  <w:txbxContent>
                    <w:p>
                      <w:pPr>
                        <w:spacing w:line="240" w:lineRule="auto"/>
                        <w:ind w:left="0" w:leftChars="0" w:firstLine="0" w:firstLineChars="0"/>
                        <w:jc w:val="center"/>
                        <w:rPr>
                          <w:rFonts w:hint="eastAsia" w:ascii="宋体" w:hAnsi="宋体" w:eastAsia="宋体" w:cs="宋体"/>
                          <w:szCs w:val="21"/>
                        </w:rPr>
                      </w:pPr>
                      <w:r>
                        <w:rPr>
                          <w:rFonts w:hint="eastAsia" w:ascii="宋体" w:hAnsi="宋体" w:cs="宋体"/>
                          <w:szCs w:val="21"/>
                          <w:lang w:eastAsia="zh-CN"/>
                        </w:rPr>
                        <w:t>采</w:t>
                      </w:r>
                      <w:r>
                        <w:rPr>
                          <w:rFonts w:hint="eastAsia" w:ascii="宋体" w:hAnsi="宋体" w:eastAsia="宋体" w:cs="宋体"/>
                          <w:szCs w:val="21"/>
                        </w:rPr>
                        <w:t>装</w:t>
                      </w:r>
                    </w:p>
                  </w:txbxContent>
                </v:textbox>
              </v:rect>
            </w:pict>
          </mc:Fallback>
        </mc:AlternateConten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7872" behindDoc="0" locked="0" layoutInCell="1" allowOverlap="1">
                <wp:simplePos x="0" y="0"/>
                <wp:positionH relativeFrom="column">
                  <wp:posOffset>1261745</wp:posOffset>
                </wp:positionH>
                <wp:positionV relativeFrom="paragraph">
                  <wp:posOffset>41275</wp:posOffset>
                </wp:positionV>
                <wp:extent cx="632460" cy="635"/>
                <wp:effectExtent l="0" t="48895" r="15240" b="64770"/>
                <wp:wrapNone/>
                <wp:docPr id="201" name="直接连接符 201"/>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arrow" w="med" len="med"/>
                          <a:tailEnd type="none" w="med" len="med"/>
                        </a:ln>
                      </wps:spPr>
                      <wps:bodyPr upright="1"/>
                    </wps:wsp>
                  </a:graphicData>
                </a:graphic>
              </wp:anchor>
            </w:drawing>
          </mc:Choice>
          <mc:Fallback>
            <w:pict>
              <v:line id="_x0000_s1026" o:spid="_x0000_s1026" o:spt="20" style="position:absolute;left:0pt;margin-left:99.35pt;margin-top:3.25pt;height:0.05pt;width:49.8pt;z-index:251727872;mso-width-relative:page;mso-height-relative:page;" filled="f" stroked="t" coordsize="21600,21600" o:gfxdata="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L7Wp7WAAAABwEAAA8AAAAAAAAAAQAgAAAAIgAAAGRycy9kb3ducmV2&#10;LnhtbFBLAQIUABQAAAAIAIdO4kA7W2j6/gEAAOoDAAAOAAAAAAAAAAEAIAAAACUBAABkcnMvZTJv&#10;RG9jLnhtbFBLBQYAAAAABgAGAFkBAACVBQAAAAA=&#10;">
                <v:fill on="f" focussize="0,0"/>
                <v:stroke color="#FF0000" joinstyle="round" startarrow="open"/>
                <v:imagedata o:title=""/>
                <o:lock v:ext="edit" aspectratio="f"/>
              </v:line>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2211705</wp:posOffset>
                </wp:positionH>
                <wp:positionV relativeFrom="paragraph">
                  <wp:posOffset>208280</wp:posOffset>
                </wp:positionV>
                <wp:extent cx="635" cy="396240"/>
                <wp:effectExtent l="37465" t="0" r="38100" b="3810"/>
                <wp:wrapNone/>
                <wp:docPr id="202" name="直接箭头连接符 202"/>
                <wp:cNvGraphicFramePr/>
                <a:graphic xmlns:a="http://schemas.openxmlformats.org/drawingml/2006/main">
                  <a:graphicData uri="http://schemas.microsoft.com/office/word/2010/wordprocessingShape">
                    <wps:wsp>
                      <wps:cNvCnPr/>
                      <wps:spPr>
                        <a:xfrm>
                          <a:off x="0" y="0"/>
                          <a:ext cx="635" cy="3962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4.15pt;margin-top:16.4pt;height:31.2pt;width:0.05pt;z-index:251714560;mso-width-relative:page;mso-height-relative:page;" filled="f" stroked="t" coordsize="21600,21600" o:gfxdata="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7C9rftkAAAAJAQAADwAAAAAAAAABACAAAAAi&#10;AAAAZHJzL2Rvd25yZXYueG1sUEsBAhQAFAAAAAgAh07iQFR0DWAJAgAA9QMAAA4AAAAAAAAAAQAg&#10;AAAAKAEAAGRycy9lMm9Eb2MueG1sUEsFBgAAAAAGAAYAWQEAAKMFAAAAAA==&#10;">
                <v:fill on="f" focussize="0,0"/>
                <v:stroke color="#000000" joinstyle="round" endarrow="block"/>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1728" behindDoc="0" locked="0" layoutInCell="1" allowOverlap="1">
                <wp:simplePos x="0" y="0"/>
                <wp:positionH relativeFrom="column">
                  <wp:posOffset>2498090</wp:posOffset>
                </wp:positionH>
                <wp:positionV relativeFrom="paragraph">
                  <wp:posOffset>22225</wp:posOffset>
                </wp:positionV>
                <wp:extent cx="632460" cy="635"/>
                <wp:effectExtent l="0" t="48895" r="15240" b="64770"/>
                <wp:wrapNone/>
                <wp:docPr id="205" name="直接连接符 205"/>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196.7pt;margin-top:1.75pt;height:0.05pt;width:49.8pt;z-index:251721728;mso-width-relative:page;mso-height-relative:page;" filled="f" stroked="t" coordsize="21600,21600" o:gfxdata="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6ZK7J1AAAAAcBAAAPAAAAAAAAAAEAIAAAACIAAABkcnMvZG93bnJl&#10;di54bWxQSwECFAAUAAAACACHTuJALztQ7wECAADqAwAADgAAAAAAAAABACAAAAAjAQAAZHJzL2Uy&#10;b0RvYy54bWxQSwUGAAAAAAYABgBZAQAAlgUAAAAA&#10;">
                <v:fill on="f" focussize="0,0"/>
                <v:stroke color="#FF0000" joinstyle="round" endarrow="open"/>
                <v:imagedata o:title=""/>
                <o:lock v:ext="edit" aspectratio="f"/>
              </v:line>
            </w:pict>
          </mc:Fallback>
        </mc:AlternateConten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26848" behindDoc="0" locked="0" layoutInCell="1" allowOverlap="1">
                <wp:simplePos x="0" y="0"/>
                <wp:positionH relativeFrom="column">
                  <wp:posOffset>3347720</wp:posOffset>
                </wp:positionH>
                <wp:positionV relativeFrom="paragraph">
                  <wp:posOffset>299720</wp:posOffset>
                </wp:positionV>
                <wp:extent cx="417195" cy="311785"/>
                <wp:effectExtent l="4445" t="5080" r="16510" b="6985"/>
                <wp:wrapNone/>
                <wp:docPr id="219" name="矩形 219"/>
                <wp:cNvGraphicFramePr/>
                <a:graphic xmlns:a="http://schemas.openxmlformats.org/drawingml/2006/main">
                  <a:graphicData uri="http://schemas.microsoft.com/office/word/2010/wordprocessingShape">
                    <wps:wsp>
                      <wps:cNvSpPr/>
                      <wps:spPr>
                        <a:xfrm>
                          <a:off x="0" y="0"/>
                          <a:ext cx="417195" cy="3117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G4</w:t>
                            </w:r>
                          </w:p>
                        </w:txbxContent>
                      </wps:txbx>
                      <wps:bodyPr upright="1"/>
                    </wps:wsp>
                  </a:graphicData>
                </a:graphic>
              </wp:anchor>
            </w:drawing>
          </mc:Choice>
          <mc:Fallback>
            <w:pict>
              <v:rect id="_x0000_s1026" o:spid="_x0000_s1026" o:spt="1" style="position:absolute;left:0pt;margin-left:263.6pt;margin-top:23.6pt;height:24.55pt;width:32.85pt;z-index:251726848;mso-width-relative:page;mso-height-relative:page;" fillcolor="#FFFFFF" filled="t" stroked="t" coordsize="21600,21600" o:gfxdata="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cK9OrtgAAAAJAQAADwAAAAAAAAABACAAAAAiAAAAZHJzL2Rvd25y&#10;ZXYueG1sUEsBAhQAFAAAAAgAh07iQKEnogv+AQAALAQAAA4AAAAAAAAAAQAgAAAAJwEAAGRycy9l&#10;Mm9Eb2MueG1sUEsFBgAAAAAGAAYAWQEAAJcFAAAAAA==&#10;">
                <v:fill on="t" focussize="0,0"/>
                <v:stroke color="#FFFFFF" joinstyle="miter"/>
                <v:imagedata o:title=""/>
                <o:lock v:ext="edit" aspectratio="f"/>
                <v:textbox>
                  <w:txbxContent>
                    <w:p>
                      <w:pPr>
                        <w:spacing w:line="240" w:lineRule="auto"/>
                        <w:ind w:left="0" w:leftChars="0" w:firstLine="0" w:firstLineChars="0"/>
                        <w:jc w:val="both"/>
                        <w:rPr>
                          <w:rFonts w:hint="default" w:ascii="宋体" w:hAnsi="宋体" w:eastAsia="宋体" w:cs="宋体"/>
                          <w:color w:val="FF0000"/>
                          <w:szCs w:val="21"/>
                          <w:lang w:val="en-US" w:eastAsia="zh-CN"/>
                        </w:rPr>
                      </w:pPr>
                      <w:r>
                        <w:rPr>
                          <w:rFonts w:hint="eastAsia" w:ascii="宋体" w:hAnsi="宋体" w:cs="宋体"/>
                          <w:color w:val="FF0000"/>
                          <w:szCs w:val="21"/>
                          <w:lang w:val="en-US" w:eastAsia="zh-CN"/>
                        </w:rPr>
                        <w:t>G4</w:t>
                      </w:r>
                    </w:p>
                  </w:txbxContent>
                </v:textbox>
              </v:rect>
            </w:pict>
          </mc:Fallback>
        </mc:AlternateContent>
      </w:r>
      <w:r>
        <w:rPr>
          <w:rFonts w:hint="default" w:ascii="Times New Roman" w:hAnsi="Times New Roman" w:eastAsia="宋体" w:cs="Times New Roman"/>
          <w:b/>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1826260</wp:posOffset>
                </wp:positionH>
                <wp:positionV relativeFrom="paragraph">
                  <wp:posOffset>287020</wp:posOffset>
                </wp:positionV>
                <wp:extent cx="858520" cy="309880"/>
                <wp:effectExtent l="4445" t="4445" r="13335" b="9525"/>
                <wp:wrapNone/>
                <wp:docPr id="218" name="矩形 218"/>
                <wp:cNvGraphicFramePr/>
                <a:graphic xmlns:a="http://schemas.openxmlformats.org/drawingml/2006/main">
                  <a:graphicData uri="http://schemas.microsoft.com/office/word/2010/wordprocessingShape">
                    <wps:wsp>
                      <wps:cNvSpPr/>
                      <wps:spPr>
                        <a:xfrm>
                          <a:off x="0" y="0"/>
                          <a:ext cx="858520" cy="3098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ascii="仿宋_GB2312" w:eastAsia="仿宋_GB2312"/>
                                <w:szCs w:val="21"/>
                              </w:rPr>
                            </w:pPr>
                            <w:r>
                              <w:rPr>
                                <w:rFonts w:hint="eastAsia" w:ascii="宋体" w:hAnsi="宋体" w:eastAsia="宋体" w:cs="宋体"/>
                                <w:szCs w:val="21"/>
                              </w:rPr>
                              <w:t>汽车运输</w:t>
                            </w:r>
                          </w:p>
                        </w:txbxContent>
                      </wps:txbx>
                      <wps:bodyPr upright="1"/>
                    </wps:wsp>
                  </a:graphicData>
                </a:graphic>
              </wp:anchor>
            </w:drawing>
          </mc:Choice>
          <mc:Fallback>
            <w:pict>
              <v:rect id="_x0000_s1026" o:spid="_x0000_s1026" o:spt="1" style="position:absolute;left:0pt;margin-left:143.8pt;margin-top:22.6pt;height:24.4pt;width:67.6pt;z-index:251715584;mso-width-relative:page;mso-height-relative:page;" fillcolor="#FFFFFF" filled="t" stroked="t" coordsize="21600,21600" o:gfxdata="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ZurgtgAAAAJAQAADwAAAAAAAAABACAAAAAiAAAAZHJz&#10;L2Rvd25yZXYueG1sUEsBAhQAFAAAAAgAh07iQM3MZ0UEAgAALAQAAA4AAAAAAAAAAQAgAAAAJwEA&#10;AGRycy9lMm9Eb2MueG1sUEsFBgAAAAAGAAYAWQEAAJ0FAAAAAA==&#10;">
                <v:fill on="t" focussize="0,0"/>
                <v:stroke color="#000000" joinstyle="miter"/>
                <v:imagedata o:title=""/>
                <o:lock v:ext="edit" aspectratio="f"/>
                <v:textbox>
                  <w:txbxContent>
                    <w:p>
                      <w:pPr>
                        <w:spacing w:line="240" w:lineRule="auto"/>
                        <w:ind w:left="0" w:leftChars="0" w:firstLine="0" w:firstLineChars="0"/>
                        <w:jc w:val="center"/>
                        <w:rPr>
                          <w:rFonts w:hint="eastAsia" w:ascii="仿宋_GB2312" w:eastAsia="仿宋_GB2312"/>
                          <w:szCs w:val="21"/>
                        </w:rPr>
                      </w:pPr>
                      <w:r>
                        <w:rPr>
                          <w:rFonts w:hint="eastAsia" w:ascii="宋体" w:hAnsi="宋体" w:eastAsia="宋体" w:cs="宋体"/>
                          <w:szCs w:val="21"/>
                        </w:rPr>
                        <w:t>汽车运输</w:t>
                      </w:r>
                    </w:p>
                  </w:txbxContent>
                </v:textbox>
              </v:rect>
            </w:pict>
          </mc:Fallback>
        </mc:AlternateContent>
      </w:r>
    </w:p>
    <w:p>
      <w:pPr>
        <w:spacing w:line="500" w:lineRule="exact"/>
        <w:ind w:left="0" w:leftChars="0" w:firstLine="0" w:firstLineChars="0"/>
        <w:rPr>
          <w:rFonts w:hint="default" w:ascii="Times New Roman" w:hAnsi="Times New Roman" w:eastAsia="宋体" w:cs="Times New Roman"/>
          <w:b/>
          <w:color w:val="auto"/>
          <w:sz w:val="24"/>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25824" behindDoc="0" locked="0" layoutInCell="1" allowOverlap="1">
                <wp:simplePos x="0" y="0"/>
                <wp:positionH relativeFrom="column">
                  <wp:posOffset>2691765</wp:posOffset>
                </wp:positionH>
                <wp:positionV relativeFrom="paragraph">
                  <wp:posOffset>130175</wp:posOffset>
                </wp:positionV>
                <wp:extent cx="632460" cy="635"/>
                <wp:effectExtent l="0" t="48895" r="15240" b="64770"/>
                <wp:wrapNone/>
                <wp:docPr id="220" name="直接连接符 220"/>
                <wp:cNvGraphicFramePr/>
                <a:graphic xmlns:a="http://schemas.openxmlformats.org/drawingml/2006/main">
                  <a:graphicData uri="http://schemas.microsoft.com/office/word/2010/wordprocessingShape">
                    <wps:wsp>
                      <wps:cNvCnPr/>
                      <wps:spPr>
                        <a:xfrm>
                          <a:off x="0" y="0"/>
                          <a:ext cx="632460" cy="63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11.95pt;margin-top:10.25pt;height:0.05pt;width:49.8pt;z-index:251725824;mso-width-relative:page;mso-height-relative:page;" filled="f" stroked="t" coordsize="21600,21600" o:gfxdata="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KFkNf9UAAAAJAQAADwAAAAAAAAABACAAAAAiAAAAZHJzL2Rvd25yZXYu&#10;eG1sUEsBAhQAFAAAAAgAh07iQFn29zP+AQAA6gMAAA4AAAAAAAAAAQAgAAAAJAEAAGRycy9lMm9E&#10;b2MueG1sUEsFBgAAAAAGAAYAWQEAAJQFAAAAAA==&#10;">
                <v:fill on="f" focussize="0,0"/>
                <v:stroke color="#FF0000" joinstyle="round" endarrow="open"/>
                <v:imagedata o:title=""/>
                <o:lock v:ext="edit" aspectratio="f"/>
              </v:line>
            </w:pict>
          </mc:Fallback>
        </mc:AlternateContent>
      </w:r>
    </w:p>
    <w:p>
      <w:pPr>
        <w:ind w:firstLine="0" w:firstLineChars="0"/>
        <w:jc w:val="center"/>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图</w:t>
      </w:r>
      <w:r>
        <w:rPr>
          <w:rFonts w:hint="eastAsia" w:cs="Times New Roman"/>
          <w:b/>
          <w:bCs/>
          <w:color w:val="auto"/>
          <w:highlight w:val="none"/>
          <w:lang w:eastAsia="zh-CN"/>
        </w:rPr>
        <w:t>3.3-</w:t>
      </w:r>
      <w:r>
        <w:rPr>
          <w:rFonts w:hint="eastAsia" w:cs="Times New Roman"/>
          <w:b/>
          <w:bCs/>
          <w:color w:val="auto"/>
          <w:highlight w:val="none"/>
          <w:lang w:val="en-US" w:eastAsia="zh-CN"/>
        </w:rPr>
        <w:t>7</w:t>
      </w:r>
      <w:r>
        <w:rPr>
          <w:rFonts w:hint="default" w:ascii="Times New Roman" w:hAnsi="Times New Roman" w:eastAsia="宋体" w:cs="Times New Roman"/>
          <w:b/>
          <w:bCs/>
          <w:color w:val="auto"/>
          <w:highlight w:val="none"/>
          <w:lang w:val="en-US" w:eastAsia="zh-CN"/>
        </w:rPr>
        <w:t xml:space="preserve"> </w:t>
      </w:r>
      <w:r>
        <w:rPr>
          <w:rFonts w:hint="default" w:ascii="Times New Roman" w:hAnsi="Times New Roman" w:eastAsia="宋体" w:cs="Times New Roman"/>
          <w:b/>
          <w:bCs/>
          <w:color w:val="auto"/>
          <w:highlight w:val="none"/>
        </w:rPr>
        <w:t>采矿工艺流程及排污节点示意图</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3.3.2.</w:t>
      </w:r>
      <w:r>
        <w:rPr>
          <w:rFonts w:hint="default" w:ascii="Times New Roman" w:hAnsi="Times New Roman" w:eastAsia="宋体" w:cs="Times New Roman"/>
          <w:color w:val="auto"/>
          <w:sz w:val="24"/>
          <w:highlight w:val="none"/>
          <w:lang w:val="en-US" w:eastAsia="zh-CN"/>
        </w:rPr>
        <w:t>8 地下开采排污节点</w:t>
      </w:r>
    </w:p>
    <w:p>
      <w:pPr>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lang w:val="en-US" w:eastAsia="zh-CN"/>
        </w:rPr>
        <w:t>表</w:t>
      </w:r>
      <w:r>
        <w:rPr>
          <w:rFonts w:hint="eastAsia" w:cs="Times New Roman"/>
          <w:b/>
          <w:color w:val="auto"/>
          <w:sz w:val="21"/>
          <w:szCs w:val="21"/>
          <w:highlight w:val="none"/>
          <w:lang w:val="en-US" w:eastAsia="zh-CN"/>
        </w:rPr>
        <w:t>3.3-</w:t>
      </w:r>
      <w:r>
        <w:rPr>
          <w:rFonts w:hint="default" w:ascii="Times New Roman" w:hAnsi="Times New Roman" w:eastAsia="宋体" w:cs="Times New Roman"/>
          <w:b/>
          <w:color w:val="auto"/>
          <w:sz w:val="21"/>
          <w:szCs w:val="21"/>
          <w:highlight w:val="none"/>
          <w:lang w:val="en-US" w:eastAsia="zh-CN"/>
        </w:rPr>
        <w:t>4     地下开采排污节点</w:t>
      </w:r>
      <w:r>
        <w:rPr>
          <w:rFonts w:hint="default" w:ascii="Times New Roman" w:hAnsi="Times New Roman" w:eastAsia="宋体" w:cs="Times New Roman"/>
          <w:b/>
          <w:bCs/>
          <w:color w:val="auto"/>
          <w:sz w:val="21"/>
          <w:highlight w:val="none"/>
          <w:lang w:val="en-US" w:eastAsia="zh-CN"/>
        </w:rPr>
        <w:t>汇总一览表</w:t>
      </w:r>
    </w:p>
    <w:tbl>
      <w:tblPr>
        <w:tblStyle w:val="4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4"/>
        <w:gridCol w:w="1549"/>
        <w:gridCol w:w="2837"/>
        <w:gridCol w:w="32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污染类型</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编号</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污染源</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主要污染因子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restar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废气</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G1</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穿孔凿岩</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G2</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爆破</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G3</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采装</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G</w:t>
            </w:r>
            <w:r>
              <w:rPr>
                <w:rFonts w:hint="eastAsia" w:cs="Times New Roman"/>
                <w:snapToGrid/>
                <w:color w:val="auto"/>
                <w:kern w:val="2"/>
                <w:sz w:val="21"/>
                <w:szCs w:val="21"/>
                <w:highlight w:val="none"/>
                <w:lang w:val="en-US" w:eastAsia="zh-CN" w:bidi="ar-SA"/>
              </w:rPr>
              <w:t>4</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运输</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restar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废水</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W1</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矿井涌水</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W</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生活污水</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COD、NH</w:t>
            </w:r>
            <w:r>
              <w:rPr>
                <w:rFonts w:hint="default" w:ascii="Times New Roman" w:hAnsi="Times New Roman" w:eastAsia="宋体" w:cs="Times New Roman"/>
                <w:snapToGrid/>
                <w:color w:val="auto"/>
                <w:kern w:val="2"/>
                <w:sz w:val="21"/>
                <w:szCs w:val="21"/>
                <w:highlight w:val="none"/>
                <w:vertAlign w:val="subscript"/>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噪声</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N1~N</w:t>
            </w:r>
            <w:r>
              <w:rPr>
                <w:rFonts w:hint="eastAsia" w:cs="Times New Roman"/>
                <w:snapToGrid/>
                <w:color w:val="auto"/>
                <w:kern w:val="2"/>
                <w:sz w:val="21"/>
                <w:szCs w:val="21"/>
                <w:highlight w:val="none"/>
                <w:lang w:val="en-US" w:eastAsia="zh-CN" w:bidi="ar-SA"/>
              </w:rPr>
              <w:t>3</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生产设备</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等效A声级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restar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固废</w:t>
            </w: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w:t>
            </w:r>
            <w:r>
              <w:rPr>
                <w:rFonts w:hint="eastAsia" w:cs="Times New Roman"/>
                <w:snapToGrid/>
                <w:color w:val="auto"/>
                <w:kern w:val="2"/>
                <w:sz w:val="21"/>
                <w:szCs w:val="21"/>
                <w:highlight w:val="none"/>
                <w:lang w:val="en-US" w:eastAsia="zh-CN" w:bidi="ar-SA"/>
              </w:rPr>
              <w:t>1</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废石</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一般工业固体废物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75"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4"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w:t>
            </w:r>
          </w:p>
        </w:tc>
        <w:tc>
          <w:tcPr>
            <w:tcW w:w="1528"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生活垃圾</w:t>
            </w:r>
          </w:p>
        </w:tc>
        <w:tc>
          <w:tcPr>
            <w:tcW w:w="1761"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生活垃圾</w:t>
            </w:r>
          </w:p>
        </w:tc>
      </w:tr>
    </w:tbl>
    <w:p>
      <w:pPr>
        <w:pStyle w:val="5"/>
        <w:bidi w:val="0"/>
        <w:rPr>
          <w:rFonts w:hint="default" w:ascii="Times New Roman" w:hAnsi="Times New Roman" w:eastAsia="宋体" w:cs="Times New Roman"/>
          <w:color w:val="auto"/>
          <w:highlight w:val="none"/>
        </w:rPr>
      </w:pPr>
      <w:bookmarkStart w:id="231" w:name="_Toc21427"/>
      <w:bookmarkStart w:id="232" w:name="_Toc21110"/>
      <w:bookmarkStart w:id="233" w:name="_Toc2433"/>
      <w:r>
        <w:rPr>
          <w:rFonts w:hint="eastAsia" w:ascii="Times New Roman" w:hAnsi="Times New Roman" w:eastAsia="宋体" w:cs="Times New Roman"/>
          <w:color w:val="auto"/>
          <w:highlight w:val="none"/>
          <w:lang w:val="en-US" w:eastAsia="zh-CN"/>
        </w:rPr>
        <w:t>总矿岩平衡</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矿山扩建后设计年开采</w:t>
      </w:r>
      <w:r>
        <w:rPr>
          <w:rFonts w:hint="default" w:ascii="Times New Roman" w:hAnsi="Times New Roman" w:eastAsia="宋体" w:cs="Times New Roman"/>
          <w:color w:val="auto"/>
          <w:highlight w:val="none"/>
          <w:lang w:val="en-US" w:eastAsia="zh-CN"/>
        </w:rPr>
        <w:t>钾长</w:t>
      </w:r>
      <w:r>
        <w:rPr>
          <w:rFonts w:hint="default" w:ascii="Times New Roman" w:hAnsi="Times New Roman" w:eastAsia="宋体" w:cs="Times New Roman"/>
          <w:color w:val="auto"/>
          <w:highlight w:val="none"/>
        </w:rPr>
        <w:t>石</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万t，露天开采与地下开采同时开采，地下开采生产能力为5万t/a，露天开采生产能力为10万t/a（其中露天一采场及二采场各5万t/a）。根据各开采矿体的服务年限及接续情况，确定露天二采场开采结束后，地下开采规模调整为10万t/a，露天一采场结束后，地下开采规模调整为15万t/a。本项目根据《开发利用方案》</w:t>
      </w:r>
      <w:r>
        <w:rPr>
          <w:rFonts w:hint="default" w:ascii="Times New Roman" w:hAnsi="Times New Roman" w:eastAsia="宋体" w:cs="Times New Roman"/>
          <w:color w:val="auto"/>
          <w:highlight w:val="none"/>
          <w:lang w:val="en-US" w:eastAsia="zh-CN"/>
        </w:rPr>
        <w:t>按照三</w:t>
      </w:r>
      <w:r>
        <w:rPr>
          <w:rFonts w:hint="default" w:ascii="Times New Roman" w:hAnsi="Times New Roman" w:eastAsia="宋体" w:cs="Times New Roman"/>
          <w:color w:val="auto"/>
          <w:highlight w:val="none"/>
        </w:rPr>
        <w:t>个采区</w:t>
      </w:r>
      <w:r>
        <w:rPr>
          <w:rFonts w:hint="default" w:ascii="Times New Roman" w:hAnsi="Times New Roman" w:eastAsia="宋体" w:cs="Times New Roman"/>
          <w:color w:val="auto"/>
          <w:highlight w:val="none"/>
          <w:lang w:val="en-US" w:eastAsia="zh-CN"/>
        </w:rPr>
        <w:t>同时开采时段计算</w:t>
      </w:r>
      <w:r>
        <w:rPr>
          <w:rFonts w:hint="default" w:ascii="Times New Roman" w:hAnsi="Times New Roman" w:eastAsia="宋体" w:cs="Times New Roman"/>
          <w:color w:val="auto"/>
          <w:highlight w:val="none"/>
        </w:rPr>
        <w:t>各采区产生废石量及矿岩平衡</w:t>
      </w:r>
      <w:r>
        <w:rPr>
          <w:rFonts w:hint="default" w:ascii="Times New Roman" w:hAnsi="Times New Roman" w:eastAsia="宋体" w:cs="Times New Roman"/>
          <w:color w:val="auto"/>
          <w:highlight w:val="none"/>
          <w:lang w:val="en-US" w:eastAsia="zh-CN"/>
        </w:rPr>
        <w:t>情况，</w:t>
      </w:r>
      <w:r>
        <w:rPr>
          <w:rFonts w:hint="default" w:ascii="Times New Roman" w:hAnsi="Times New Roman" w:eastAsia="宋体" w:cs="Times New Roman"/>
          <w:color w:val="auto"/>
          <w:highlight w:val="none"/>
        </w:rPr>
        <w:t>见表</w:t>
      </w: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p>
    <w:p>
      <w:pPr>
        <w:pStyle w:val="315"/>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 xml:space="preserve"> 矿岩平衡表</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2"/>
        <w:gridCol w:w="931"/>
        <w:gridCol w:w="1466"/>
        <w:gridCol w:w="1198"/>
        <w:gridCol w:w="1651"/>
        <w:gridCol w:w="28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47"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工程名称</w:t>
            </w:r>
          </w:p>
        </w:tc>
        <w:tc>
          <w:tcPr>
            <w:tcW w:w="1292" w:type="pct"/>
            <w:gridSpan w:val="2"/>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剥采</w:t>
            </w:r>
          </w:p>
        </w:tc>
        <w:tc>
          <w:tcPr>
            <w:tcW w:w="3059" w:type="pct"/>
            <w:gridSpan w:val="3"/>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exact"/>
          <w:jc w:val="center"/>
        </w:trPr>
        <w:tc>
          <w:tcPr>
            <w:tcW w:w="647"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02"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789"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数量（万t/a）</w:t>
            </w:r>
          </w:p>
        </w:tc>
        <w:tc>
          <w:tcPr>
            <w:tcW w:w="645"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889"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数量（万t/a）</w:t>
            </w:r>
          </w:p>
        </w:tc>
        <w:tc>
          <w:tcPr>
            <w:tcW w:w="1524"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47"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一采区</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（12.43a）</w:t>
            </w:r>
          </w:p>
        </w:tc>
        <w:tc>
          <w:tcPr>
            <w:tcW w:w="502"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矿岩</w:t>
            </w:r>
          </w:p>
        </w:tc>
        <w:tc>
          <w:tcPr>
            <w:tcW w:w="789"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20.03</w:t>
            </w:r>
          </w:p>
        </w:tc>
        <w:tc>
          <w:tcPr>
            <w:tcW w:w="645"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钾长石</w:t>
            </w:r>
          </w:p>
        </w:tc>
        <w:tc>
          <w:tcPr>
            <w:tcW w:w="889"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524"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47"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02"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789"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645"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废石</w:t>
            </w:r>
          </w:p>
        </w:tc>
        <w:tc>
          <w:tcPr>
            <w:tcW w:w="889"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15.03</w:t>
            </w:r>
          </w:p>
        </w:tc>
        <w:tc>
          <w:tcPr>
            <w:tcW w:w="1524"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临时排岩场暂存后外售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47"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二采区（3.19a）</w:t>
            </w:r>
          </w:p>
        </w:tc>
        <w:tc>
          <w:tcPr>
            <w:tcW w:w="502"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矿岩</w:t>
            </w:r>
          </w:p>
        </w:tc>
        <w:tc>
          <w:tcPr>
            <w:tcW w:w="789"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10.11</w:t>
            </w:r>
          </w:p>
        </w:tc>
        <w:tc>
          <w:tcPr>
            <w:tcW w:w="645"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钾长石</w:t>
            </w:r>
          </w:p>
        </w:tc>
        <w:tc>
          <w:tcPr>
            <w:tcW w:w="889"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524"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47"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02"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789"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645"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废石</w:t>
            </w:r>
          </w:p>
        </w:tc>
        <w:tc>
          <w:tcPr>
            <w:tcW w:w="889"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5.11</w:t>
            </w:r>
          </w:p>
        </w:tc>
        <w:tc>
          <w:tcPr>
            <w:tcW w:w="1524"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临时排岩场暂存后外售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47"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地下开采（15.78a）</w:t>
            </w:r>
          </w:p>
        </w:tc>
        <w:tc>
          <w:tcPr>
            <w:tcW w:w="502"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矿岩</w:t>
            </w:r>
          </w:p>
        </w:tc>
        <w:tc>
          <w:tcPr>
            <w:tcW w:w="789" w:type="pct"/>
            <w:vMerge w:val="restar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5.56</w:t>
            </w:r>
          </w:p>
        </w:tc>
        <w:tc>
          <w:tcPr>
            <w:tcW w:w="645"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钾长石</w:t>
            </w:r>
          </w:p>
        </w:tc>
        <w:tc>
          <w:tcPr>
            <w:tcW w:w="889"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524"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外售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47"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02"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789" w:type="pct"/>
            <w:vMerge w:val="continue"/>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645"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废石</w:t>
            </w:r>
          </w:p>
        </w:tc>
        <w:tc>
          <w:tcPr>
            <w:tcW w:w="889"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0.56</w:t>
            </w:r>
          </w:p>
        </w:tc>
        <w:tc>
          <w:tcPr>
            <w:tcW w:w="1524" w:type="pct"/>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回填井下采空区不升井</w:t>
            </w:r>
          </w:p>
        </w:tc>
      </w:tr>
    </w:tbl>
    <w:p>
      <w:pPr>
        <w:pStyle w:val="5"/>
        <w:bidi w:val="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公用工程</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3.4.4.1给排</w:t>
      </w:r>
      <w:r>
        <w:rPr>
          <w:rFonts w:hint="default" w:ascii="Times New Roman" w:hAnsi="Times New Roman" w:eastAsia="宋体" w:cs="Times New Roman"/>
          <w:color w:val="auto"/>
          <w:sz w:val="24"/>
          <w:highlight w:val="none"/>
          <w:lang w:val="en-US" w:eastAsia="zh-CN"/>
        </w:rPr>
        <w:t>水</w:t>
      </w:r>
      <w:r>
        <w:rPr>
          <w:rFonts w:hint="eastAsia" w:ascii="Times New Roman" w:hAnsi="Times New Roman" w:eastAsia="宋体" w:cs="Times New Roman"/>
          <w:color w:val="auto"/>
          <w:sz w:val="24"/>
          <w:highlight w:val="none"/>
          <w:lang w:val="en-US" w:eastAsia="zh-CN"/>
        </w:rPr>
        <w:t>工程</w:t>
      </w:r>
    </w:p>
    <w:p>
      <w:pPr>
        <w:numPr>
          <w:ilvl w:val="0"/>
          <w:numId w:val="11"/>
        </w:numPr>
        <w:ind w:left="-2" w:leftChars="0" w:firstLineChars="0"/>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供水</w:t>
      </w:r>
    </w:p>
    <w:p>
      <w:pPr>
        <w:bidi w:val="0"/>
        <w:rPr>
          <w:rFonts w:hint="eastAsia"/>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供水水源</w:t>
      </w:r>
    </w:p>
    <w:p>
      <w:pPr>
        <w:bidi w:val="0"/>
        <w:rPr>
          <w:rFonts w:hint="eastAsia"/>
          <w:color w:val="auto"/>
        </w:rPr>
      </w:pPr>
      <w:r>
        <w:rPr>
          <w:rFonts w:hint="eastAsia"/>
          <w:color w:val="auto"/>
        </w:rPr>
        <w:t>矿区用水包括生活用水和生产用水。生活用水来自于外购水，通过车辆运输。</w:t>
      </w:r>
    </w:p>
    <w:p>
      <w:pPr>
        <w:bidi w:val="0"/>
        <w:rPr>
          <w:rFonts w:hint="eastAsia"/>
          <w:color w:val="auto"/>
        </w:rPr>
      </w:pPr>
      <w:r>
        <w:rPr>
          <w:rFonts w:hint="eastAsia"/>
          <w:color w:val="auto"/>
        </w:rPr>
        <w:t>生产用水来自于矿井涌水。生产过程用水主要包括</w:t>
      </w:r>
      <w:r>
        <w:rPr>
          <w:rFonts w:hint="default" w:ascii="Times New Roman" w:hAnsi="Times New Roman" w:eastAsia="宋体" w:cs="Times New Roman"/>
          <w:color w:val="auto"/>
          <w:highlight w:val="none"/>
          <w:u w:color="000000"/>
          <w:lang w:val="en-US" w:eastAsia="zh-CN"/>
        </w:rPr>
        <w:t>凿岩机</w:t>
      </w:r>
      <w:r>
        <w:rPr>
          <w:rFonts w:hint="eastAsia" w:ascii="Times New Roman" w:hAnsi="Times New Roman" w:eastAsia="宋体" w:cs="Times New Roman"/>
          <w:color w:val="auto"/>
          <w:highlight w:val="none"/>
          <w:u w:color="000000"/>
          <w:lang w:val="en-US" w:eastAsia="zh-CN"/>
        </w:rPr>
        <w:t>、</w:t>
      </w:r>
      <w:r>
        <w:rPr>
          <w:rFonts w:hint="default" w:ascii="Times New Roman" w:hAnsi="Times New Roman" w:eastAsia="宋体" w:cs="Times New Roman"/>
          <w:color w:val="auto"/>
          <w:highlight w:val="none"/>
        </w:rPr>
        <w:t>潜孔钻机</w:t>
      </w:r>
      <w:r>
        <w:rPr>
          <w:rFonts w:hint="eastAsia" w:ascii="Times New Roman" w:hAnsi="Times New Roman" w:eastAsia="宋体" w:cs="Times New Roman"/>
          <w:color w:val="auto"/>
          <w:highlight w:val="none"/>
          <w:lang w:eastAsia="zh-CN"/>
        </w:rPr>
        <w:t>、</w:t>
      </w:r>
      <w:r>
        <w:rPr>
          <w:rFonts w:hint="eastAsia"/>
          <w:color w:val="auto"/>
        </w:rPr>
        <w:t>防尘洒水</w:t>
      </w:r>
      <w:r>
        <w:rPr>
          <w:rFonts w:hint="eastAsia"/>
          <w:color w:val="auto"/>
          <w:lang w:val="en-US" w:eastAsia="zh-CN"/>
        </w:rPr>
        <w:t>及</w:t>
      </w:r>
      <w:r>
        <w:rPr>
          <w:rFonts w:hint="eastAsia"/>
          <w:color w:val="auto"/>
        </w:rPr>
        <w:t>绿化等用水。生产用水由地表蓄水池通过供水管路直接供给。蓄水池水源是井下水排到地表蓄水池</w:t>
      </w:r>
      <w:r>
        <w:rPr>
          <w:rFonts w:hint="eastAsia"/>
          <w:color w:val="auto"/>
          <w:lang w:val="en-US" w:eastAsia="zh-CN"/>
        </w:rPr>
        <w:t>沉淀</w:t>
      </w:r>
      <w:r>
        <w:rPr>
          <w:rFonts w:hint="eastAsia"/>
          <w:color w:val="auto"/>
        </w:rPr>
        <w:t>后使用，在地下水不足时，由外购水补充。</w:t>
      </w:r>
    </w:p>
    <w:p>
      <w:pPr>
        <w:bidi w:val="0"/>
        <w:rPr>
          <w:rFonts w:hint="eastAsia"/>
          <w:color w:val="auto"/>
        </w:rPr>
      </w:pPr>
      <w:r>
        <w:rPr>
          <w:rFonts w:hint="eastAsia"/>
          <w:color w:val="auto"/>
          <w:highlight w:val="none"/>
        </w:rPr>
        <w:t>依据开发利用方案，</w:t>
      </w:r>
      <w:r>
        <w:rPr>
          <w:rFonts w:hint="eastAsia"/>
          <w:color w:val="auto"/>
          <w:lang w:val="en-US" w:eastAsia="zh-CN"/>
        </w:rPr>
        <w:t>矿井</w:t>
      </w:r>
      <w:r>
        <w:rPr>
          <w:color w:val="auto"/>
        </w:rPr>
        <w:t>涌水量预测</w:t>
      </w:r>
      <w:r>
        <w:rPr>
          <w:rFonts w:hint="eastAsia"/>
          <w:color w:val="auto"/>
          <w:lang w:val="en-US" w:eastAsia="zh-CN"/>
        </w:rPr>
        <w:t>依据</w:t>
      </w:r>
      <w:r>
        <w:rPr>
          <w:color w:val="auto"/>
        </w:rPr>
        <w:t>该矿2009年地质详查工作资料，采用比拟法对坑道用水量进行了计算，</w:t>
      </w:r>
      <w:r>
        <w:rPr>
          <w:rFonts w:hint="eastAsia"/>
          <w:color w:val="auto"/>
          <w:lang w:val="en-US" w:eastAsia="zh-CN"/>
        </w:rPr>
        <w:t>矿井</w:t>
      </w:r>
      <w:r>
        <w:rPr>
          <w:color w:val="auto"/>
        </w:rPr>
        <w:t>最大涌水量为120m</w:t>
      </w:r>
      <w:r>
        <w:rPr>
          <w:color w:val="auto"/>
          <w:vertAlign w:val="superscript"/>
        </w:rPr>
        <w:t>3</w:t>
      </w:r>
      <w:r>
        <w:rPr>
          <w:color w:val="auto"/>
        </w:rPr>
        <w:t>/d。</w:t>
      </w:r>
      <w:r>
        <w:rPr>
          <w:rFonts w:hint="eastAsia"/>
          <w:color w:val="auto"/>
        </w:rPr>
        <w:t>矿井最大涌水量，是指矿井开采期间，正常情况下矿井涌水量的高峰值。主要与人为条件和降雨量有关，最大涌水量</w:t>
      </w:r>
      <w:r>
        <w:rPr>
          <w:rFonts w:hint="eastAsia"/>
          <w:color w:val="auto"/>
          <w:lang w:val="en-US" w:eastAsia="zh-CN"/>
        </w:rPr>
        <w:t>一般为</w:t>
      </w:r>
      <w:r>
        <w:rPr>
          <w:rFonts w:hint="eastAsia"/>
          <w:color w:val="auto"/>
        </w:rPr>
        <w:t>正常涌水量的1.5～3倍或更多。</w:t>
      </w:r>
      <w:r>
        <w:rPr>
          <w:rFonts w:hint="eastAsia"/>
          <w:color w:val="auto"/>
          <w:lang w:val="en-US" w:eastAsia="zh-CN"/>
        </w:rPr>
        <w:t>本项目</w:t>
      </w:r>
      <w:r>
        <w:rPr>
          <w:rFonts w:hint="eastAsia"/>
          <w:color w:val="auto"/>
          <w:highlight w:val="none"/>
        </w:rPr>
        <w:t>正常涌水量</w:t>
      </w:r>
      <w:r>
        <w:rPr>
          <w:rFonts w:hint="eastAsia"/>
          <w:color w:val="auto"/>
          <w:highlight w:val="none"/>
          <w:lang w:val="en-US" w:eastAsia="zh-CN"/>
        </w:rPr>
        <w:t>为60</w:t>
      </w:r>
      <w:r>
        <w:rPr>
          <w:rFonts w:hint="eastAsia"/>
          <w:color w:val="auto"/>
          <w:highlight w:val="none"/>
        </w:rPr>
        <w:t>m</w:t>
      </w:r>
      <w:r>
        <w:rPr>
          <w:rFonts w:hint="eastAsia"/>
          <w:color w:val="auto"/>
          <w:highlight w:val="none"/>
          <w:vertAlign w:val="superscript"/>
        </w:rPr>
        <w:t>3</w:t>
      </w:r>
      <w:r>
        <w:rPr>
          <w:rFonts w:hint="eastAsia"/>
          <w:color w:val="auto"/>
          <w:highlight w:val="none"/>
        </w:rPr>
        <w:t>/</w:t>
      </w:r>
      <w:r>
        <w:rPr>
          <w:rFonts w:hint="eastAsia"/>
          <w:color w:val="auto"/>
          <w:highlight w:val="none"/>
          <w:lang w:val="en-US" w:eastAsia="zh-CN"/>
        </w:rPr>
        <w:t>d</w:t>
      </w:r>
      <w:r>
        <w:rPr>
          <w:rFonts w:hint="eastAsia"/>
          <w:color w:val="auto"/>
          <w:highlight w:val="none"/>
        </w:rPr>
        <w:t>，</w:t>
      </w:r>
      <w:r>
        <w:rPr>
          <w:rFonts w:hint="eastAsia"/>
          <w:color w:val="auto"/>
        </w:rPr>
        <w:t>各中段涌水通过</w:t>
      </w:r>
      <w:r>
        <w:rPr>
          <w:rFonts w:hint="eastAsia"/>
          <w:color w:val="auto"/>
          <w:lang w:eastAsia="zh-CN"/>
        </w:rPr>
        <w:t>排水沟排放</w:t>
      </w:r>
      <w:r>
        <w:rPr>
          <w:rFonts w:hint="eastAsia"/>
          <w:color w:val="auto"/>
        </w:rPr>
        <w:t>到相应中段，通过水泵沿管线排至蓄水池（200m</w:t>
      </w:r>
      <w:r>
        <w:rPr>
          <w:rFonts w:hint="eastAsia"/>
          <w:color w:val="auto"/>
          <w:vertAlign w:val="superscript"/>
        </w:rPr>
        <w:t>3</w:t>
      </w:r>
      <w:r>
        <w:rPr>
          <w:rFonts w:hint="eastAsia"/>
          <w:color w:val="auto"/>
        </w:rPr>
        <w:t>），符合《金属非金属矿山安全规程》中“容纳6~8h的正常涌水”要求，沉淀后供给生产、抑尘、绿化等使用，涌水不排放。</w:t>
      </w:r>
    </w:p>
    <w:p>
      <w:pPr>
        <w:bidi w:val="0"/>
        <w:rPr>
          <w:rFonts w:hint="eastAsia"/>
          <w:color w:val="auto"/>
        </w:rPr>
      </w:pPr>
      <w:r>
        <w:rPr>
          <w:rFonts w:hint="eastAsia"/>
          <w:color w:val="auto"/>
        </w:rPr>
        <w:t>（2）水量</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1）生活用水</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露天开采总定员</w:t>
      </w:r>
      <w:r>
        <w:rPr>
          <w:rFonts w:hint="default" w:ascii="Times New Roman" w:hAnsi="Times New Roman" w:eastAsia="宋体" w:cs="Times New Roman"/>
          <w:color w:val="auto"/>
          <w:highlight w:val="none"/>
          <w:lang w:val="en-US" w:eastAsia="zh-CN"/>
        </w:rPr>
        <w:t>46</w:t>
      </w:r>
      <w:r>
        <w:rPr>
          <w:rFonts w:hint="default" w:ascii="Times New Roman" w:hAnsi="Times New Roman" w:eastAsia="宋体" w:cs="Times New Roman"/>
          <w:color w:val="auto"/>
          <w:highlight w:val="none"/>
        </w:rPr>
        <w:t>人，其中生产工人</w:t>
      </w:r>
      <w:r>
        <w:rPr>
          <w:rFonts w:hint="default" w:ascii="Times New Roman" w:hAnsi="Times New Roman" w:eastAsia="宋体" w:cs="Times New Roman"/>
          <w:color w:val="auto"/>
          <w:highlight w:val="none"/>
          <w:lang w:val="en-US" w:eastAsia="zh-CN"/>
        </w:rPr>
        <w:t>34</w:t>
      </w:r>
      <w:r>
        <w:rPr>
          <w:rFonts w:hint="default" w:ascii="Times New Roman" w:hAnsi="Times New Roman" w:eastAsia="宋体" w:cs="Times New Roman"/>
          <w:color w:val="auto"/>
          <w:highlight w:val="none"/>
        </w:rPr>
        <w:t>人，管理人员1</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人。地下开采总定员64人，其中生产工人53人，管理人员11人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根据辽宁省地方标准《行业用水定额》（DB21/T1237-2015），生活用水按50L/人d，员工年平均工作日为300d，生活用水量为</w:t>
      </w:r>
      <w:r>
        <w:rPr>
          <w:rFonts w:hint="default" w:ascii="Times New Roman" w:hAnsi="Times New Roman" w:eastAsia="宋体" w:cs="Times New Roman"/>
          <w:color w:val="auto"/>
          <w:highlight w:val="none"/>
          <w:lang w:val="en-US" w:eastAsia="zh-CN"/>
        </w:rPr>
        <w:t>5.5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/d。年总用水量为</w:t>
      </w:r>
      <w:r>
        <w:rPr>
          <w:rFonts w:hint="default" w:ascii="Times New Roman" w:hAnsi="Times New Roman" w:eastAsia="宋体" w:cs="Times New Roman"/>
          <w:color w:val="auto"/>
          <w:highlight w:val="none"/>
          <w:lang w:val="en-US" w:eastAsia="zh-CN"/>
        </w:rPr>
        <w:t>1650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生产用水</w:t>
      </w:r>
    </w:p>
    <w:p>
      <w:pPr>
        <w:autoSpaceDE w:val="0"/>
        <w:autoSpaceDN w:val="0"/>
        <w:ind w:firstLine="480"/>
        <w:jc w:val="left"/>
        <w:rPr>
          <w:rFonts w:hint="default" w:ascii="Times New Roman" w:hAnsi="Times New Roman" w:eastAsia="宋体" w:cs="Times New Roman"/>
          <w:color w:val="auto"/>
          <w:highlight w:val="none"/>
          <w:u w:color="000000"/>
          <w:lang w:val="en-GB"/>
        </w:rPr>
      </w:pPr>
      <w:r>
        <w:rPr>
          <w:rFonts w:hint="default" w:ascii="Times New Roman" w:hAnsi="Times New Roman" w:eastAsia="宋体" w:cs="Times New Roman"/>
          <w:color w:val="auto"/>
          <w:highlight w:val="none"/>
          <w:u w:color="000000"/>
          <w:lang w:val="en-GB"/>
        </w:rPr>
        <w:t>①潜孔钻机用水</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本项目设置</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台</w:t>
      </w:r>
      <w:r>
        <w:rPr>
          <w:rFonts w:hint="default" w:ascii="Times New Roman" w:hAnsi="Times New Roman" w:eastAsia="宋体" w:cs="Times New Roman"/>
          <w:color w:val="auto"/>
          <w:highlight w:val="none"/>
          <w:u w:color="000000"/>
          <w:lang w:val="en-GB"/>
        </w:rPr>
        <w:t>潜孔钻机</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u w:color="000000"/>
          <w:lang w:val="en-GB"/>
        </w:rPr>
        <w:t>潜孔钻机</w:t>
      </w:r>
      <w:r>
        <w:rPr>
          <w:rFonts w:hint="default" w:ascii="Times New Roman" w:hAnsi="Times New Roman" w:eastAsia="宋体" w:cs="Times New Roman"/>
          <w:color w:val="auto"/>
          <w:highlight w:val="none"/>
        </w:rPr>
        <w:t>用水量5m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/台.d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凿岩机用水量为</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p>
    <w:p>
      <w:pPr>
        <w:autoSpaceDE w:val="0"/>
        <w:autoSpaceDN w:val="0"/>
        <w:ind w:firstLine="480"/>
        <w:jc w:val="left"/>
        <w:rPr>
          <w:rFonts w:hint="default" w:ascii="Times New Roman" w:hAnsi="Times New Roman" w:eastAsia="宋体" w:cs="Times New Roman"/>
          <w:color w:val="auto"/>
          <w:highlight w:val="none"/>
          <w:u w:color="000000"/>
          <w:lang w:val="en-GB"/>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u w:color="000000"/>
          <w:lang w:val="en-US" w:eastAsia="zh-CN"/>
        </w:rPr>
        <w:t>凿岩机</w:t>
      </w:r>
      <w:r>
        <w:rPr>
          <w:rFonts w:hint="default" w:ascii="Times New Roman" w:hAnsi="Times New Roman" w:eastAsia="宋体" w:cs="Times New Roman"/>
          <w:color w:val="auto"/>
          <w:highlight w:val="none"/>
          <w:u w:color="000000"/>
          <w:lang w:val="en-GB"/>
        </w:rPr>
        <w:t>用水</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本项目设置</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台凿岩机，凿岩机用水量6L/台·min</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凿岩机用水量为</w:t>
      </w:r>
      <w:r>
        <w:rPr>
          <w:rFonts w:hint="default" w:ascii="Times New Roman" w:hAnsi="Times New Roman" w:eastAsia="宋体" w:cs="Times New Roman"/>
          <w:color w:val="auto"/>
          <w:highlight w:val="none"/>
          <w:lang w:val="en-US" w:eastAsia="zh-CN"/>
        </w:rPr>
        <w:t>26</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3 \* GB3 \* MERGEFORMAT </w:instrText>
      </w:r>
      <w:r>
        <w:rPr>
          <w:rFonts w:hint="default" w:ascii="Times New Roman" w:hAnsi="Times New Roman" w:eastAsia="宋体" w:cs="Times New Roman"/>
          <w:color w:val="auto"/>
          <w:highlight w:val="none"/>
        </w:rPr>
        <w:fldChar w:fldCharType="separate"/>
      </w:r>
      <w:r>
        <w:rPr>
          <w:color w:val="auto"/>
        </w:rPr>
        <w:t>③</w:t>
      </w:r>
      <w:r>
        <w:rPr>
          <w:rFonts w:hint="default" w:ascii="Times New Roman" w:hAnsi="Times New Roman" w:eastAsia="宋体" w:cs="Times New Roman"/>
          <w:color w:val="auto"/>
          <w:highlight w:val="none"/>
        </w:rPr>
        <w:fldChar w:fldCharType="end"/>
      </w:r>
      <w:r>
        <w:rPr>
          <w:rFonts w:hint="eastAsia" w:ascii="Times New Roman" w:hAnsi="Times New Roman" w:eastAsia="宋体" w:cs="Times New Roman"/>
          <w:color w:val="auto"/>
          <w:highlight w:val="none"/>
          <w:lang w:val="en-US" w:eastAsia="zh-CN"/>
        </w:rPr>
        <w:t>露天</w:t>
      </w:r>
      <w:r>
        <w:rPr>
          <w:rFonts w:hint="default" w:ascii="Times New Roman" w:hAnsi="Times New Roman" w:eastAsia="宋体" w:cs="Times New Roman"/>
          <w:color w:val="auto"/>
          <w:highlight w:val="none"/>
          <w:lang w:val="en-US" w:eastAsia="zh-CN"/>
        </w:rPr>
        <w:t>采场除尘</w:t>
      </w:r>
      <w:r>
        <w:rPr>
          <w:rFonts w:hint="default" w:ascii="Times New Roman" w:hAnsi="Times New Roman" w:eastAsia="宋体" w:cs="Times New Roman"/>
          <w:color w:val="auto"/>
          <w:highlight w:val="none"/>
        </w:rPr>
        <w:t>用水</w:t>
      </w:r>
    </w:p>
    <w:p>
      <w:pPr>
        <w:ind w:firstLineChars="0"/>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highlight w:val="none"/>
        </w:rPr>
        <w:t>抑尘用水量以1.5L/m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·d计，</w:t>
      </w:r>
      <w:r>
        <w:rPr>
          <w:rFonts w:hint="default" w:ascii="Times New Roman" w:hAnsi="Times New Roman" w:eastAsia="宋体" w:cs="Times New Roman"/>
          <w:color w:val="auto"/>
          <w:highlight w:val="none"/>
          <w:lang w:val="en-US" w:eastAsia="zh-CN"/>
        </w:rPr>
        <w:t>露天采场43200m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，用水量64.8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道路面积7230m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，用水量10.8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 4 \* GB3 \* MERGEFORMAT </w:instrText>
      </w:r>
      <w:r>
        <w:rPr>
          <w:rFonts w:hint="default" w:ascii="Times New Roman" w:hAnsi="Times New Roman" w:eastAsia="宋体" w:cs="Times New Roman"/>
          <w:color w:val="auto"/>
          <w:highlight w:val="none"/>
        </w:rPr>
        <w:fldChar w:fldCharType="separate"/>
      </w:r>
      <w:r>
        <w:rPr>
          <w:color w:val="auto"/>
        </w:rPr>
        <w:t>④</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lang w:val="en-US" w:eastAsia="zh-CN"/>
        </w:rPr>
        <w:t>井下除尘</w:t>
      </w:r>
      <w:r>
        <w:rPr>
          <w:rFonts w:hint="default" w:ascii="Times New Roman" w:hAnsi="Times New Roman" w:eastAsia="宋体" w:cs="Times New Roman"/>
          <w:color w:val="auto"/>
          <w:highlight w:val="none"/>
        </w:rPr>
        <w:t>用水</w:t>
      </w:r>
    </w:p>
    <w:p>
      <w:pPr>
        <w:ind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井下抑尘用水量以</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/h计，洒水时间以</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h/d计，则用水量为</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p>
    <w:p>
      <w:pPr>
        <w:bidi w:val="0"/>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fldChar w:fldCharType="begin"/>
      </w:r>
      <w:r>
        <w:rPr>
          <w:rFonts w:hint="default" w:ascii="Times New Roman" w:hAnsi="Times New Roman" w:eastAsia="宋体" w:cs="Times New Roman"/>
          <w:b w:val="0"/>
          <w:bCs w:val="0"/>
          <w:color w:val="auto"/>
          <w:highlight w:val="none"/>
          <w:lang w:val="en-US" w:eastAsia="zh-CN"/>
        </w:rPr>
        <w:instrText xml:space="preserve"> = 5 \* GB3 \* MERGEFORMAT </w:instrText>
      </w:r>
      <w:r>
        <w:rPr>
          <w:rFonts w:hint="default" w:ascii="Times New Roman" w:hAnsi="Times New Roman" w:eastAsia="宋体" w:cs="Times New Roman"/>
          <w:b w:val="0"/>
          <w:bCs w:val="0"/>
          <w:color w:val="auto"/>
          <w:highlight w:val="none"/>
          <w:lang w:val="en-US" w:eastAsia="zh-CN"/>
        </w:rPr>
        <w:fldChar w:fldCharType="separate"/>
      </w:r>
      <w:r>
        <w:rPr>
          <w:b w:val="0"/>
          <w:bCs w:val="0"/>
          <w:color w:val="auto"/>
        </w:rPr>
        <w:t>⑤</w:t>
      </w:r>
      <w:r>
        <w:rPr>
          <w:rFonts w:hint="default" w:ascii="Times New Roman" w:hAnsi="Times New Roman" w:eastAsia="宋体" w:cs="Times New Roman"/>
          <w:b w:val="0"/>
          <w:bCs w:val="0"/>
          <w:color w:val="auto"/>
          <w:highlight w:val="none"/>
          <w:lang w:val="en-US" w:eastAsia="zh-CN"/>
        </w:rPr>
        <w:fldChar w:fldCharType="end"/>
      </w:r>
      <w:r>
        <w:rPr>
          <w:rFonts w:hint="default" w:ascii="Times New Roman" w:hAnsi="Times New Roman" w:eastAsia="宋体" w:cs="Times New Roman"/>
          <w:b w:val="0"/>
          <w:bCs w:val="0"/>
          <w:color w:val="auto"/>
          <w:highlight w:val="none"/>
          <w:lang w:val="en-US" w:eastAsia="zh-CN"/>
        </w:rPr>
        <w:t>临时排岩场除尘用水</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抑尘用水量以1.5L/m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·d计，</w:t>
      </w:r>
      <w:r>
        <w:rPr>
          <w:rFonts w:hint="default" w:ascii="Times New Roman" w:hAnsi="Times New Roman" w:eastAsia="宋体" w:cs="Times New Roman"/>
          <w:color w:val="auto"/>
          <w:highlight w:val="none"/>
          <w:lang w:val="en-US" w:eastAsia="zh-CN"/>
        </w:rPr>
        <w:t>现有</w:t>
      </w:r>
      <w:r>
        <w:rPr>
          <w:rFonts w:hint="default" w:ascii="Times New Roman" w:hAnsi="Times New Roman" w:eastAsia="宋体" w:cs="Times New Roman"/>
          <w:color w:val="auto"/>
          <w:highlight w:val="none"/>
          <w:lang w:eastAsia="zh-CN"/>
        </w:rPr>
        <w:t>排岩场</w:t>
      </w:r>
      <w:r>
        <w:rPr>
          <w:rFonts w:hint="default" w:ascii="Times New Roman" w:hAnsi="Times New Roman" w:eastAsia="宋体" w:cs="Times New Roman"/>
          <w:color w:val="auto"/>
          <w:highlight w:val="none"/>
          <w:lang w:val="en-US" w:eastAsia="zh-CN"/>
        </w:rPr>
        <w:t>面积8731m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vertAlign w:val="baseline"/>
          <w:lang w:val="en-US" w:eastAsia="zh-CN"/>
        </w:rPr>
        <w:t>，用水量13.1</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eastAsia="zh-CN"/>
        </w:rPr>
        <w:t>。</w:t>
      </w:r>
    </w:p>
    <w:p>
      <w:pPr>
        <w:bidi w:val="0"/>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lang w:val="en-US" w:eastAsia="zh-CN"/>
        </w:rPr>
        <w:fldChar w:fldCharType="begin"/>
      </w:r>
      <w:r>
        <w:rPr>
          <w:rFonts w:hint="default" w:ascii="Times New Roman" w:hAnsi="Times New Roman" w:eastAsia="宋体" w:cs="Times New Roman"/>
          <w:b w:val="0"/>
          <w:bCs w:val="0"/>
          <w:color w:val="auto"/>
          <w:highlight w:val="none"/>
          <w:lang w:val="en-US" w:eastAsia="zh-CN"/>
        </w:rPr>
        <w:instrText xml:space="preserve"> = 6 \* GB3 \* MERGEFORMAT </w:instrText>
      </w:r>
      <w:r>
        <w:rPr>
          <w:rFonts w:hint="default" w:ascii="Times New Roman" w:hAnsi="Times New Roman" w:eastAsia="宋体" w:cs="Times New Roman"/>
          <w:b w:val="0"/>
          <w:bCs w:val="0"/>
          <w:color w:val="auto"/>
          <w:highlight w:val="none"/>
          <w:lang w:val="en-US" w:eastAsia="zh-CN"/>
        </w:rPr>
        <w:fldChar w:fldCharType="separate"/>
      </w:r>
      <w:r>
        <w:rPr>
          <w:b w:val="0"/>
          <w:bCs w:val="0"/>
          <w:color w:val="auto"/>
        </w:rPr>
        <w:t>⑥</w:t>
      </w:r>
      <w:r>
        <w:rPr>
          <w:rFonts w:hint="default" w:ascii="Times New Roman" w:hAnsi="Times New Roman" w:eastAsia="宋体" w:cs="Times New Roman"/>
          <w:b w:val="0"/>
          <w:bCs w:val="0"/>
          <w:color w:val="auto"/>
          <w:highlight w:val="none"/>
          <w:lang w:val="en-US" w:eastAsia="zh-CN"/>
        </w:rPr>
        <w:fldChar w:fldCharType="end"/>
      </w:r>
      <w:r>
        <w:rPr>
          <w:rFonts w:hint="default" w:ascii="Times New Roman" w:hAnsi="Times New Roman" w:eastAsia="宋体" w:cs="Times New Roman"/>
          <w:b w:val="0"/>
          <w:bCs w:val="0"/>
          <w:color w:val="auto"/>
          <w:highlight w:val="none"/>
          <w:lang w:val="en-US" w:eastAsia="zh-CN"/>
        </w:rPr>
        <w:t>绿化用水</w:t>
      </w:r>
    </w:p>
    <w:p>
      <w:pPr>
        <w:pStyle w:val="78"/>
        <w:ind w:firstLine="48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运期期间需要对原有历史露天采场进行定期管护，</w:t>
      </w:r>
      <w:r>
        <w:rPr>
          <w:rFonts w:hint="default" w:ascii="Times New Roman" w:hAnsi="Times New Roman" w:eastAsia="宋体" w:cs="Times New Roman"/>
          <w:color w:val="auto"/>
          <w:highlight w:val="none"/>
        </w:rPr>
        <w:t>绿化面积</w:t>
      </w:r>
      <w:r>
        <w:rPr>
          <w:rFonts w:hint="default" w:ascii="Times New Roman" w:hAnsi="Times New Roman" w:eastAsia="宋体" w:cs="Times New Roman"/>
          <w:color w:val="auto"/>
          <w:highlight w:val="none"/>
          <w:lang w:val="en-US" w:eastAsia="zh-CN"/>
        </w:rPr>
        <w:t>10957</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，用水量以2L/m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·次计，则</w:t>
      </w:r>
      <w:r>
        <w:rPr>
          <w:rFonts w:hint="default" w:ascii="Times New Roman" w:hAnsi="Times New Roman" w:eastAsia="宋体" w:cs="Times New Roman"/>
          <w:color w:val="auto"/>
          <w:highlight w:val="none"/>
          <w:lang w:val="en-US" w:eastAsia="zh-CN"/>
        </w:rPr>
        <w:t>可用于绿化用</w:t>
      </w:r>
      <w:r>
        <w:rPr>
          <w:rFonts w:hint="default" w:ascii="Times New Roman" w:hAnsi="Times New Roman" w:eastAsia="宋体" w:cs="Times New Roman"/>
          <w:color w:val="auto"/>
          <w:highlight w:val="none"/>
        </w:rPr>
        <w:t>水量约</w:t>
      </w:r>
      <w:r>
        <w:rPr>
          <w:rFonts w:hint="default" w:ascii="Times New Roman" w:hAnsi="Times New Roman" w:eastAsia="宋体" w:cs="Times New Roman"/>
          <w:color w:val="auto"/>
          <w:highlight w:val="none"/>
          <w:lang w:val="en-US" w:eastAsia="zh-CN"/>
        </w:rPr>
        <w:t>21.9</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w:t>
      </w:r>
    </w:p>
    <w:p>
      <w:pPr>
        <w:pStyle w:val="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项目露天和地下开采系统用水情况见表3.</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6和3.3-7</w:t>
      </w:r>
      <w:r>
        <w:rPr>
          <w:rFonts w:hint="default" w:ascii="Times New Roman" w:hAnsi="Times New Roman" w:eastAsia="宋体" w:cs="Times New Roman"/>
          <w:color w:val="auto"/>
          <w:highlight w:val="none"/>
          <w:lang w:val="en-US" w:eastAsia="zh-CN"/>
        </w:rPr>
        <w:t>。</w:t>
      </w:r>
    </w:p>
    <w:p>
      <w:pPr>
        <w:pStyle w:val="315"/>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6</w:t>
      </w:r>
      <w:r>
        <w:rPr>
          <w:rFonts w:hint="default" w:ascii="Times New Roman" w:hAnsi="Times New Roman" w:eastAsia="宋体" w:cs="Times New Roman"/>
          <w:color w:val="auto"/>
          <w:highlight w:val="none"/>
          <w:lang w:val="en-US" w:eastAsia="zh-CN"/>
        </w:rPr>
        <w:t>矿区夏季</w:t>
      </w:r>
      <w:r>
        <w:rPr>
          <w:rFonts w:hint="default" w:ascii="Times New Roman" w:hAnsi="Times New Roman" w:eastAsia="宋体" w:cs="Times New Roman"/>
          <w:color w:val="auto"/>
          <w:highlight w:val="none"/>
        </w:rPr>
        <w:t>用水量计算表</w:t>
      </w:r>
    </w:p>
    <w:tbl>
      <w:tblPr>
        <w:tblStyle w:val="45"/>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531"/>
        <w:gridCol w:w="3302"/>
        <w:gridCol w:w="1266"/>
        <w:gridCol w:w="2386"/>
        <w:gridCol w:w="179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2064" w:type="pct"/>
            <w:gridSpan w:val="2"/>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一、生活用水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规模</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用水量标准</w:t>
            </w:r>
          </w:p>
        </w:tc>
        <w:tc>
          <w:tcPr>
            <w:tcW w:w="96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日用水量m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一般生活用水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110</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50L/人</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2064" w:type="pct"/>
            <w:gridSpan w:val="2"/>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二、生产用水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96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潜孔钻机用水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/台.d</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露天采场除尘用水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43200</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1.5L/m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·d</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64.8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凿岩机用水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6L/台·min</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井下除尘用水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临时排岩场</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8731</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1.5L/m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·d</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道路抑尘洒水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7230</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1.5L/m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·d</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绿化用水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14531</w:t>
            </w:r>
          </w:p>
        </w:tc>
        <w:tc>
          <w:tcPr>
            <w:tcW w:w="1284"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2L/m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·d</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031" w:type="pct"/>
            <w:gridSpan w:val="4"/>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总计</w:t>
            </w:r>
          </w:p>
        </w:tc>
        <w:tc>
          <w:tcPr>
            <w:tcW w:w="96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176.1</w:t>
            </w:r>
          </w:p>
        </w:tc>
      </w:tr>
    </w:tbl>
    <w:p>
      <w:pPr>
        <w:pStyle w:val="315"/>
        <w:jc w:val="center"/>
        <w:rPr>
          <w:rFonts w:hint="default" w:ascii="Times New Roman" w:hAnsi="Times New Roman" w:eastAsia="宋体" w:cs="Times New Roman"/>
          <w:color w:val="auto"/>
          <w:highlight w:val="none"/>
        </w:rPr>
      </w:pPr>
    </w:p>
    <w:p>
      <w:pPr>
        <w:pStyle w:val="315"/>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7</w:t>
      </w:r>
      <w:r>
        <w:rPr>
          <w:rFonts w:hint="default" w:ascii="Times New Roman" w:hAnsi="Times New Roman" w:eastAsia="宋体" w:cs="Times New Roman"/>
          <w:color w:val="auto"/>
          <w:highlight w:val="none"/>
          <w:lang w:val="en-US" w:eastAsia="zh-CN"/>
        </w:rPr>
        <w:t xml:space="preserve"> 矿区冬季</w:t>
      </w:r>
      <w:r>
        <w:rPr>
          <w:rFonts w:hint="default" w:ascii="Times New Roman" w:hAnsi="Times New Roman" w:eastAsia="宋体" w:cs="Times New Roman"/>
          <w:color w:val="auto"/>
          <w:highlight w:val="none"/>
        </w:rPr>
        <w:t>用水量计算表</w:t>
      </w:r>
    </w:p>
    <w:tbl>
      <w:tblPr>
        <w:tblStyle w:val="45"/>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531"/>
        <w:gridCol w:w="3302"/>
        <w:gridCol w:w="1266"/>
        <w:gridCol w:w="2358"/>
        <w:gridCol w:w="182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2064" w:type="pct"/>
            <w:gridSpan w:val="2"/>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一、生活用水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规模</w:t>
            </w:r>
          </w:p>
        </w:tc>
        <w:tc>
          <w:tcPr>
            <w:tcW w:w="126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用水量标准</w:t>
            </w:r>
          </w:p>
        </w:tc>
        <w:tc>
          <w:tcPr>
            <w:tcW w:w="98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日用水量m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一般生活用水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110</w:t>
            </w:r>
          </w:p>
        </w:tc>
        <w:tc>
          <w:tcPr>
            <w:tcW w:w="126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50L/人</w:t>
            </w:r>
          </w:p>
        </w:tc>
        <w:tc>
          <w:tcPr>
            <w:tcW w:w="9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2064" w:type="pct"/>
            <w:gridSpan w:val="2"/>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二、生产用水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126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983"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潜孔钻机用水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26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/台.d</w:t>
            </w:r>
          </w:p>
        </w:tc>
        <w:tc>
          <w:tcPr>
            <w:tcW w:w="9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凿岩机用水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126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6L/台·min</w:t>
            </w:r>
          </w:p>
        </w:tc>
        <w:tc>
          <w:tcPr>
            <w:tcW w:w="9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28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1777"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井下除尘用水</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126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9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4016" w:type="pct"/>
            <w:gridSpan w:val="4"/>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总计</w:t>
            </w:r>
          </w:p>
        </w:tc>
        <w:tc>
          <w:tcPr>
            <w:tcW w:w="98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65.5</w:t>
            </w:r>
          </w:p>
        </w:tc>
      </w:tr>
    </w:tbl>
    <w:p>
      <w:pPr>
        <w:bidi w:val="0"/>
        <w:rPr>
          <w:rFonts w:hint="default"/>
          <w:b/>
          <w:bCs/>
          <w:color w:val="auto"/>
          <w:lang w:val="en-US" w:eastAsia="zh-CN"/>
        </w:rPr>
      </w:pPr>
      <w:r>
        <w:rPr>
          <w:rFonts w:hint="eastAsia"/>
          <w:b/>
          <w:bCs/>
          <w:color w:val="auto"/>
          <w:lang w:val="en-US" w:eastAsia="zh-CN"/>
        </w:rPr>
        <w:t>2、</w:t>
      </w:r>
      <w:r>
        <w:rPr>
          <w:rFonts w:hint="default"/>
          <w:b/>
          <w:bCs/>
          <w:color w:val="auto"/>
          <w:lang w:val="en-US" w:eastAsia="zh-CN"/>
        </w:rPr>
        <w:t>排水</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（1）生活污水</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生活污水排放系数以0.8计，则排放量为</w:t>
      </w:r>
      <w:r>
        <w:rPr>
          <w:rFonts w:hint="default" w:ascii="Times New Roman" w:hAnsi="Times New Roman" w:eastAsia="宋体" w:cs="Times New Roman"/>
          <w:color w:val="auto"/>
          <w:highlight w:val="none"/>
          <w:lang w:val="en-US" w:eastAsia="zh-CN"/>
        </w:rPr>
        <w:t>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1320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/a），排入旱厕定期清掏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不外排。</w:t>
      </w:r>
    </w:p>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（2）矿井</w:t>
      </w:r>
      <w:r>
        <w:rPr>
          <w:rFonts w:hint="eastAsia" w:ascii="Times New Roman" w:hAnsi="Times New Roman" w:eastAsia="宋体" w:cs="Times New Roman"/>
          <w:b/>
          <w:bCs/>
          <w:color w:val="auto"/>
          <w:highlight w:val="none"/>
          <w:lang w:val="en-US" w:eastAsia="zh-CN"/>
        </w:rPr>
        <w:t>涌水</w:t>
      </w:r>
    </w:p>
    <w:p>
      <w:pPr>
        <w:bidi w:val="0"/>
        <w:rPr>
          <w:rFonts w:hint="eastAsia"/>
          <w:color w:val="auto"/>
        </w:rPr>
      </w:pPr>
      <w:r>
        <w:rPr>
          <w:rFonts w:hint="eastAsia"/>
          <w:color w:val="auto"/>
          <w:lang w:val="en-US" w:eastAsia="zh-CN"/>
        </w:rPr>
        <w:t>本项目矿井</w:t>
      </w:r>
      <w:r>
        <w:rPr>
          <w:rFonts w:hint="eastAsia"/>
          <w:color w:val="auto"/>
          <w:highlight w:val="none"/>
        </w:rPr>
        <w:t>正常涌水量</w:t>
      </w:r>
      <w:r>
        <w:rPr>
          <w:rFonts w:hint="eastAsia"/>
          <w:color w:val="auto"/>
          <w:highlight w:val="none"/>
          <w:lang w:val="en-US" w:eastAsia="zh-CN"/>
        </w:rPr>
        <w:t>为60</w:t>
      </w:r>
      <w:r>
        <w:rPr>
          <w:rFonts w:hint="eastAsia"/>
          <w:color w:val="auto"/>
          <w:highlight w:val="none"/>
        </w:rPr>
        <w:t>m</w:t>
      </w:r>
      <w:r>
        <w:rPr>
          <w:rFonts w:hint="eastAsia"/>
          <w:color w:val="auto"/>
          <w:highlight w:val="none"/>
          <w:vertAlign w:val="superscript"/>
        </w:rPr>
        <w:t>3</w:t>
      </w:r>
      <w:r>
        <w:rPr>
          <w:rFonts w:hint="eastAsia"/>
          <w:color w:val="auto"/>
          <w:highlight w:val="none"/>
        </w:rPr>
        <w:t>/</w:t>
      </w:r>
      <w:r>
        <w:rPr>
          <w:rFonts w:hint="eastAsia"/>
          <w:color w:val="auto"/>
          <w:highlight w:val="none"/>
          <w:lang w:val="en-US" w:eastAsia="zh-CN"/>
        </w:rPr>
        <w:t>d</w:t>
      </w:r>
      <w:r>
        <w:rPr>
          <w:rFonts w:hint="eastAsia"/>
          <w:color w:val="auto"/>
          <w:highlight w:val="none"/>
        </w:rPr>
        <w:t>，</w:t>
      </w:r>
      <w:r>
        <w:rPr>
          <w:color w:val="auto"/>
        </w:rPr>
        <w:t>最大涌水量为120m</w:t>
      </w:r>
      <w:r>
        <w:rPr>
          <w:color w:val="auto"/>
          <w:vertAlign w:val="superscript"/>
        </w:rPr>
        <w:t>3</w:t>
      </w:r>
      <w:r>
        <w:rPr>
          <w:color w:val="auto"/>
        </w:rPr>
        <w:t>/d。</w:t>
      </w:r>
      <w:r>
        <w:rPr>
          <w:rFonts w:hint="eastAsia"/>
          <w:color w:val="auto"/>
        </w:rPr>
        <w:t>各中段涌水通过</w:t>
      </w:r>
      <w:r>
        <w:rPr>
          <w:rFonts w:hint="eastAsia"/>
          <w:color w:val="auto"/>
          <w:lang w:eastAsia="zh-CN"/>
        </w:rPr>
        <w:t>排水沟排放</w:t>
      </w:r>
      <w:r>
        <w:rPr>
          <w:rFonts w:hint="eastAsia"/>
          <w:color w:val="auto"/>
        </w:rPr>
        <w:t>到相应中段，通过水泵沿管线排至蓄水池沉淀后供给生产、抑尘、绿化用水等使用，涌水不排放。</w:t>
      </w:r>
    </w:p>
    <w:p>
      <w:pPr>
        <w:numPr>
          <w:ilvl w:val="0"/>
          <w:numId w:val="0"/>
        </w:numPr>
        <w:bidi w:val="0"/>
        <w:ind w:left="480" w:leftChars="0"/>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3、水平衡</w:t>
      </w:r>
    </w:p>
    <w:p>
      <w:pPr>
        <w:numPr>
          <w:ilvl w:val="0"/>
          <w:numId w:val="0"/>
        </w:numPr>
        <w:bidi w:val="0"/>
        <w:ind w:leftChars="200"/>
        <w:rPr>
          <w:rFonts w:hint="default" w:ascii="Times New Roman" w:hAnsi="Times New Roman" w:eastAsia="宋体" w:cs="Times New Roman"/>
          <w:b/>
          <w:bCs/>
          <w:color w:val="auto"/>
          <w:lang w:val="en-US" w:eastAsia="zh-CN"/>
        </w:rPr>
      </w:pPr>
      <w:r>
        <w:rPr>
          <w:rFonts w:hint="eastAsia" w:ascii="宋体" w:hAnsi="宋体" w:eastAsia="宋体"/>
          <w:color w:val="auto"/>
          <w:sz w:val="24"/>
          <w:szCs w:val="24"/>
        </w:rPr>
        <w:t>本项目涌水量水平衡见表</w:t>
      </w:r>
      <w:r>
        <w:rPr>
          <w:rFonts w:hint="eastAsia" w:ascii="TimesNewRomanPSMT" w:hAnsi="TimesNewRomanPSMT" w:eastAsia="TimesNewRomanPSMT"/>
          <w:color w:val="auto"/>
          <w:sz w:val="24"/>
          <w:szCs w:val="24"/>
        </w:rPr>
        <w:t>3.3-</w:t>
      </w:r>
      <w:r>
        <w:rPr>
          <w:rFonts w:hint="eastAsia" w:ascii="TimesNewRomanPSMT" w:hAnsi="TimesNewRomanPSMT" w:eastAsia="宋体"/>
          <w:color w:val="auto"/>
          <w:sz w:val="24"/>
          <w:szCs w:val="24"/>
          <w:lang w:val="en-US" w:eastAsia="zh-CN"/>
        </w:rPr>
        <w:t>8</w:t>
      </w:r>
      <w:r>
        <w:rPr>
          <w:rFonts w:hint="eastAsia" w:ascii="宋体" w:hAnsi="宋体" w:eastAsia="宋体"/>
          <w:color w:val="auto"/>
          <w:sz w:val="24"/>
          <w:szCs w:val="24"/>
        </w:rPr>
        <w:t>、表</w:t>
      </w:r>
      <w:r>
        <w:rPr>
          <w:rFonts w:hint="eastAsia" w:ascii="TimesNewRomanPSMT" w:hAnsi="TimesNewRomanPSMT" w:eastAsia="TimesNewRomanPSMT"/>
          <w:color w:val="auto"/>
          <w:sz w:val="24"/>
          <w:szCs w:val="24"/>
        </w:rPr>
        <w:t>3.3-</w:t>
      </w:r>
      <w:r>
        <w:rPr>
          <w:rFonts w:hint="eastAsia" w:ascii="TimesNewRomanPSMT" w:hAnsi="TimesNewRomanPSMT" w:eastAsia="宋体"/>
          <w:color w:val="auto"/>
          <w:sz w:val="24"/>
          <w:szCs w:val="24"/>
          <w:lang w:val="en-US" w:eastAsia="zh-CN"/>
        </w:rPr>
        <w:t>9</w:t>
      </w:r>
      <w:r>
        <w:rPr>
          <w:rFonts w:hint="eastAsia" w:ascii="宋体" w:hAnsi="宋体" w:eastAsia="宋体"/>
          <w:color w:val="auto"/>
          <w:sz w:val="24"/>
          <w:szCs w:val="24"/>
        </w:rPr>
        <w:t>，水量平衡见图</w:t>
      </w:r>
      <w:r>
        <w:rPr>
          <w:rFonts w:hint="eastAsia" w:ascii="TimesNewRomanPSMT" w:hAnsi="TimesNewRomanPSMT" w:eastAsia="TimesNewRomanPSMT"/>
          <w:color w:val="auto"/>
          <w:sz w:val="24"/>
          <w:szCs w:val="24"/>
        </w:rPr>
        <w:t>3.3-</w:t>
      </w:r>
      <w:r>
        <w:rPr>
          <w:rFonts w:hint="eastAsia" w:ascii="TimesNewRomanPSMT" w:hAnsi="TimesNewRomanPSMT" w:eastAsia="宋体"/>
          <w:color w:val="auto"/>
          <w:sz w:val="24"/>
          <w:szCs w:val="24"/>
          <w:lang w:val="en-US" w:eastAsia="zh-CN"/>
        </w:rPr>
        <w:t>8和3.3-9</w:t>
      </w:r>
      <w:r>
        <w:rPr>
          <w:rFonts w:hint="eastAsia" w:ascii="宋体" w:hAnsi="宋体" w:eastAsia="宋体"/>
          <w:color w:val="auto"/>
          <w:sz w:val="24"/>
          <w:szCs w:val="24"/>
        </w:rPr>
        <w:t>。</w:t>
      </w:r>
    </w:p>
    <w:p>
      <w:pPr>
        <w:pStyle w:val="315"/>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8</w:t>
      </w:r>
      <w:r>
        <w:rPr>
          <w:rFonts w:hint="default" w:ascii="Times New Roman" w:hAnsi="Times New Roman" w:eastAsia="宋体" w:cs="Times New Roman"/>
          <w:color w:val="auto"/>
          <w:highlight w:val="none"/>
          <w:lang w:val="en-US" w:eastAsia="zh-CN"/>
        </w:rPr>
        <w:t>矿区夏季</w:t>
      </w:r>
      <w:r>
        <w:rPr>
          <w:rFonts w:hint="eastAsia" w:ascii="Times New Roman" w:hAnsi="Times New Roman" w:eastAsia="宋体" w:cs="Times New Roman"/>
          <w:color w:val="auto"/>
          <w:highlight w:val="none"/>
          <w:lang w:val="en-US" w:eastAsia="zh-CN"/>
        </w:rPr>
        <w:t>水平衡</w:t>
      </w:r>
      <w:r>
        <w:rPr>
          <w:rFonts w:hint="default" w:ascii="Times New Roman" w:hAnsi="Times New Roman" w:eastAsia="宋体" w:cs="Times New Roman"/>
          <w:color w:val="auto"/>
          <w:highlight w:val="none"/>
        </w:rPr>
        <w:t>表</w:t>
      </w:r>
    </w:p>
    <w:tbl>
      <w:tblPr>
        <w:tblStyle w:val="45"/>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319"/>
        <w:gridCol w:w="1606"/>
        <w:gridCol w:w="638"/>
        <w:gridCol w:w="1238"/>
        <w:gridCol w:w="1096"/>
        <w:gridCol w:w="1096"/>
        <w:gridCol w:w="1096"/>
        <w:gridCol w:w="1096"/>
        <w:gridCol w:w="109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PrEx>
        <w:trPr>
          <w:trHeight w:val="300" w:hRule="atLeast"/>
        </w:trPr>
        <w:tc>
          <w:tcPr>
            <w:tcW w:w="1037" w:type="pct"/>
            <w:gridSpan w:val="2"/>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一、生活用水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规模</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用水量</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标准</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新水</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矿井涌水</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消耗量</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综合利用量</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废污水产生量</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71"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65"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一般生活用水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110</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50L/人</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w:t>
            </w:r>
          </w:p>
        </w:tc>
        <w:tc>
          <w:tcPr>
            <w:tcW w:w="590"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2047" w:type="pct"/>
            <w:gridSpan w:val="4"/>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生活用水小计</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5.5</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w:t>
            </w:r>
          </w:p>
        </w:tc>
        <w:tc>
          <w:tcPr>
            <w:tcW w:w="590"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037" w:type="pct"/>
            <w:gridSpan w:val="2"/>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二、生产用水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90"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90"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171"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65"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潜孔钻机用水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/台.d</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171"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865"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露天采场除尘用水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43200</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1.5L/m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·d</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4.8</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w:t>
            </w: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r>
              <w:rPr>
                <w:rFonts w:hint="eastAsia" w:ascii="Times New Roman" w:hAnsi="Times New Roman" w:eastAsia="宋体" w:cs="Times New Roman"/>
                <w:i w:val="0"/>
                <w:iCs w:val="0"/>
                <w:color w:val="auto"/>
                <w:kern w:val="0"/>
                <w:sz w:val="21"/>
                <w:szCs w:val="21"/>
                <w:highlight w:val="none"/>
                <w:u w:val="none"/>
                <w:lang w:val="en-US" w:eastAsia="zh-CN" w:bidi="ar"/>
              </w:rPr>
              <w:t>4.8</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171"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865"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凿岩机用水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6L/台·min</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eastAsia="宋体" w:cs="Times New Roman"/>
                <w:i w:val="0"/>
                <w:iCs w:val="0"/>
                <w:color w:val="auto"/>
                <w:kern w:val="0"/>
                <w:sz w:val="21"/>
                <w:szCs w:val="21"/>
                <w:highlight w:val="none"/>
                <w:u w:val="none"/>
                <w:lang w:val="en-US" w:eastAsia="zh-CN" w:bidi="ar"/>
              </w:rPr>
              <w:t>6</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eastAsia="宋体" w:cs="Times New Roman"/>
                <w:i w:val="0"/>
                <w:iCs w:val="0"/>
                <w:color w:val="auto"/>
                <w:kern w:val="0"/>
                <w:sz w:val="21"/>
                <w:szCs w:val="21"/>
                <w:highlight w:val="none"/>
                <w:u w:val="none"/>
                <w:lang w:val="en-US" w:eastAsia="zh-CN" w:bidi="ar"/>
              </w:rPr>
              <w:t>6</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171"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865"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井下除尘用水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71"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tc>
        <w:tc>
          <w:tcPr>
            <w:tcW w:w="865"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临时排岩场</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8731</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1.5L/m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·d</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13.1</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13.1</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171"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w:t>
            </w:r>
          </w:p>
        </w:tc>
        <w:tc>
          <w:tcPr>
            <w:tcW w:w="865"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道路抑尘洒水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7230</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1.5L/m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·d</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10.8</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10.8</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171"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w:t>
            </w:r>
          </w:p>
        </w:tc>
        <w:tc>
          <w:tcPr>
            <w:tcW w:w="865"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绿化用水</w:t>
            </w:r>
          </w:p>
        </w:tc>
        <w:tc>
          <w:tcPr>
            <w:tcW w:w="343"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14531</w:t>
            </w:r>
          </w:p>
        </w:tc>
        <w:tc>
          <w:tcPr>
            <w:tcW w:w="666"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2L/m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·d</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21.9</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1096" w:type="dxa"/>
            <w:tcBorders>
              <w:tl2br w:val="nil"/>
              <w:tr2bl w:val="nil"/>
            </w:tcBorders>
            <w:shd w:val="clear" w:color="auto" w:fill="auto"/>
            <w:noWrap/>
            <w:vAlign w:val="center"/>
          </w:tcPr>
          <w:p>
            <w:pPr>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21.9</w:t>
            </w:r>
          </w:p>
        </w:tc>
        <w:tc>
          <w:tcPr>
            <w:tcW w:w="590"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2047" w:type="pct"/>
            <w:gridSpan w:val="4"/>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生产用水小计</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50.6</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096" w:type="dxa"/>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170.6</w:t>
            </w:r>
          </w:p>
        </w:tc>
        <w:tc>
          <w:tcPr>
            <w:tcW w:w="590"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2047" w:type="pct"/>
            <w:gridSpan w:val="4"/>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总计</w:t>
            </w:r>
          </w:p>
        </w:tc>
        <w:tc>
          <w:tcPr>
            <w:tcW w:w="59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56.1</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120</w:t>
            </w:r>
          </w:p>
        </w:tc>
        <w:tc>
          <w:tcPr>
            <w:tcW w:w="1096" w:type="dxa"/>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175</w:t>
            </w:r>
          </w:p>
        </w:tc>
        <w:tc>
          <w:tcPr>
            <w:tcW w:w="590" w:type="pct"/>
            <w:tcBorders>
              <w:tl2br w:val="nil"/>
              <w:tr2bl w:val="nil"/>
            </w:tcBorders>
            <w:shd w:val="clear" w:color="auto" w:fill="auto"/>
            <w:noWrap/>
            <w:vAlign w:val="center"/>
          </w:tcPr>
          <w:p>
            <w:pPr>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000" w:type="pct"/>
            <w:gridSpan w:val="9"/>
            <w:tcBorders>
              <w:tl2br w:val="nil"/>
              <w:tr2bl w:val="nil"/>
            </w:tcBorders>
            <w:shd w:val="clear" w:color="auto" w:fill="auto"/>
            <w:noWrap/>
            <w:vAlign w:val="center"/>
          </w:tcPr>
          <w:p>
            <w:pPr>
              <w:spacing w:line="240" w:lineRule="atLeast"/>
              <w:ind w:left="0" w:leftChars="0" w:firstLine="0" w:firstLineChars="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备注：生活污废水排至防渗旱厕定期清掏，不外排；</w:t>
            </w:r>
          </w:p>
          <w:p>
            <w:pPr>
              <w:spacing w:line="240" w:lineRule="atLeast"/>
              <w:ind w:left="0" w:leftChars="0" w:firstLine="630" w:firstLineChars="30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生产用水采用矿井涌水，不足部分外购采用洒水车运输至采场</w:t>
            </w:r>
          </w:p>
        </w:tc>
      </w:tr>
    </w:tbl>
    <w:p>
      <w:pPr>
        <w:pStyle w:val="315"/>
        <w:jc w:val="center"/>
        <w:rPr>
          <w:rFonts w:hint="default" w:ascii="Times New Roman" w:hAnsi="Times New Roman" w:eastAsia="宋体" w:cs="Times New Roman"/>
          <w:color w:val="auto"/>
          <w:highlight w:val="none"/>
        </w:rPr>
      </w:pPr>
    </w:p>
    <w:p>
      <w:pPr>
        <w:pStyle w:val="315"/>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3</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9</w:t>
      </w:r>
      <w:r>
        <w:rPr>
          <w:rFonts w:hint="default" w:ascii="Times New Roman" w:hAnsi="Times New Roman" w:eastAsia="宋体" w:cs="Times New Roman"/>
          <w:color w:val="auto"/>
          <w:highlight w:val="none"/>
          <w:lang w:val="en-US" w:eastAsia="zh-CN"/>
        </w:rPr>
        <w:t xml:space="preserve"> 矿区冬季</w:t>
      </w:r>
      <w:r>
        <w:rPr>
          <w:rFonts w:hint="eastAsia" w:ascii="Times New Roman" w:hAnsi="Times New Roman" w:eastAsia="宋体" w:cs="Times New Roman"/>
          <w:color w:val="auto"/>
          <w:highlight w:val="none"/>
          <w:lang w:val="en-US" w:eastAsia="zh-CN"/>
        </w:rPr>
        <w:t>水平衡</w:t>
      </w:r>
      <w:r>
        <w:rPr>
          <w:rFonts w:hint="default" w:ascii="Times New Roman" w:hAnsi="Times New Roman" w:eastAsia="宋体" w:cs="Times New Roman"/>
          <w:color w:val="auto"/>
          <w:highlight w:val="none"/>
        </w:rPr>
        <w:t>表</w:t>
      </w:r>
    </w:p>
    <w:tbl>
      <w:tblPr>
        <w:tblStyle w:val="45"/>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320"/>
        <w:gridCol w:w="1596"/>
        <w:gridCol w:w="635"/>
        <w:gridCol w:w="1267"/>
        <w:gridCol w:w="1092"/>
        <w:gridCol w:w="1092"/>
        <w:gridCol w:w="1092"/>
        <w:gridCol w:w="1093"/>
        <w:gridCol w:w="109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032" w:type="pct"/>
            <w:gridSpan w:val="2"/>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一、生活用水</w:t>
            </w:r>
          </w:p>
        </w:tc>
        <w:tc>
          <w:tcPr>
            <w:tcW w:w="34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规模</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用水量标准</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新水</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矿井涌水</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消耗量</w:t>
            </w:r>
          </w:p>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综合利用量</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废污水产生量</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7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5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一般生活用水</w:t>
            </w:r>
          </w:p>
        </w:tc>
        <w:tc>
          <w:tcPr>
            <w:tcW w:w="34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110</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50L/人</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w:t>
            </w:r>
          </w:p>
        </w:tc>
        <w:tc>
          <w:tcPr>
            <w:tcW w:w="588"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2057" w:type="pct"/>
            <w:gridSpan w:val="4"/>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生活用水小计</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4.4</w:t>
            </w:r>
          </w:p>
        </w:tc>
        <w:tc>
          <w:tcPr>
            <w:tcW w:w="588" w:type="pct"/>
            <w:tcBorders>
              <w:tl2br w:val="nil"/>
              <w:tr2bl w:val="nil"/>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032" w:type="pct"/>
            <w:gridSpan w:val="2"/>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二、生产用水</w:t>
            </w:r>
          </w:p>
        </w:tc>
        <w:tc>
          <w:tcPr>
            <w:tcW w:w="34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588"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17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85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潜孔钻机用水</w:t>
            </w:r>
          </w:p>
        </w:tc>
        <w:tc>
          <w:tcPr>
            <w:tcW w:w="34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/台.d</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17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85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凿岩机用水</w:t>
            </w:r>
          </w:p>
        </w:tc>
        <w:tc>
          <w:tcPr>
            <w:tcW w:w="34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6L/台·min</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17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w:t>
            </w:r>
          </w:p>
        </w:tc>
        <w:tc>
          <w:tcPr>
            <w:tcW w:w="859"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井下除尘用水</w:t>
            </w:r>
          </w:p>
        </w:tc>
        <w:tc>
          <w:tcPr>
            <w:tcW w:w="34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24</w:t>
            </w:r>
          </w:p>
        </w:tc>
        <w:tc>
          <w:tcPr>
            <w:tcW w:w="682"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2057" w:type="pct"/>
            <w:gridSpan w:val="4"/>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生产用水小计</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60</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2057" w:type="pct"/>
            <w:gridSpan w:val="4"/>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总计</w:t>
            </w:r>
          </w:p>
        </w:tc>
        <w:tc>
          <w:tcPr>
            <w:tcW w:w="5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5.5</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60</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1.1</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64.4</w:t>
            </w:r>
          </w:p>
        </w:tc>
        <w:tc>
          <w:tcPr>
            <w:tcW w:w="588" w:type="pct"/>
            <w:tcBorders>
              <w:tl2br w:val="nil"/>
              <w:tr2bl w:val="nil"/>
            </w:tcBorders>
            <w:shd w:val="clear" w:color="auto" w:fill="auto"/>
            <w:noWrap/>
            <w:vAlign w:val="center"/>
          </w:tcPr>
          <w:p>
            <w:pPr>
              <w:spacing w:line="240" w:lineRule="atLeast"/>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000" w:type="pct"/>
            <w:gridSpan w:val="9"/>
            <w:tcBorders>
              <w:tl2br w:val="nil"/>
              <w:tr2bl w:val="nil"/>
            </w:tcBorders>
            <w:shd w:val="clear" w:color="auto" w:fill="auto"/>
            <w:noWrap/>
            <w:vAlign w:val="center"/>
          </w:tcPr>
          <w:p>
            <w:pPr>
              <w:spacing w:line="240" w:lineRule="atLeast"/>
              <w:ind w:left="0" w:leftChars="0" w:firstLine="0" w:firstLineChars="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备注：生活污废水排至防渗旱厕定期清掏，不外排。</w:t>
            </w:r>
          </w:p>
        </w:tc>
      </w:tr>
    </w:tbl>
    <w:p>
      <w:pPr>
        <w:pStyle w:val="37"/>
        <w:ind w:left="0" w:leftChars="0" w:firstLine="0" w:firstLineChars="0"/>
        <w:rPr>
          <w:rFonts w:hint="default" w:ascii="Times New Roman" w:hAnsi="Times New Roman" w:eastAsia="宋体" w:cs="Times New Roman"/>
          <w:b/>
          <w:color w:val="auto"/>
          <w:sz w:val="21"/>
          <w:szCs w:val="21"/>
          <w:highlight w:val="none"/>
        </w:rPr>
      </w:pPr>
    </w:p>
    <w:p>
      <w:pPr>
        <w:pStyle w:val="37"/>
        <w:ind w:left="0" w:leftChars="0" w:firstLine="0" w:firstLineChars="0"/>
        <w:rPr>
          <w:rFonts w:hint="default" w:ascii="Times New Roman" w:hAnsi="Times New Roman" w:eastAsia="宋体" w:cs="Times New Roman"/>
          <w:b/>
          <w:color w:val="auto"/>
          <w:sz w:val="21"/>
          <w:szCs w:val="21"/>
          <w:highlight w:val="none"/>
        </w:rPr>
      </w:pPr>
    </w:p>
    <w:p>
      <w:pPr>
        <w:pStyle w:val="37"/>
        <w:ind w:left="0" w:leftChars="0"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object>
          <v:shape id="_x0000_i1026" o:spt="75" type="#_x0000_t75" style="height:336.4pt;width:479.8pt;" o:ole="t" filled="f" o:preferrelative="t" stroked="f" coordsize="21600,21600">
            <v:path/>
            <v:fill on="f" focussize="0,0"/>
            <v:stroke on="f"/>
            <v:imagedata r:id="rId61" o:title=""/>
            <o:lock v:ext="edit" aspectratio="f"/>
            <w10:wrap type="none"/>
            <w10:anchorlock/>
          </v:shape>
          <o:OLEObject Type="Embed" ProgID="Visio.Drawing.11" ShapeID="_x0000_i1026" DrawAspect="Content" ObjectID="_1468075726" r:id="rId60">
            <o:LockedField>false</o:LockedField>
          </o:OLEObject>
        </w:object>
      </w: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lang w:eastAsia="zh-CN"/>
        </w:rPr>
        <w:t>.3</w:t>
      </w:r>
      <w:r>
        <w:rPr>
          <w:rFonts w:hint="default" w:ascii="Times New Roman" w:hAnsi="Times New Roman" w:eastAsia="宋体" w:cs="Times New Roman"/>
          <w:b/>
          <w:color w:val="auto"/>
          <w:sz w:val="21"/>
          <w:szCs w:val="21"/>
          <w:highlight w:val="none"/>
        </w:rPr>
        <w:t>-</w:t>
      </w:r>
      <w:r>
        <w:rPr>
          <w:rFonts w:hint="eastAsia" w:ascii="Times New Roman" w:hAnsi="Times New Roman" w:eastAsia="宋体"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rPr>
        <w:t xml:space="preserve"> </w:t>
      </w:r>
      <w:r>
        <w:rPr>
          <w:rFonts w:hint="default" w:ascii="Times New Roman" w:hAnsi="Times New Roman" w:eastAsia="宋体" w:cs="Times New Roman"/>
          <w:b/>
          <w:color w:val="auto"/>
          <w:sz w:val="21"/>
          <w:szCs w:val="21"/>
          <w:highlight w:val="none"/>
          <w:lang w:val="en-US" w:eastAsia="zh-CN"/>
        </w:rPr>
        <w:t>项目</w:t>
      </w:r>
      <w:r>
        <w:rPr>
          <w:rFonts w:hint="default" w:ascii="Times New Roman" w:hAnsi="Times New Roman" w:eastAsia="宋体" w:cs="Times New Roman"/>
          <w:b/>
          <w:color w:val="auto"/>
          <w:sz w:val="21"/>
          <w:szCs w:val="21"/>
          <w:highlight w:val="none"/>
        </w:rPr>
        <w:t>水量平衡图（</w:t>
      </w:r>
      <w:r>
        <w:rPr>
          <w:rFonts w:hint="default" w:ascii="Times New Roman" w:hAnsi="Times New Roman" w:eastAsia="宋体" w:cs="Times New Roman"/>
          <w:b/>
          <w:color w:val="auto"/>
          <w:sz w:val="21"/>
          <w:szCs w:val="21"/>
          <w:highlight w:val="none"/>
          <w:lang w:val="en-US" w:eastAsia="zh-CN"/>
        </w:rPr>
        <w:t>夏季</w:t>
      </w:r>
      <w:r>
        <w:rPr>
          <w:rFonts w:hint="default" w:ascii="Times New Roman" w:hAnsi="Times New Roman" w:eastAsia="宋体" w:cs="Times New Roman"/>
          <w:b/>
          <w:color w:val="auto"/>
          <w:sz w:val="21"/>
          <w:szCs w:val="21"/>
          <w:highlight w:val="none"/>
        </w:rPr>
        <w:t>）</w:t>
      </w:r>
    </w:p>
    <w:p>
      <w:pPr>
        <w:rPr>
          <w:rFonts w:hint="default"/>
          <w:color w:val="auto"/>
          <w:lang w:val="en-US" w:eastAsia="zh-CN"/>
        </w:rPr>
      </w:pPr>
    </w:p>
    <w:p>
      <w:pPr>
        <w:pStyle w:val="37"/>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object>
          <v:shape id="_x0000_i1027" o:spt="75" type="#_x0000_t75" style="height:289.05pt;width:453.25pt;" o:ole="t" filled="f" o:preferrelative="t" stroked="f" coordsize="21600,21600">
            <v:path/>
            <v:fill on="f" focussize="0,0"/>
            <v:stroke on="f"/>
            <v:imagedata r:id="rId63" o:title=""/>
            <o:lock v:ext="edit" aspectratio="f"/>
            <w10:wrap type="none"/>
            <w10:anchorlock/>
          </v:shape>
          <o:OLEObject Type="Embed" ProgID="Visio.Drawing.11" ShapeID="_x0000_i1027" DrawAspect="Content" ObjectID="_1468075727" r:id="rId62">
            <o:LockedField>false</o:LockedField>
          </o:OLEObject>
        </w:object>
      </w:r>
    </w:p>
    <w:p>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3</w:t>
      </w:r>
      <w:r>
        <w:rPr>
          <w:rFonts w:hint="eastAsia"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w:t>
      </w:r>
      <w:r>
        <w:rPr>
          <w:rFonts w:hint="eastAsia" w:ascii="Times New Roman" w:hAnsi="Times New Roman" w:eastAsia="宋体" w:cs="Times New Roman"/>
          <w:b/>
          <w:color w:val="auto"/>
          <w:sz w:val="21"/>
          <w:szCs w:val="21"/>
          <w:highlight w:val="none"/>
          <w:lang w:val="en-US" w:eastAsia="zh-CN"/>
        </w:rPr>
        <w:t>9</w:t>
      </w:r>
      <w:r>
        <w:rPr>
          <w:rFonts w:hint="default" w:ascii="Times New Roman" w:hAnsi="Times New Roman" w:eastAsia="宋体" w:cs="Times New Roman"/>
          <w:b/>
          <w:color w:val="auto"/>
          <w:sz w:val="21"/>
          <w:szCs w:val="21"/>
          <w:highlight w:val="none"/>
          <w:lang w:val="en-US" w:eastAsia="zh-CN"/>
        </w:rPr>
        <w:t>项目</w:t>
      </w:r>
      <w:r>
        <w:rPr>
          <w:rFonts w:hint="default" w:ascii="Times New Roman" w:hAnsi="Times New Roman" w:eastAsia="宋体" w:cs="Times New Roman"/>
          <w:b/>
          <w:color w:val="auto"/>
          <w:sz w:val="21"/>
          <w:szCs w:val="21"/>
          <w:highlight w:val="none"/>
        </w:rPr>
        <w:t>水量平衡图（</w:t>
      </w:r>
      <w:r>
        <w:rPr>
          <w:rFonts w:hint="default" w:ascii="Times New Roman" w:hAnsi="Times New Roman" w:eastAsia="宋体" w:cs="Times New Roman"/>
          <w:b/>
          <w:color w:val="auto"/>
          <w:sz w:val="21"/>
          <w:szCs w:val="21"/>
          <w:highlight w:val="none"/>
          <w:lang w:val="en-US" w:eastAsia="zh-CN"/>
        </w:rPr>
        <w:t>冬季</w:t>
      </w:r>
      <w:r>
        <w:rPr>
          <w:rFonts w:hint="default" w:ascii="Times New Roman" w:hAnsi="Times New Roman" w:eastAsia="宋体" w:cs="Times New Roman"/>
          <w:b/>
          <w:color w:val="auto"/>
          <w:sz w:val="21"/>
          <w:szCs w:val="21"/>
          <w:highlight w:val="none"/>
        </w:rPr>
        <w:t>）</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3.4.4.2用电工程</w:t>
      </w:r>
    </w:p>
    <w:p>
      <w:pPr>
        <w:bidi w:val="0"/>
        <w:rPr>
          <w:rFonts w:hint="default"/>
          <w:color w:val="auto"/>
          <w:lang w:val="en-US"/>
        </w:rPr>
      </w:pPr>
      <w:r>
        <w:rPr>
          <w:rFonts w:hint="default"/>
          <w:color w:val="auto"/>
          <w:lang w:val="en-US"/>
        </w:rPr>
        <w:t>矿山采取单回路单电源供电，主供电源引自苏子沟镇10kV变电所，经架空线路到变电所。地下矿山设计选择S11-315/10/0.4型变压器1台作为井下变压器、S11-50/10型变压器1台作为井上变压器，为该矿区供电。</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3.4.2.3供暖工程</w:t>
      </w:r>
    </w:p>
    <w:p>
      <w:pPr>
        <w:bidi w:val="0"/>
        <w:rPr>
          <w:rFonts w:hint="default"/>
          <w:color w:val="auto"/>
          <w:lang w:val="en-US"/>
        </w:rPr>
      </w:pPr>
      <w:r>
        <w:rPr>
          <w:rFonts w:hint="eastAsia"/>
          <w:color w:val="auto"/>
        </w:rPr>
        <w:t>矿区生产不需要供暖，生活区采用电采暖。</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3.4.2.4储运工程</w:t>
      </w:r>
    </w:p>
    <w:p>
      <w:pPr>
        <w:bidi w:val="0"/>
        <w:rPr>
          <w:rFonts w:hint="eastAsia"/>
          <w:color w:val="auto"/>
        </w:rPr>
      </w:pPr>
      <w:r>
        <w:rPr>
          <w:rFonts w:hint="eastAsia"/>
          <w:color w:val="auto"/>
        </w:rPr>
        <w:t>采矿生产所需原材料主要是炸药、非电导爆雷管、水泥、砂石料、钢材、矿石等。</w:t>
      </w:r>
    </w:p>
    <w:p>
      <w:pPr>
        <w:bidi w:val="0"/>
        <w:rPr>
          <w:rFonts w:hint="eastAsia"/>
          <w:color w:val="auto"/>
        </w:rPr>
      </w:pPr>
      <w:r>
        <w:rPr>
          <w:rFonts w:hint="eastAsia"/>
          <w:color w:val="auto"/>
        </w:rPr>
        <w:t>（</w:t>
      </w:r>
      <w:r>
        <w:rPr>
          <w:rFonts w:hint="default"/>
          <w:color w:val="auto"/>
        </w:rPr>
        <w:t>1</w:t>
      </w:r>
      <w:r>
        <w:rPr>
          <w:rFonts w:hint="eastAsia"/>
          <w:color w:val="auto"/>
        </w:rPr>
        <w:t>）炸药及非电导爆雷管运输</w:t>
      </w:r>
    </w:p>
    <w:p>
      <w:pPr>
        <w:bidi w:val="0"/>
        <w:rPr>
          <w:rFonts w:hint="eastAsia"/>
          <w:color w:val="auto"/>
        </w:rPr>
      </w:pPr>
      <w:r>
        <w:rPr>
          <w:rFonts w:hint="eastAsia"/>
          <w:color w:val="auto"/>
        </w:rPr>
        <w:t>炸药和非电导爆雷管是危险原材料，爆破器材由</w:t>
      </w:r>
      <w:r>
        <w:rPr>
          <w:rFonts w:hint="eastAsia"/>
          <w:color w:val="auto"/>
          <w:lang w:val="en-US" w:eastAsia="zh-CN"/>
        </w:rPr>
        <w:t>专业</w:t>
      </w:r>
      <w:r>
        <w:rPr>
          <w:rFonts w:hint="eastAsia"/>
          <w:color w:val="auto"/>
        </w:rPr>
        <w:t>爆器材公司派送配送。</w:t>
      </w:r>
    </w:p>
    <w:p>
      <w:pPr>
        <w:bidi w:val="0"/>
        <w:rPr>
          <w:rFonts w:hint="eastAsia"/>
          <w:color w:val="auto"/>
        </w:rPr>
      </w:pPr>
      <w:r>
        <w:rPr>
          <w:rFonts w:hint="eastAsia"/>
          <w:color w:val="auto"/>
        </w:rPr>
        <w:t>（</w:t>
      </w:r>
      <w:r>
        <w:rPr>
          <w:rFonts w:hint="default"/>
          <w:color w:val="auto"/>
        </w:rPr>
        <w:t>2</w:t>
      </w:r>
      <w:r>
        <w:rPr>
          <w:rFonts w:hint="eastAsia"/>
          <w:color w:val="auto"/>
        </w:rPr>
        <w:t>）其余生产原材料运输</w:t>
      </w:r>
    </w:p>
    <w:p>
      <w:pPr>
        <w:bidi w:val="0"/>
        <w:rPr>
          <w:rFonts w:hint="eastAsia"/>
          <w:color w:val="auto"/>
        </w:rPr>
      </w:pPr>
      <w:r>
        <w:rPr>
          <w:rFonts w:hint="eastAsia"/>
          <w:color w:val="auto"/>
        </w:rPr>
        <w:t>生产所需其它主要原材料由生产厂家直接送货。</w:t>
      </w:r>
    </w:p>
    <w:p>
      <w:pPr>
        <w:bidi w:val="0"/>
        <w:rPr>
          <w:rFonts w:hint="eastAsia"/>
          <w:color w:val="auto"/>
        </w:rPr>
      </w:pPr>
      <w:r>
        <w:rPr>
          <w:rFonts w:hint="eastAsia"/>
          <w:color w:val="auto"/>
        </w:rPr>
        <w:t>（</w:t>
      </w:r>
      <w:r>
        <w:rPr>
          <w:rFonts w:hint="default"/>
          <w:color w:val="auto"/>
        </w:rPr>
        <w:t>3</w:t>
      </w:r>
      <w:r>
        <w:rPr>
          <w:rFonts w:hint="eastAsia"/>
          <w:color w:val="auto"/>
        </w:rPr>
        <w:t>）主要辅助材料来源及运输</w:t>
      </w:r>
    </w:p>
    <w:p>
      <w:pPr>
        <w:bidi w:val="0"/>
        <w:rPr>
          <w:rFonts w:hint="eastAsia"/>
          <w:color w:val="auto"/>
        </w:rPr>
      </w:pPr>
      <w:r>
        <w:rPr>
          <w:rFonts w:hint="eastAsia"/>
          <w:color w:val="auto"/>
        </w:rPr>
        <w:t>所需主要辅助材料如备品备件等，由矿方自己采购或由厂家直接送货上门，运输车辆由由生产厂家解决。</w:t>
      </w:r>
    </w:p>
    <w:p>
      <w:pPr>
        <w:bidi w:val="0"/>
        <w:rPr>
          <w:rFonts w:hint="eastAsia"/>
          <w:color w:val="auto"/>
        </w:rPr>
      </w:pPr>
      <w:r>
        <w:rPr>
          <w:rFonts w:hint="eastAsia"/>
          <w:color w:val="auto"/>
        </w:rPr>
        <w:t>（4）矿</w:t>
      </w:r>
      <w:r>
        <w:rPr>
          <w:rFonts w:hint="eastAsia"/>
          <w:color w:val="auto"/>
          <w:lang w:val="en-US" w:eastAsia="zh-CN"/>
        </w:rPr>
        <w:t>岩</w:t>
      </w:r>
      <w:r>
        <w:rPr>
          <w:rFonts w:hint="eastAsia"/>
          <w:color w:val="auto"/>
        </w:rPr>
        <w:t>运输</w:t>
      </w:r>
    </w:p>
    <w:p>
      <w:pPr>
        <w:bidi w:val="0"/>
        <w:rPr>
          <w:rFonts w:hint="eastAsia"/>
          <w:color w:val="auto"/>
        </w:rPr>
      </w:pPr>
      <w:r>
        <w:rPr>
          <w:rFonts w:hint="eastAsia"/>
          <w:color w:val="auto"/>
        </w:rPr>
        <w:t>矿山已有20多年开采历史，主要运输道路已形成，在利用原有道路基础上新修1条道路，长1238m，包括露天一采场修筑运输道路270m，露天二采场修筑运输道路740m，地下采区地表新修道路228m。</w:t>
      </w:r>
    </w:p>
    <w:p>
      <w:pPr>
        <w:bidi w:val="0"/>
        <w:rPr>
          <w:rFonts w:hint="default" w:eastAsia="宋体"/>
          <w:color w:val="auto"/>
          <w:lang w:val="en-US" w:eastAsia="zh-CN"/>
        </w:rPr>
      </w:pPr>
      <w:r>
        <w:rPr>
          <w:rFonts w:hint="eastAsia"/>
          <w:color w:val="auto"/>
        </w:rPr>
        <w:t>（5）</w:t>
      </w:r>
      <w:r>
        <w:rPr>
          <w:rFonts w:hint="eastAsia"/>
          <w:color w:val="auto"/>
          <w:lang w:val="en-US" w:eastAsia="zh-CN"/>
        </w:rPr>
        <w:t>矿岩储存</w:t>
      </w:r>
    </w:p>
    <w:p>
      <w:pPr>
        <w:bidi w:val="0"/>
        <w:rPr>
          <w:rFonts w:hint="eastAsia"/>
          <w:color w:val="auto"/>
          <w:lang w:val="en-US" w:eastAsia="zh-CN"/>
        </w:rPr>
      </w:pPr>
      <w:r>
        <w:rPr>
          <w:rFonts w:hint="default" w:ascii="Times New Roman" w:hAnsi="Times New Roman" w:eastAsia="宋体" w:cs="Times New Roman"/>
          <w:color w:val="auto"/>
          <w:highlight w:val="none"/>
          <w:lang w:val="en-US" w:eastAsia="zh-CN"/>
        </w:rPr>
        <w:t>露天一采场年均剥岩量约15.03万t（约5.78万m³），排放12.43年；露天二采场年剥岩量约5.11万t（约1.96万m³），排放3.19年。根据《矿产资源开发利用方案》废石处理方式，矿山开采过程中产生的废石，除部分用来修筑道路、回填老采坑及平整地表建筑设施外，绝大部分废石采取外售方式处理。</w:t>
      </w:r>
      <w:r>
        <w:rPr>
          <w:rFonts w:hint="eastAsia" w:ascii="Times New Roman" w:hAnsi="Times New Roman" w:eastAsia="宋体" w:cs="Times New Roman"/>
          <w:color w:val="auto"/>
          <w:highlight w:val="none"/>
          <w:lang w:val="en-US" w:eastAsia="zh-CN"/>
        </w:rPr>
        <w:t>建设单位利用</w:t>
      </w:r>
      <w:r>
        <w:rPr>
          <w:rFonts w:hint="eastAsia"/>
          <w:color w:val="auto"/>
          <w:lang w:val="en-US" w:eastAsia="zh-CN"/>
        </w:rPr>
        <w:t>历史遗留3号排岩场作为矿石临时堆场，排岩场</w:t>
      </w:r>
      <w:r>
        <w:rPr>
          <w:rFonts w:hint="default"/>
          <w:color w:val="auto"/>
        </w:rPr>
        <w:t>占地面积约0.374万m</w:t>
      </w:r>
      <w:r>
        <w:rPr>
          <w:rFonts w:hint="default"/>
          <w:color w:val="auto"/>
          <w:vertAlign w:val="superscript"/>
        </w:rPr>
        <w:t>2</w:t>
      </w:r>
      <w:r>
        <w:rPr>
          <w:rFonts w:hint="default"/>
          <w:color w:val="auto"/>
        </w:rPr>
        <w:t>，顶部标高为+400m，底部标高+375m，采用单阶段排岩，排岩高度25m，坡面角35°。利用块段纵投影面积乘以块段平均水平厚度，即为块段体积，计算临时排岩场总容积3.34万m³</w:t>
      </w:r>
      <w:r>
        <w:rPr>
          <w:rFonts w:hint="eastAsia"/>
          <w:color w:val="auto"/>
          <w:lang w:eastAsia="zh-CN"/>
        </w:rPr>
        <w:t>，</w:t>
      </w:r>
      <w:r>
        <w:rPr>
          <w:rFonts w:hint="eastAsia"/>
          <w:color w:val="auto"/>
          <w:lang w:val="en-US" w:eastAsia="zh-CN"/>
        </w:rPr>
        <w:t>可满足采场矿岩临时堆存需求。</w:t>
      </w:r>
    </w:p>
    <w:p>
      <w:pPr>
        <w:bidi w:val="0"/>
        <w:rPr>
          <w:rFonts w:hint="default"/>
          <w:color w:val="auto"/>
          <w:lang w:val="en-US" w:eastAsia="zh-CN"/>
        </w:rPr>
      </w:pPr>
      <w:r>
        <w:rPr>
          <w:rFonts w:hint="eastAsia"/>
          <w:color w:val="auto"/>
          <w:lang w:eastAsia="zh-CN"/>
        </w:rPr>
        <w:t>（</w:t>
      </w:r>
      <w:r>
        <w:rPr>
          <w:rFonts w:hint="eastAsia"/>
          <w:color w:val="auto"/>
          <w:lang w:val="en-US" w:eastAsia="zh-CN"/>
        </w:rPr>
        <w:t>6</w:t>
      </w:r>
      <w:r>
        <w:rPr>
          <w:rFonts w:hint="eastAsia"/>
          <w:color w:val="auto"/>
          <w:lang w:eastAsia="zh-CN"/>
        </w:rPr>
        <w:t>）</w:t>
      </w:r>
      <w:r>
        <w:rPr>
          <w:rFonts w:hint="eastAsia"/>
          <w:color w:val="auto"/>
          <w:lang w:val="en-US" w:eastAsia="zh-CN"/>
        </w:rPr>
        <w:t>表土储存</w:t>
      </w:r>
    </w:p>
    <w:p>
      <w:pPr>
        <w:bidi w:val="0"/>
        <w:rPr>
          <w:rFonts w:hint="eastAsia"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rPr>
        <w:t>岫岩满族自治县苏子沟镇大何家堡村钾长石矿矿山地质环境保护与土地复垦方案</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拟建工程总面积8.0376hm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，平均剥离厚度0.3m，预计可剥离表土24113m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rPr>
        <w:t>，先期剥离表土可运至老采场直接用于复垦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后期剥离的表土可临时堆放在新建采场底部平台，后期用于复垦。</w:t>
      </w:r>
      <w:r>
        <w:rPr>
          <w:rFonts w:hint="eastAsia" w:cs="Times New Roman"/>
          <w:color w:val="auto"/>
          <w:highlight w:val="none"/>
          <w:lang w:val="en-US" w:eastAsia="zh-CN"/>
        </w:rPr>
        <w:t>项目剥离表土客土情况见3.3-10。</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rPr>
      </w:pPr>
      <w:r>
        <w:rPr>
          <w:rFonts w:hint="default" w:ascii="Times New Roman" w:hAnsi="Times New Roman" w:eastAsia="宋体" w:cs="Times New Roman"/>
          <w:b/>
          <w:bCs/>
          <w:color w:val="auto"/>
          <w:sz w:val="21"/>
          <w:highlight w:val="none"/>
        </w:rPr>
        <w:t>表</w:t>
      </w:r>
      <w:r>
        <w:rPr>
          <w:rFonts w:hint="eastAsia" w:ascii="Times New Roman" w:hAnsi="Times New Roman" w:eastAsia="宋体" w:cs="Times New Roman"/>
          <w:b/>
          <w:bCs/>
          <w:color w:val="auto"/>
          <w:sz w:val="21"/>
          <w:highlight w:val="none"/>
          <w:lang w:val="en-US" w:eastAsia="zh-CN"/>
        </w:rPr>
        <w:t>3.3-10</w:t>
      </w:r>
      <w:r>
        <w:rPr>
          <w:rFonts w:hint="default" w:ascii="Times New Roman" w:hAnsi="Times New Roman" w:eastAsia="宋体" w:cs="Times New Roman"/>
          <w:b/>
          <w:bCs/>
          <w:color w:val="auto"/>
          <w:sz w:val="21"/>
          <w:highlight w:val="none"/>
          <w:lang w:val="en-US" w:eastAsia="zh-CN"/>
        </w:rPr>
        <w:t xml:space="preserve">    项目剥离表土客土情况</w:t>
      </w:r>
      <w:r>
        <w:rPr>
          <w:rFonts w:hint="default" w:ascii="Times New Roman" w:hAnsi="Times New Roman" w:eastAsia="宋体" w:cs="Times New Roman"/>
          <w:b/>
          <w:bCs/>
          <w:color w:val="auto"/>
          <w:sz w:val="21"/>
          <w:highlight w:val="none"/>
        </w:rPr>
        <w:t>表</w:t>
      </w:r>
    </w:p>
    <w:tbl>
      <w:tblPr>
        <w:tblStyle w:val="45"/>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836"/>
        <w:gridCol w:w="6129"/>
        <w:gridCol w:w="132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治理复垦年度</w:t>
            </w:r>
          </w:p>
        </w:tc>
        <w:tc>
          <w:tcPr>
            <w:tcW w:w="329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复垦位置</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宋体" w:hAnsi="宋体" w:eastAsia="宋体" w:cs="宋体"/>
                <w:i w:val="0"/>
                <w:iCs w:val="0"/>
                <w:color w:val="auto"/>
                <w:sz w:val="24"/>
                <w:szCs w:val="24"/>
                <w:u w:val="none"/>
                <w:vertAlign w:val="baseline"/>
                <w:lang w:val="en-US"/>
              </w:rPr>
            </w:pPr>
            <w:r>
              <w:rPr>
                <w:rFonts w:hint="eastAsia" w:ascii="宋体" w:hAnsi="宋体" w:eastAsia="宋体" w:cs="宋体"/>
                <w:i w:val="0"/>
                <w:iCs w:val="0"/>
                <w:color w:val="auto"/>
                <w:kern w:val="0"/>
                <w:sz w:val="24"/>
                <w:szCs w:val="24"/>
                <w:u w:val="none"/>
                <w:lang w:val="en-US" w:eastAsia="zh-CN" w:bidi="ar"/>
              </w:rPr>
              <w:t>客土量m</w:t>
            </w:r>
            <w:r>
              <w:rPr>
                <w:rFonts w:hint="eastAsia" w:ascii="宋体" w:hAnsi="宋体" w:eastAsia="宋体" w:cs="宋体"/>
                <w:i w:val="0"/>
                <w:iCs w:val="0"/>
                <w:color w:val="auto"/>
                <w:kern w:val="0"/>
                <w:sz w:val="24"/>
                <w:szCs w:val="24"/>
                <w:u w:val="none"/>
                <w:vertAlign w:val="superscript"/>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2023</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2024</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废弃露天采场</w:t>
            </w:r>
            <w:r>
              <w:rPr>
                <w:rFonts w:hint="default" w:ascii="Times New Roman" w:hAnsi="Times New Roman" w:eastAsia="宋体" w:cs="Times New Roman"/>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、露天采场</w:t>
            </w:r>
            <w:r>
              <w:rPr>
                <w:rFonts w:hint="default" w:ascii="Times New Roman" w:hAnsi="Times New Roman" w:eastAsia="宋体" w:cs="Times New Roman"/>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、露天采场</w:t>
            </w:r>
            <w:r>
              <w:rPr>
                <w:rFonts w:hint="default" w:ascii="Times New Roman" w:hAnsi="Times New Roman" w:eastAsia="宋体" w:cs="Times New Roman"/>
                <w:i w:val="0"/>
                <w:iCs w:val="0"/>
                <w:color w:val="auto"/>
                <w:kern w:val="0"/>
                <w:sz w:val="24"/>
                <w:szCs w:val="24"/>
                <w:u w:val="none"/>
                <w:lang w:val="en-US" w:eastAsia="zh-CN" w:bidi="ar"/>
              </w:rPr>
              <w:t>4</w:t>
            </w:r>
            <w:r>
              <w:rPr>
                <w:rFonts w:hint="default" w:ascii="Times New Roman" w:hAnsi="Times New Roman" w:eastAsia="宋体" w:cs="Times New Roman"/>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拟建露天采场二</w:t>
            </w:r>
            <w:r>
              <w:rPr>
                <w:rFonts w:hint="default" w:ascii="Times New Roman" w:hAnsi="Times New Roman" w:eastAsia="宋体" w:cs="Times New Roman"/>
                <w:i w:val="0"/>
                <w:iCs w:val="0"/>
                <w:color w:val="auto"/>
                <w:kern w:val="0"/>
                <w:sz w:val="24"/>
                <w:szCs w:val="24"/>
                <w:u w:val="none"/>
                <w:lang w:val="en-US" w:eastAsia="zh-CN" w:bidi="ar"/>
              </w:rPr>
              <w:t>420m</w:t>
            </w:r>
            <w:r>
              <w:rPr>
                <w:rFonts w:hint="eastAsia" w:ascii="宋体" w:hAnsi="宋体" w:eastAsia="宋体" w:cs="宋体"/>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400m</w:t>
            </w:r>
            <w:r>
              <w:rPr>
                <w:rFonts w:hint="eastAsia" w:ascii="宋体" w:hAnsi="宋体" w:eastAsia="宋体" w:cs="宋体"/>
                <w:i w:val="0"/>
                <w:iCs w:val="0"/>
                <w:color w:val="auto"/>
                <w:kern w:val="0"/>
                <w:sz w:val="24"/>
                <w:szCs w:val="24"/>
                <w:u w:val="none"/>
                <w:lang w:val="en-US" w:eastAsia="zh-CN" w:bidi="ar"/>
              </w:rPr>
              <w:t>平台</w:t>
            </w:r>
            <w:r>
              <w:rPr>
                <w:rFonts w:hint="default" w:ascii="Times New Roman" w:hAnsi="Times New Roman" w:eastAsia="宋体" w:cs="Times New Roman"/>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拟建露天采场一</w:t>
            </w:r>
            <w:r>
              <w:rPr>
                <w:rFonts w:hint="default" w:ascii="Times New Roman" w:hAnsi="Times New Roman" w:eastAsia="宋体" w:cs="Times New Roman"/>
                <w:i w:val="0"/>
                <w:iCs w:val="0"/>
                <w:color w:val="auto"/>
                <w:kern w:val="0"/>
                <w:sz w:val="24"/>
                <w:szCs w:val="24"/>
                <w:u w:val="none"/>
                <w:lang w:val="en-US" w:eastAsia="zh-CN" w:bidi="ar"/>
              </w:rPr>
              <w:t>370m</w:t>
            </w:r>
            <w:r>
              <w:rPr>
                <w:rFonts w:hint="eastAsia" w:ascii="宋体" w:hAnsi="宋体" w:eastAsia="宋体" w:cs="宋体"/>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350m</w:t>
            </w:r>
            <w:r>
              <w:rPr>
                <w:rFonts w:hint="eastAsia" w:ascii="宋体" w:hAnsi="宋体" w:eastAsia="宋体" w:cs="宋体"/>
                <w:i w:val="0"/>
                <w:iCs w:val="0"/>
                <w:color w:val="auto"/>
                <w:kern w:val="0"/>
                <w:sz w:val="24"/>
                <w:szCs w:val="24"/>
                <w:u w:val="none"/>
                <w:lang w:val="en-US" w:eastAsia="zh-CN" w:bidi="ar"/>
              </w:rPr>
              <w:t>平台、排岩场</w:t>
            </w:r>
            <w:r>
              <w:rPr>
                <w:rFonts w:hint="default" w:ascii="Times New Roman" w:hAnsi="Times New Roman" w:eastAsia="宋体" w:cs="Times New Roman"/>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、排岩场</w:t>
            </w:r>
            <w:r>
              <w:rPr>
                <w:rFonts w:hint="default" w:ascii="Times New Roman" w:hAnsi="Times New Roman" w:eastAsia="宋体" w:cs="Times New Roman"/>
                <w:i w:val="0"/>
                <w:iCs w:val="0"/>
                <w:color w:val="auto"/>
                <w:kern w:val="0"/>
                <w:sz w:val="24"/>
                <w:szCs w:val="24"/>
                <w:u w:val="none"/>
                <w:lang w:val="en-US" w:eastAsia="zh-CN" w:bidi="ar"/>
              </w:rPr>
              <w:t>4</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6120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2024</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2025</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拟建露天采场二</w:t>
            </w:r>
            <w:r>
              <w:rPr>
                <w:rFonts w:hint="default" w:ascii="Times New Roman" w:hAnsi="Times New Roman" w:eastAsia="宋体" w:cs="Times New Roman"/>
                <w:i w:val="0"/>
                <w:iCs w:val="0"/>
                <w:color w:val="auto"/>
                <w:kern w:val="0"/>
                <w:sz w:val="24"/>
                <w:szCs w:val="24"/>
                <w:u w:val="none"/>
                <w:lang w:val="en-US" w:eastAsia="zh-CN" w:bidi="ar"/>
              </w:rPr>
              <w:t>380m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3535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2025</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2026</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拟建露天采场二</w:t>
            </w:r>
            <w:r>
              <w:rPr>
                <w:rFonts w:hint="default" w:ascii="Times New Roman" w:hAnsi="Times New Roman" w:eastAsia="宋体" w:cs="Times New Roman"/>
                <w:i w:val="0"/>
                <w:iCs w:val="0"/>
                <w:color w:val="auto"/>
                <w:kern w:val="0"/>
                <w:sz w:val="24"/>
                <w:szCs w:val="24"/>
                <w:u w:val="none"/>
                <w:lang w:val="en-US" w:eastAsia="zh-CN" w:bidi="ar"/>
              </w:rPr>
              <w:t>360m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1286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2026</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2027</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拟建露天采场一</w:t>
            </w:r>
            <w:r>
              <w:rPr>
                <w:rFonts w:hint="default" w:ascii="Times New Roman" w:hAnsi="Times New Roman" w:eastAsia="宋体" w:cs="Times New Roman"/>
                <w:i w:val="0"/>
                <w:iCs w:val="0"/>
                <w:color w:val="auto"/>
                <w:kern w:val="0"/>
                <w:sz w:val="24"/>
                <w:szCs w:val="24"/>
                <w:u w:val="none"/>
                <w:lang w:val="en-US" w:eastAsia="zh-CN" w:bidi="ar"/>
              </w:rPr>
              <w:t>330m</w:t>
            </w:r>
            <w:r>
              <w:rPr>
                <w:rFonts w:hint="eastAsia" w:ascii="宋体" w:hAnsi="宋体" w:eastAsia="宋体" w:cs="宋体"/>
                <w:i w:val="0"/>
                <w:iCs w:val="0"/>
                <w:color w:val="auto"/>
                <w:kern w:val="0"/>
                <w:sz w:val="24"/>
                <w:szCs w:val="24"/>
                <w:u w:val="none"/>
                <w:lang w:val="en-US" w:eastAsia="zh-CN" w:bidi="ar"/>
              </w:rPr>
              <w:t>平台、拟建露天采场二</w:t>
            </w:r>
            <w:r>
              <w:rPr>
                <w:rFonts w:hint="default" w:ascii="Times New Roman" w:hAnsi="Times New Roman" w:eastAsia="宋体" w:cs="Times New Roman"/>
                <w:i w:val="0"/>
                <w:iCs w:val="0"/>
                <w:color w:val="auto"/>
                <w:kern w:val="0"/>
                <w:sz w:val="24"/>
                <w:szCs w:val="24"/>
                <w:u w:val="none"/>
                <w:lang w:val="en-US" w:eastAsia="zh-CN" w:bidi="ar"/>
              </w:rPr>
              <w:t>340m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4419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2029</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2030</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拟建露天采场一</w:t>
            </w:r>
            <w:r>
              <w:rPr>
                <w:rFonts w:hint="default" w:ascii="Times New Roman" w:hAnsi="Times New Roman" w:eastAsia="宋体" w:cs="Times New Roman"/>
                <w:i w:val="0"/>
                <w:iCs w:val="0"/>
                <w:color w:val="auto"/>
                <w:kern w:val="0"/>
                <w:sz w:val="24"/>
                <w:szCs w:val="24"/>
                <w:u w:val="none"/>
                <w:lang w:val="en-US" w:eastAsia="zh-CN" w:bidi="ar"/>
              </w:rPr>
              <w:t>310m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6606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2033</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2034</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拟建露天采场一</w:t>
            </w:r>
            <w:r>
              <w:rPr>
                <w:rFonts w:hint="default" w:ascii="Times New Roman" w:hAnsi="Times New Roman" w:eastAsia="宋体" w:cs="Times New Roman"/>
                <w:i w:val="0"/>
                <w:iCs w:val="0"/>
                <w:color w:val="auto"/>
                <w:kern w:val="0"/>
                <w:sz w:val="24"/>
                <w:szCs w:val="24"/>
                <w:u w:val="none"/>
                <w:lang w:val="en-US" w:eastAsia="zh-CN" w:bidi="ar"/>
              </w:rPr>
              <w:t>290m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1962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2037</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2038</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地表建筑物设施</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lang w:val="en-US"/>
              </w:rPr>
            </w:pPr>
            <w:r>
              <w:rPr>
                <w:rFonts w:hint="eastAsia" w:ascii="Times New Roman" w:hAnsi="Times New Roman" w:eastAsia="宋体" w:cs="Times New Roman"/>
                <w:i w:val="0"/>
                <w:iCs w:val="0"/>
                <w:color w:val="auto"/>
                <w:kern w:val="0"/>
                <w:sz w:val="24"/>
                <w:szCs w:val="24"/>
                <w:u w:val="none"/>
                <w:lang w:val="en-US" w:eastAsia="zh-CN" w:bidi="ar"/>
              </w:rPr>
              <w:t>185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4288" w:type="pct"/>
            <w:gridSpan w:val="2"/>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eastAsia" w:ascii="Times New Roman" w:hAnsi="Times New Roman" w:eastAsia="宋体" w:cs="Times New Roman"/>
                <w:i w:val="0"/>
                <w:iCs w:val="0"/>
                <w:color w:val="auto"/>
                <w:sz w:val="24"/>
                <w:szCs w:val="24"/>
                <w:u w:val="none"/>
                <w:lang w:val="en-US" w:eastAsia="zh-CN"/>
              </w:rPr>
            </w:pPr>
            <w:r>
              <w:rPr>
                <w:rFonts w:hint="eastAsia" w:ascii="Times New Roman" w:hAnsi="Times New Roman" w:eastAsia="宋体" w:cs="Times New Roman"/>
                <w:i w:val="0"/>
                <w:iCs w:val="0"/>
                <w:color w:val="auto"/>
                <w:sz w:val="24"/>
                <w:szCs w:val="24"/>
                <w:u w:val="none"/>
                <w:lang w:val="en-US" w:eastAsia="zh-CN"/>
              </w:rPr>
              <w:t>合计</w:t>
            </w:r>
          </w:p>
        </w:tc>
        <w:tc>
          <w:tcPr>
            <w:tcW w:w="71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lang w:val="en-US"/>
              </w:rPr>
            </w:pPr>
            <w:r>
              <w:rPr>
                <w:rFonts w:hint="eastAsia" w:ascii="Times New Roman" w:hAnsi="Times New Roman" w:eastAsia="宋体" w:cs="Times New Roman"/>
                <w:i w:val="0"/>
                <w:iCs w:val="0"/>
                <w:color w:val="auto"/>
                <w:kern w:val="0"/>
                <w:sz w:val="24"/>
                <w:szCs w:val="24"/>
                <w:u w:val="none"/>
                <w:lang w:val="en-US" w:eastAsia="zh-CN" w:bidi="ar"/>
              </w:rPr>
              <w:t>24113</w:t>
            </w:r>
          </w:p>
        </w:tc>
      </w:tr>
    </w:tbl>
    <w:p>
      <w:pPr>
        <w:bidi w:val="0"/>
        <w:rPr>
          <w:rFonts w:hint="eastAsia"/>
          <w:color w:val="auto"/>
          <w:lang w:val="en-US" w:eastAsia="zh-CN"/>
        </w:rPr>
      </w:pPr>
      <w:r>
        <w:rPr>
          <w:rFonts w:hint="eastAsia"/>
          <w:color w:val="auto"/>
          <w:lang w:val="en-US" w:eastAsia="zh-CN"/>
        </w:rPr>
        <w:t>综上，</w:t>
      </w:r>
      <w:r>
        <w:rPr>
          <w:rFonts w:hint="eastAsia" w:cs="Times New Roman"/>
          <w:color w:val="auto"/>
          <w:highlight w:val="none"/>
          <w:lang w:val="en-US" w:eastAsia="zh-CN"/>
        </w:rPr>
        <w:t>矿区</w:t>
      </w:r>
      <w:r>
        <w:rPr>
          <w:rFonts w:hint="default" w:ascii="Times New Roman" w:hAnsi="Times New Roman" w:eastAsia="宋体" w:cs="Times New Roman"/>
          <w:color w:val="auto"/>
          <w:highlight w:val="none"/>
        </w:rPr>
        <w:t>剥离表土可全部用于复垦</w:t>
      </w:r>
      <w:r>
        <w:rPr>
          <w:rFonts w:hint="default"/>
          <w:color w:val="auto"/>
          <w:lang w:val="en-US" w:eastAsia="zh-CN"/>
        </w:rPr>
        <w:t>，</w:t>
      </w:r>
      <w:r>
        <w:rPr>
          <w:rFonts w:hint="default"/>
          <w:color w:val="auto"/>
        </w:rPr>
        <w:t>矿山</w:t>
      </w:r>
      <w:r>
        <w:rPr>
          <w:rFonts w:hint="eastAsia"/>
          <w:color w:val="auto"/>
          <w:lang w:val="en-US" w:eastAsia="zh-CN"/>
        </w:rPr>
        <w:t>可</w:t>
      </w:r>
      <w:r>
        <w:rPr>
          <w:rFonts w:hint="default"/>
          <w:color w:val="auto"/>
        </w:rPr>
        <w:t>不再</w:t>
      </w:r>
      <w:r>
        <w:rPr>
          <w:rFonts w:hint="eastAsia"/>
          <w:color w:val="auto"/>
          <w:lang w:val="en-US" w:eastAsia="zh-CN"/>
        </w:rPr>
        <w:t>设置</w:t>
      </w:r>
      <w:r>
        <w:rPr>
          <w:rFonts w:hint="default"/>
          <w:color w:val="auto"/>
        </w:rPr>
        <w:t>单独</w:t>
      </w:r>
      <w:r>
        <w:rPr>
          <w:rFonts w:hint="eastAsia"/>
          <w:color w:val="auto"/>
          <w:lang w:val="en-US" w:eastAsia="zh-CN"/>
        </w:rPr>
        <w:t>表土场</w:t>
      </w:r>
      <w:r>
        <w:rPr>
          <w:rFonts w:hint="default"/>
          <w:color w:val="auto"/>
        </w:rPr>
        <w:t>。新建</w:t>
      </w:r>
      <w:r>
        <w:rPr>
          <w:rFonts w:hint="eastAsia"/>
          <w:color w:val="auto"/>
          <w:lang w:val="en-US" w:eastAsia="zh-CN"/>
        </w:rPr>
        <w:t>露天采场二</w:t>
      </w:r>
      <w:r>
        <w:rPr>
          <w:rFonts w:hint="default"/>
          <w:color w:val="auto"/>
        </w:rPr>
        <w:t>采场底部平台占地面积约0.902万m</w:t>
      </w:r>
      <w:r>
        <w:rPr>
          <w:rFonts w:hint="default"/>
          <w:color w:val="auto"/>
          <w:vertAlign w:val="superscript"/>
        </w:rPr>
        <w:t>2</w:t>
      </w:r>
      <w:r>
        <w:rPr>
          <w:rFonts w:hint="default"/>
          <w:color w:val="auto"/>
        </w:rPr>
        <w:t>，顶部标高为+35</w:t>
      </w:r>
      <w:r>
        <w:rPr>
          <w:rFonts w:hint="eastAsia"/>
          <w:color w:val="auto"/>
          <w:lang w:val="en-US" w:eastAsia="zh-CN"/>
        </w:rPr>
        <w:t>5</w:t>
      </w:r>
      <w:r>
        <w:rPr>
          <w:rFonts w:hint="default"/>
          <w:color w:val="auto"/>
        </w:rPr>
        <w:t>m，底部标高+3</w:t>
      </w:r>
      <w:r>
        <w:rPr>
          <w:rFonts w:hint="eastAsia"/>
          <w:color w:val="auto"/>
          <w:lang w:val="en-US" w:eastAsia="zh-CN"/>
        </w:rPr>
        <w:t>40</w:t>
      </w:r>
      <w:r>
        <w:rPr>
          <w:rFonts w:hint="default"/>
          <w:color w:val="auto"/>
        </w:rPr>
        <w:t>m，总容积7.44万m</w:t>
      </w:r>
      <w:r>
        <w:rPr>
          <w:rFonts w:hint="eastAsia"/>
          <w:color w:val="auto"/>
          <w:vertAlign w:val="superscript"/>
          <w:lang w:val="en-US" w:eastAsia="zh-CN"/>
        </w:rPr>
        <w:t>3</w:t>
      </w:r>
      <w:r>
        <w:rPr>
          <w:rFonts w:hint="eastAsia"/>
          <w:color w:val="auto"/>
          <w:lang w:val="en-US" w:eastAsia="zh-CN"/>
        </w:rPr>
        <w:t>，可满足采场排土需求。</w:t>
      </w:r>
    </w:p>
    <w:p>
      <w:pPr>
        <w:pStyle w:val="4"/>
        <w:bidi w:val="0"/>
        <w:rPr>
          <w:rFonts w:hint="eastAsia"/>
          <w:color w:val="auto"/>
          <w:lang w:val="en-US" w:eastAsia="zh-CN"/>
        </w:rPr>
      </w:pPr>
      <w:bookmarkStart w:id="234" w:name="_Toc11936"/>
      <w:r>
        <w:rPr>
          <w:rFonts w:hint="eastAsia"/>
          <w:color w:val="auto"/>
          <w:lang w:val="en-US" w:eastAsia="zh-CN"/>
        </w:rPr>
        <w:t>环境影响因素分析</w:t>
      </w:r>
      <w:bookmarkEnd w:id="234"/>
    </w:p>
    <w:bookmarkEnd w:id="230"/>
    <w:bookmarkEnd w:id="231"/>
    <w:bookmarkEnd w:id="232"/>
    <w:bookmarkEnd w:id="233"/>
    <w:p>
      <w:pPr>
        <w:pStyle w:val="5"/>
        <w:bidi w:val="0"/>
        <w:rPr>
          <w:rFonts w:hint="default"/>
          <w:color w:val="auto"/>
          <w:lang w:val="en-US" w:eastAsia="zh-CN"/>
        </w:rPr>
      </w:pPr>
      <w:bookmarkStart w:id="235" w:name="_Toc32721"/>
      <w:bookmarkStart w:id="236" w:name="_Toc29898"/>
      <w:bookmarkStart w:id="237" w:name="_Toc27127"/>
      <w:bookmarkStart w:id="238" w:name="_Toc450827020"/>
      <w:bookmarkStart w:id="239" w:name="_Toc395187009"/>
      <w:bookmarkStart w:id="240" w:name="_Toc515537841"/>
      <w:bookmarkStart w:id="241" w:name="_Toc15376187"/>
      <w:r>
        <w:rPr>
          <w:rFonts w:hint="default"/>
          <w:color w:val="auto"/>
          <w:lang w:val="en-US" w:eastAsia="zh-CN"/>
        </w:rPr>
        <w:t>生态影响因素分析</w:t>
      </w:r>
      <w:bookmarkEnd w:id="235"/>
      <w:bookmarkEnd w:id="236"/>
      <w:bookmarkEnd w:id="237"/>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242" w:name="_Toc29861"/>
      <w:bookmarkStart w:id="243" w:name="_Toc2676"/>
      <w:r>
        <w:rPr>
          <w:rFonts w:hint="eastAsia" w:ascii="Times New Roman" w:hAnsi="Times New Roman" w:eastAsia="宋体" w:cs="Times New Roman"/>
          <w:color w:val="auto"/>
          <w:sz w:val="24"/>
          <w:highlight w:val="none"/>
          <w:lang w:val="en-US" w:eastAsia="zh-CN"/>
        </w:rPr>
        <w:t>3.4.1.1</w:t>
      </w:r>
      <w:r>
        <w:rPr>
          <w:rFonts w:hint="default" w:ascii="Times New Roman" w:hAnsi="Times New Roman" w:eastAsia="宋体" w:cs="Times New Roman"/>
          <w:color w:val="auto"/>
          <w:sz w:val="24"/>
          <w:highlight w:val="none"/>
          <w:lang w:val="en-US" w:eastAsia="zh-CN"/>
        </w:rPr>
        <w:t>基建期生态影响分析</w:t>
      </w:r>
      <w:bookmarkEnd w:id="242"/>
      <w:bookmarkEnd w:id="243"/>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矿山对</w:t>
      </w:r>
      <w:r>
        <w:rPr>
          <w:rFonts w:hint="default" w:ascii="Times New Roman" w:hAnsi="Times New Roman" w:eastAsia="宋体" w:cs="Times New Roman"/>
          <w:color w:val="auto"/>
          <w:highlight w:val="none"/>
          <w:lang w:val="en-US" w:eastAsia="zh-CN"/>
        </w:rPr>
        <w:t>基建期对生态的影响</w:t>
      </w:r>
      <w:r>
        <w:rPr>
          <w:rFonts w:hint="default" w:ascii="Times New Roman" w:hAnsi="Times New Roman" w:eastAsia="宋体" w:cs="Times New Roman"/>
          <w:color w:val="auto"/>
          <w:highlight w:val="none"/>
        </w:rPr>
        <w:t>主要体现在露天开采、井口开采对地表表土进行剥离，使得开采范围内的土壤发生扰动，诱发流失。矿山在土壤剥离过程中，改变了原有自然土壤的存在状态，土壤与其母岩的上下继承关系也不复存在，同时因为土壤的扰动，使土壤中的养分、有机质含量及保水能力发生了改变，不利于自然植被的生长。而且矿山开采不但改变了原有用地类型，使原有的林地、草地等变为采矿用地或工业用地，亦同时对地表的植被造成彻底的损毁，形成裸岩地貌景观。</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244" w:name="_Toc32123"/>
      <w:bookmarkStart w:id="245" w:name="_Toc3312"/>
      <w:r>
        <w:rPr>
          <w:rFonts w:hint="eastAsia" w:ascii="Times New Roman" w:hAnsi="Times New Roman" w:eastAsia="宋体" w:cs="Times New Roman"/>
          <w:color w:val="auto"/>
          <w:sz w:val="24"/>
          <w:highlight w:val="none"/>
          <w:lang w:val="en-US" w:eastAsia="zh-CN"/>
        </w:rPr>
        <w:t>3.4.1.2运营期</w:t>
      </w:r>
      <w:r>
        <w:rPr>
          <w:rFonts w:hint="default" w:ascii="Times New Roman" w:hAnsi="Times New Roman" w:eastAsia="宋体" w:cs="Times New Roman"/>
          <w:color w:val="auto"/>
          <w:sz w:val="24"/>
          <w:highlight w:val="none"/>
          <w:lang w:val="en-US" w:eastAsia="zh-CN"/>
        </w:rPr>
        <w:t>生态影响分析</w:t>
      </w:r>
      <w:bookmarkEnd w:id="244"/>
      <w:bookmarkEnd w:id="245"/>
    </w:p>
    <w:p>
      <w:pPr>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rPr>
        <w:t>⑴</w:t>
      </w:r>
      <w:r>
        <w:rPr>
          <w:rFonts w:hint="default" w:ascii="Times New Roman" w:hAnsi="Times New Roman" w:eastAsia="宋体" w:cs="Times New Roman"/>
          <w:b/>
          <w:bCs/>
          <w:color w:val="auto"/>
          <w:sz w:val="24"/>
          <w:highlight w:val="none"/>
          <w:lang w:val="en-US" w:eastAsia="zh-CN"/>
        </w:rPr>
        <w:t xml:space="preserve"> 本项目对土地占用情况</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经过破坏的土地现状及预测分析，矿山现状破坏土地面积为3.8101hm²，预测新增破坏土地面积为13.6291hm²，因此，岫岩满族自治县苏子沟镇大何家堡子村钾长石矿现状及预测未来开采活动实际将造成土地资源影响和破坏面积合计17.4392hm²，其中，以挖损形式破坏的土地面积9.0055hm²，以压占破坏的土地面积2.9437hm²，以地面塌陷破坏的土地面积5.4900hm²。破坏的土地类型为其他草地、裸地、有林地和采矿用地</w:t>
      </w:r>
      <w:r>
        <w:rPr>
          <w:rFonts w:hint="default" w:ascii="Times New Roman" w:hAnsi="Times New Roman" w:eastAsia="宋体" w:cs="Times New Roman"/>
          <w:color w:val="auto"/>
          <w:highlight w:val="none"/>
          <w:lang w:eastAsia="zh-CN"/>
        </w:rPr>
        <w:t>。</w:t>
      </w:r>
    </w:p>
    <w:p>
      <w:pP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⑵ 地形地貌</w:t>
      </w:r>
    </w:p>
    <w:p>
      <w:pPr>
        <w:keepNext w:val="0"/>
        <w:keepLines w:val="0"/>
        <w:widowControl/>
        <w:suppressLineNumbers w:val="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本项目拟建的露天采场、平硐及运输道路等压占形成的人工地貌，改变了原生地形地貌特征，破坏程度较严重。</w:t>
      </w:r>
    </w:p>
    <w:p>
      <w:pP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⑶ 动植物</w:t>
      </w:r>
    </w:p>
    <w:p>
      <w:pPr>
        <w:spacing w:line="360" w:lineRule="auto"/>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本项目拟建的露天采场、平硐及运输道路等压占林地、草地，损毁了原生植被，破坏程度较严重。</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246" w:name="_Toc1600"/>
      <w:bookmarkStart w:id="247" w:name="_Toc647"/>
      <w:r>
        <w:rPr>
          <w:rFonts w:hint="eastAsia" w:ascii="Times New Roman" w:hAnsi="Times New Roman" w:eastAsia="宋体" w:cs="Times New Roman"/>
          <w:color w:val="auto"/>
          <w:sz w:val="24"/>
          <w:highlight w:val="none"/>
          <w:lang w:val="en-US" w:eastAsia="zh-CN"/>
        </w:rPr>
        <w:t>3.4.1.3</w:t>
      </w:r>
      <w:r>
        <w:rPr>
          <w:rFonts w:hint="default" w:ascii="Times New Roman" w:hAnsi="Times New Roman" w:eastAsia="宋体" w:cs="Times New Roman"/>
          <w:color w:val="auto"/>
          <w:sz w:val="24"/>
          <w:highlight w:val="none"/>
          <w:lang w:val="en-US" w:eastAsia="zh-CN"/>
        </w:rPr>
        <w:t>闭矿期生态影响分析</w:t>
      </w:r>
      <w:bookmarkEnd w:id="246"/>
      <w:bookmarkEnd w:id="247"/>
    </w:p>
    <w:p>
      <w:pPr>
        <w:ind w:firstLine="48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本项目闭矿期对采空区和采坑进行填充，恢复山体岩石结构，同时外购表土对矿区进行全面复垦，恢复表层植被，美化景观的同时，水土保持能力提高，为动植物恢复提供良好的栖息环境。</w:t>
      </w:r>
    </w:p>
    <w:p>
      <w:pPr>
        <w:pStyle w:val="5"/>
        <w:bidi w:val="0"/>
        <w:rPr>
          <w:rFonts w:hint="default"/>
          <w:color w:val="auto"/>
        </w:rPr>
      </w:pPr>
      <w:r>
        <w:rPr>
          <w:rFonts w:hint="default"/>
          <w:color w:val="auto"/>
          <w:lang w:val="en-US" w:eastAsia="zh-CN"/>
        </w:rPr>
        <w:t>污染影响因素分析</w:t>
      </w:r>
      <w:bookmarkEnd w:id="238"/>
      <w:bookmarkEnd w:id="239"/>
      <w:bookmarkEnd w:id="240"/>
      <w:bookmarkEnd w:id="241"/>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3.4.2.1</w:t>
      </w:r>
      <w:r>
        <w:rPr>
          <w:rFonts w:hint="default" w:ascii="Times New Roman" w:hAnsi="Times New Roman" w:eastAsia="宋体" w:cs="Times New Roman"/>
          <w:color w:val="auto"/>
          <w:sz w:val="24"/>
          <w:highlight w:val="none"/>
          <w:lang w:val="en-US" w:eastAsia="zh-CN"/>
        </w:rPr>
        <w:t>基建期污染影响因素分析</w:t>
      </w:r>
    </w:p>
    <w:p>
      <w:pPr>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w:t>
      </w:r>
      <w:r>
        <w:rPr>
          <w:rFonts w:hint="default" w:ascii="Times New Roman" w:hAnsi="Times New Roman" w:eastAsia="宋体" w:cs="Times New Roman"/>
          <w:color w:val="auto"/>
          <w:highlight w:val="none"/>
          <w:lang w:val="en-US" w:eastAsia="zh-CN"/>
        </w:rPr>
        <w:t>基建工程主要包括：修筑运输道路、高水位蓄水池、</w:t>
      </w:r>
      <w:r>
        <w:rPr>
          <w:rFonts w:hint="eastAsia" w:ascii="Times New Roman" w:hAnsi="Times New Roman" w:eastAsia="宋体" w:cs="Times New Roman"/>
          <w:color w:val="auto"/>
          <w:highlight w:val="none"/>
          <w:lang w:val="en-US" w:eastAsia="zh-CN"/>
        </w:rPr>
        <w:t>露天采场</w:t>
      </w:r>
      <w:r>
        <w:rPr>
          <w:rFonts w:hint="default" w:ascii="Times New Roman" w:hAnsi="Times New Roman" w:eastAsia="宋体" w:cs="Times New Roman"/>
          <w:color w:val="auto"/>
          <w:highlight w:val="none"/>
          <w:lang w:val="en-US" w:eastAsia="zh-CN"/>
        </w:rPr>
        <w:t>剥离矿体上部风化层、布置首采台阶</w:t>
      </w:r>
      <w:r>
        <w:rPr>
          <w:rFonts w:hint="eastAsia" w:ascii="Times New Roman" w:hAnsi="Times New Roman" w:eastAsia="宋体" w:cs="Times New Roman"/>
          <w:color w:val="auto"/>
          <w:highlight w:val="none"/>
          <w:lang w:val="en-US" w:eastAsia="zh-CN"/>
        </w:rPr>
        <w:t>、地下开采平硐</w:t>
      </w:r>
      <w:r>
        <w:rPr>
          <w:rFonts w:hint="default" w:ascii="Times New Roman" w:hAnsi="Times New Roman" w:eastAsia="宋体" w:cs="Times New Roman"/>
          <w:color w:val="auto"/>
          <w:highlight w:val="none"/>
          <w:lang w:val="en-US" w:eastAsia="zh-CN"/>
        </w:rPr>
        <w:t>等准备工作</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基建期</w:t>
      </w:r>
      <w:r>
        <w:rPr>
          <w:rFonts w:hint="eastAsia" w:ascii="Times New Roman" w:hAnsi="Times New Roman" w:eastAsia="宋体" w:cs="Times New Roman"/>
          <w:color w:val="auto"/>
          <w:highlight w:val="none"/>
          <w:lang w:val="en-US" w:eastAsia="zh-CN"/>
        </w:rPr>
        <w:t>约</w:t>
      </w:r>
      <w:r>
        <w:rPr>
          <w:rFonts w:hint="default" w:ascii="Times New Roman" w:hAnsi="Times New Roman" w:eastAsia="宋体" w:cs="Times New Roman"/>
          <w:color w:val="auto"/>
          <w:highlight w:val="none"/>
        </w:rPr>
        <w:t>10个月</w:t>
      </w:r>
      <w:r>
        <w:rPr>
          <w:rFonts w:hint="eastAsia" w:ascii="Times New Roman" w:hAnsi="Times New Roman" w:eastAsia="宋体" w:cs="Times New Roman"/>
          <w:color w:val="auto"/>
          <w:highlight w:val="none"/>
          <w:lang w:eastAsia="zh-CN"/>
        </w:rPr>
        <w:t>。</w:t>
      </w:r>
    </w:p>
    <w:p>
      <w:pPr>
        <w:pStyle w:val="7"/>
        <w:keepNext/>
        <w:keepLines/>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lang w:val="en-US" w:eastAsia="zh-CN"/>
        </w:rPr>
      </w:pPr>
      <w:bookmarkStart w:id="248" w:name="_Toc450827022"/>
      <w:r>
        <w:rPr>
          <w:rFonts w:hint="default" w:ascii="Times New Roman" w:hAnsi="Times New Roman" w:eastAsia="宋体" w:cs="Times New Roman"/>
          <w:b/>
          <w:bCs w:val="0"/>
          <w:color w:val="auto"/>
          <w:lang w:val="en-US" w:eastAsia="zh-CN"/>
        </w:rPr>
        <w:t>1、大气污染源分析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基建期的废气主要为</w:t>
      </w:r>
      <w:r>
        <w:rPr>
          <w:rFonts w:hint="default" w:ascii="Times New Roman" w:hAnsi="Times New Roman" w:eastAsia="宋体" w:cs="Times New Roman"/>
          <w:color w:val="auto"/>
          <w:szCs w:val="24"/>
          <w:highlight w:val="none"/>
          <w:lang w:eastAsia="zh-CN"/>
        </w:rPr>
        <w:t>基建</w:t>
      </w:r>
      <w:r>
        <w:rPr>
          <w:rFonts w:hint="default" w:ascii="Times New Roman" w:hAnsi="Times New Roman" w:eastAsia="宋体" w:cs="Times New Roman"/>
          <w:color w:val="auto"/>
          <w:szCs w:val="24"/>
          <w:highlight w:val="none"/>
        </w:rPr>
        <w:t>扬尘。建筑材料运输、装卸及土</w:t>
      </w:r>
      <w:r>
        <w:rPr>
          <w:rFonts w:hint="default" w:ascii="Times New Roman" w:hAnsi="Times New Roman" w:eastAsia="宋体" w:cs="Times New Roman"/>
          <w:color w:val="auto"/>
          <w:szCs w:val="24"/>
          <w:highlight w:val="none"/>
          <w:lang w:eastAsia="zh-CN"/>
        </w:rPr>
        <w:t>石</w:t>
      </w:r>
      <w:r>
        <w:rPr>
          <w:rFonts w:hint="default" w:ascii="Times New Roman" w:hAnsi="Times New Roman" w:eastAsia="宋体" w:cs="Times New Roman"/>
          <w:color w:val="auto"/>
          <w:szCs w:val="24"/>
          <w:highlight w:val="none"/>
        </w:rPr>
        <w:t>方运输车辆行驶过程中产生的扬尘；物料临时堆存</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表土剥离</w:t>
      </w:r>
      <w:r>
        <w:rPr>
          <w:rFonts w:hint="default" w:ascii="Times New Roman" w:hAnsi="Times New Roman" w:eastAsia="宋体" w:cs="Times New Roman"/>
          <w:color w:val="auto"/>
          <w:szCs w:val="24"/>
          <w:highlight w:val="none"/>
        </w:rPr>
        <w:t>以及</w:t>
      </w:r>
      <w:r>
        <w:rPr>
          <w:rFonts w:hint="default" w:ascii="Times New Roman" w:hAnsi="Times New Roman" w:eastAsia="宋体" w:cs="Times New Roman"/>
          <w:color w:val="auto"/>
          <w:szCs w:val="24"/>
          <w:highlight w:val="none"/>
          <w:lang w:val="en-US" w:eastAsia="zh-CN"/>
        </w:rPr>
        <w:t>平硐</w:t>
      </w:r>
      <w:r>
        <w:rPr>
          <w:rFonts w:hint="default" w:ascii="Times New Roman" w:hAnsi="Times New Roman" w:eastAsia="宋体" w:cs="Times New Roman"/>
          <w:color w:val="auto"/>
          <w:szCs w:val="24"/>
          <w:highlight w:val="none"/>
          <w:lang w:eastAsia="zh-CN"/>
        </w:rPr>
        <w:t>开挖施工</w:t>
      </w:r>
      <w:r>
        <w:rPr>
          <w:rFonts w:hint="default" w:ascii="Times New Roman" w:hAnsi="Times New Roman" w:eastAsia="宋体" w:cs="Times New Roman"/>
          <w:color w:val="auto"/>
          <w:szCs w:val="24"/>
          <w:highlight w:val="none"/>
        </w:rPr>
        <w:t>等环节产生的一定量的扬尘；这部分污染物为无组织排放粉尘，且由于工程量较小，所以排放量不大。另外基建期</w:t>
      </w:r>
      <w:r>
        <w:rPr>
          <w:rFonts w:hint="default" w:ascii="Times New Roman" w:hAnsi="Times New Roman" w:eastAsia="宋体" w:cs="Times New Roman"/>
          <w:color w:val="auto"/>
          <w:szCs w:val="24"/>
          <w:highlight w:val="none"/>
          <w:vertAlign w:val="baseline"/>
          <w:lang w:val="en-US" w:eastAsia="zh-CN"/>
        </w:rPr>
        <w:t>开拓工程和采切工程</w:t>
      </w:r>
      <w:r>
        <w:rPr>
          <w:rFonts w:hint="default" w:ascii="Times New Roman" w:hAnsi="Times New Roman" w:eastAsia="宋体" w:cs="Times New Roman"/>
          <w:color w:val="auto"/>
          <w:szCs w:val="24"/>
          <w:highlight w:val="none"/>
        </w:rPr>
        <w:t>中会产生一定采装扬尘，这部分粉尘通过洒水抑尘后无组织排放。</w:t>
      </w:r>
    </w:p>
    <w:p>
      <w:pPr>
        <w:pStyle w:val="7"/>
        <w:keepNext/>
        <w:keepLines/>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lang w:val="en-US" w:eastAsia="zh-CN"/>
        </w:rPr>
      </w:pPr>
      <w:r>
        <w:rPr>
          <w:rFonts w:hint="eastAsia" w:ascii="Times New Roman" w:hAnsi="Times New Roman" w:eastAsia="宋体" w:cs="Times New Roman"/>
          <w:b/>
          <w:bCs w:val="0"/>
          <w:color w:val="auto"/>
          <w:lang w:val="en-US" w:eastAsia="zh-CN"/>
        </w:rPr>
        <w:t>2、</w:t>
      </w:r>
      <w:r>
        <w:rPr>
          <w:rFonts w:hint="default" w:ascii="Times New Roman" w:hAnsi="Times New Roman" w:eastAsia="宋体" w:cs="Times New Roman"/>
          <w:b/>
          <w:bCs w:val="0"/>
          <w:color w:val="auto"/>
          <w:lang w:val="en-US" w:eastAsia="zh-CN"/>
        </w:rPr>
        <w:t>废水污染源分析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基建期废水主要为</w:t>
      </w:r>
      <w:r>
        <w:rPr>
          <w:rFonts w:hint="default" w:ascii="Times New Roman" w:hAnsi="Times New Roman" w:eastAsia="宋体" w:cs="Times New Roman"/>
          <w:color w:val="auto"/>
          <w:szCs w:val="24"/>
          <w:highlight w:val="none"/>
          <w:lang w:eastAsia="zh-CN"/>
        </w:rPr>
        <w:t>施工</w:t>
      </w:r>
      <w:r>
        <w:rPr>
          <w:rFonts w:hint="default" w:ascii="Times New Roman" w:hAnsi="Times New Roman" w:eastAsia="宋体" w:cs="Times New Roman"/>
          <w:color w:val="auto"/>
          <w:szCs w:val="24"/>
          <w:highlight w:val="none"/>
        </w:rPr>
        <w:t>废水以及施工队伍的生活污水等。其中施工废水中泥浆含量较高，产生量约为2m</w:t>
      </w:r>
      <w:r>
        <w:rPr>
          <w:rFonts w:hint="default" w:ascii="Times New Roman" w:hAnsi="Times New Roman" w:eastAsia="宋体" w:cs="Times New Roman"/>
          <w:color w:val="auto"/>
          <w:szCs w:val="24"/>
          <w:highlight w:val="none"/>
          <w:vertAlign w:val="superscript"/>
        </w:rPr>
        <w:t>3</w:t>
      </w:r>
      <w:r>
        <w:rPr>
          <w:rFonts w:hint="default" w:ascii="Times New Roman" w:hAnsi="Times New Roman" w:eastAsia="宋体" w:cs="Times New Roman"/>
          <w:color w:val="auto"/>
          <w:szCs w:val="24"/>
          <w:highlight w:val="none"/>
        </w:rPr>
        <w:t>/d，主要污染物为SS，其次为石油类，经小型隔油沉淀处理后用于场地的洒水降尘；生活污水量较少，产生量约为</w:t>
      </w:r>
      <w:r>
        <w:rPr>
          <w:rFonts w:hint="default" w:ascii="Times New Roman" w:hAnsi="Times New Roman" w:eastAsia="宋体" w:cs="Times New Roman"/>
          <w:color w:val="auto"/>
          <w:szCs w:val="24"/>
          <w:highlight w:val="none"/>
          <w:lang w:val="en-US" w:eastAsia="zh-CN"/>
        </w:rPr>
        <w:t>1</w:t>
      </w:r>
      <w:r>
        <w:rPr>
          <w:rFonts w:hint="default" w:ascii="Times New Roman" w:hAnsi="Times New Roman" w:eastAsia="宋体" w:cs="Times New Roman"/>
          <w:color w:val="auto"/>
          <w:szCs w:val="24"/>
          <w:highlight w:val="none"/>
        </w:rPr>
        <w:t>m</w:t>
      </w:r>
      <w:r>
        <w:rPr>
          <w:rFonts w:hint="default" w:ascii="Times New Roman" w:hAnsi="Times New Roman" w:eastAsia="宋体" w:cs="Times New Roman"/>
          <w:color w:val="auto"/>
          <w:szCs w:val="24"/>
          <w:highlight w:val="none"/>
          <w:vertAlign w:val="superscript"/>
        </w:rPr>
        <w:t>3</w:t>
      </w:r>
      <w:r>
        <w:rPr>
          <w:rFonts w:hint="default" w:ascii="Times New Roman" w:hAnsi="Times New Roman" w:eastAsia="宋体" w:cs="Times New Roman"/>
          <w:color w:val="auto"/>
          <w:szCs w:val="24"/>
          <w:highlight w:val="none"/>
        </w:rPr>
        <w:t>/d，主要污染物为SS、COD、BOD</w:t>
      </w:r>
      <w:r>
        <w:rPr>
          <w:rFonts w:hint="default" w:ascii="Times New Roman" w:hAnsi="Times New Roman" w:eastAsia="宋体" w:cs="Times New Roman"/>
          <w:color w:val="auto"/>
          <w:szCs w:val="24"/>
          <w:highlight w:val="none"/>
          <w:vertAlign w:val="subscript"/>
        </w:rPr>
        <w:t>5</w:t>
      </w:r>
      <w:r>
        <w:rPr>
          <w:rFonts w:hint="default" w:ascii="Times New Roman" w:hAnsi="Times New Roman" w:eastAsia="宋体" w:cs="Times New Roman"/>
          <w:color w:val="auto"/>
          <w:szCs w:val="24"/>
          <w:highlight w:val="none"/>
        </w:rPr>
        <w:t>、NH</w:t>
      </w:r>
      <w:r>
        <w:rPr>
          <w:rFonts w:hint="default" w:ascii="Times New Roman" w:hAnsi="Times New Roman" w:eastAsia="宋体" w:cs="Times New Roman"/>
          <w:color w:val="auto"/>
          <w:szCs w:val="24"/>
          <w:highlight w:val="none"/>
          <w:vertAlign w:val="subscript"/>
        </w:rPr>
        <w:t>3</w:t>
      </w:r>
      <w:r>
        <w:rPr>
          <w:rFonts w:hint="default" w:ascii="Times New Roman" w:hAnsi="Times New Roman" w:eastAsia="宋体" w:cs="Times New Roman"/>
          <w:color w:val="auto"/>
          <w:szCs w:val="24"/>
          <w:highlight w:val="none"/>
        </w:rPr>
        <w:t>-N等。</w:t>
      </w:r>
    </w:p>
    <w:p>
      <w:pPr>
        <w:pStyle w:val="7"/>
        <w:keepNext/>
        <w:keepLines/>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lang w:val="en-US" w:eastAsia="zh-CN"/>
        </w:rPr>
      </w:pPr>
      <w:r>
        <w:rPr>
          <w:rFonts w:hint="eastAsia" w:ascii="Times New Roman" w:hAnsi="Times New Roman" w:eastAsia="宋体" w:cs="Times New Roman"/>
          <w:b/>
          <w:bCs w:val="0"/>
          <w:color w:val="auto"/>
          <w:lang w:val="en-US" w:eastAsia="zh-CN"/>
        </w:rPr>
        <w:t>3、</w:t>
      </w:r>
      <w:r>
        <w:rPr>
          <w:rFonts w:hint="default" w:ascii="Times New Roman" w:hAnsi="Times New Roman" w:eastAsia="宋体" w:cs="Times New Roman"/>
          <w:b/>
          <w:bCs w:val="0"/>
          <w:color w:val="auto"/>
          <w:lang w:val="en-US" w:eastAsia="zh-CN"/>
        </w:rPr>
        <w:t>噪声污染源分析</w:t>
      </w:r>
    </w:p>
    <w:p>
      <w:pPr>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基建期噪声主要为施工过程中的</w:t>
      </w:r>
      <w:r>
        <w:rPr>
          <w:rFonts w:hint="default" w:ascii="Times New Roman" w:hAnsi="Times New Roman" w:eastAsia="宋体" w:cs="Times New Roman"/>
          <w:color w:val="auto"/>
          <w:szCs w:val="24"/>
          <w:highlight w:val="none"/>
          <w:lang w:eastAsia="zh-CN"/>
        </w:rPr>
        <w:t>挖掘机等</w:t>
      </w:r>
      <w:r>
        <w:rPr>
          <w:rFonts w:hint="default" w:ascii="Times New Roman" w:hAnsi="Times New Roman" w:eastAsia="宋体" w:cs="Times New Roman"/>
          <w:color w:val="auto"/>
          <w:szCs w:val="24"/>
          <w:highlight w:val="none"/>
        </w:rPr>
        <w:t>机械</w:t>
      </w:r>
      <w:r>
        <w:rPr>
          <w:rFonts w:hint="default" w:ascii="Times New Roman" w:hAnsi="Times New Roman" w:eastAsia="宋体" w:cs="Times New Roman"/>
          <w:color w:val="auto"/>
          <w:szCs w:val="24"/>
          <w:highlight w:val="none"/>
          <w:lang w:eastAsia="zh-CN"/>
        </w:rPr>
        <w:t>运行</w:t>
      </w:r>
      <w:r>
        <w:rPr>
          <w:rFonts w:hint="default" w:ascii="Times New Roman" w:hAnsi="Times New Roman" w:eastAsia="宋体" w:cs="Times New Roman"/>
          <w:color w:val="auto"/>
          <w:szCs w:val="24"/>
          <w:highlight w:val="none"/>
        </w:rPr>
        <w:t>噪声和</w:t>
      </w:r>
      <w:r>
        <w:rPr>
          <w:rFonts w:hint="default" w:ascii="Times New Roman" w:hAnsi="Times New Roman" w:eastAsia="宋体" w:cs="Times New Roman"/>
          <w:color w:val="auto"/>
          <w:szCs w:val="24"/>
          <w:highlight w:val="none"/>
          <w:lang w:eastAsia="zh-CN"/>
        </w:rPr>
        <w:t>运输车辆产生的</w:t>
      </w:r>
      <w:r>
        <w:rPr>
          <w:rFonts w:hint="default" w:ascii="Times New Roman" w:hAnsi="Times New Roman" w:eastAsia="宋体" w:cs="Times New Roman"/>
          <w:color w:val="auto"/>
          <w:szCs w:val="24"/>
          <w:highlight w:val="none"/>
        </w:rPr>
        <w:t>交通运输噪声。提升机、挖掘机、用于材料运输过程产生的机械及</w:t>
      </w:r>
      <w:r>
        <w:rPr>
          <w:rFonts w:hint="default" w:ascii="Times New Roman" w:hAnsi="Times New Roman" w:eastAsia="宋体" w:cs="Times New Roman"/>
          <w:color w:val="auto"/>
          <w:szCs w:val="24"/>
          <w:highlight w:val="none"/>
          <w:lang w:val="en-US" w:eastAsia="zh-CN"/>
        </w:rPr>
        <w:t>振动</w:t>
      </w:r>
      <w:r>
        <w:rPr>
          <w:rFonts w:hint="default" w:ascii="Times New Roman" w:hAnsi="Times New Roman" w:eastAsia="宋体" w:cs="Times New Roman"/>
          <w:color w:val="auto"/>
          <w:szCs w:val="24"/>
          <w:highlight w:val="none"/>
        </w:rPr>
        <w:t>噪声等。依据类比调查，项目</w:t>
      </w:r>
      <w:r>
        <w:rPr>
          <w:rFonts w:hint="default" w:ascii="Times New Roman" w:hAnsi="Times New Roman" w:eastAsia="宋体" w:cs="Times New Roman"/>
          <w:color w:val="auto"/>
          <w:szCs w:val="24"/>
          <w:highlight w:val="none"/>
          <w:lang w:eastAsia="zh-CN"/>
        </w:rPr>
        <w:t>基建期</w:t>
      </w:r>
      <w:r>
        <w:rPr>
          <w:rFonts w:hint="default" w:ascii="Times New Roman" w:hAnsi="Times New Roman" w:eastAsia="宋体" w:cs="Times New Roman"/>
          <w:color w:val="auto"/>
          <w:szCs w:val="24"/>
          <w:highlight w:val="none"/>
        </w:rPr>
        <w:t>主要噪声值</w:t>
      </w:r>
      <w:r>
        <w:rPr>
          <w:rFonts w:hint="default" w:ascii="Times New Roman" w:hAnsi="Times New Roman" w:eastAsia="宋体" w:cs="Times New Roman"/>
          <w:color w:val="auto"/>
          <w:szCs w:val="24"/>
          <w:highlight w:val="none"/>
          <w:lang w:eastAsia="zh-CN"/>
        </w:rPr>
        <w:t>约</w:t>
      </w:r>
      <w:r>
        <w:rPr>
          <w:rFonts w:hint="default" w:ascii="Times New Roman" w:hAnsi="Times New Roman" w:eastAsia="宋体" w:cs="Times New Roman"/>
          <w:color w:val="auto"/>
          <w:szCs w:val="24"/>
          <w:highlight w:val="none"/>
        </w:rPr>
        <w:t>为70~105dB</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A</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rPr>
        <w:t>。</w:t>
      </w:r>
    </w:p>
    <w:p>
      <w:pPr>
        <w:pStyle w:val="7"/>
        <w:keepNext/>
        <w:keepLines/>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lang w:val="en-US" w:eastAsia="zh-CN"/>
        </w:rPr>
      </w:pPr>
      <w:r>
        <w:rPr>
          <w:rFonts w:hint="eastAsia" w:ascii="Times New Roman" w:hAnsi="Times New Roman" w:eastAsia="宋体" w:cs="Times New Roman"/>
          <w:b/>
          <w:bCs w:val="0"/>
          <w:color w:val="auto"/>
          <w:lang w:val="en-US" w:eastAsia="zh-CN"/>
        </w:rPr>
        <w:t>4、</w:t>
      </w:r>
      <w:r>
        <w:rPr>
          <w:rFonts w:hint="default" w:ascii="Times New Roman" w:hAnsi="Times New Roman" w:eastAsia="宋体" w:cs="Times New Roman"/>
          <w:b/>
          <w:bCs w:val="0"/>
          <w:color w:val="auto"/>
          <w:lang w:val="en-US" w:eastAsia="zh-CN"/>
        </w:rPr>
        <w:t>固体废物污染源分析</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项目基建期固体废物主要来源于露天采场</w:t>
      </w:r>
      <w:r>
        <w:rPr>
          <w:rFonts w:hint="default" w:ascii="Times New Roman" w:hAnsi="Times New Roman" w:eastAsia="宋体" w:cs="Times New Roman"/>
          <w:color w:val="auto"/>
          <w:highlight w:val="none"/>
        </w:rPr>
        <w:t>剥离的表土</w:t>
      </w:r>
      <w:r>
        <w:rPr>
          <w:rFonts w:hint="default" w:ascii="Times New Roman" w:hAnsi="Times New Roman" w:eastAsia="宋体" w:cs="Times New Roman"/>
          <w:color w:val="auto"/>
          <w:highlight w:val="none"/>
          <w:lang w:val="en-US" w:eastAsia="zh-CN"/>
        </w:rPr>
        <w:t>和地下开采系统基建废石。</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露天一采场年均排土量约1.66万t（约0.39万</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露天二采场年均排土量约2.21万t（约0.52万</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剥离</w:t>
      </w:r>
      <w:r>
        <w:rPr>
          <w:rFonts w:hint="default" w:ascii="Times New Roman" w:hAnsi="Times New Roman" w:eastAsia="宋体" w:cs="Times New Roman"/>
          <w:color w:val="auto"/>
          <w:highlight w:val="none"/>
        </w:rPr>
        <w:t>表土直接用于现有生态问题恢复整治使用，包括对现有</w:t>
      </w:r>
      <w:r>
        <w:rPr>
          <w:rFonts w:hint="default" w:ascii="Times New Roman" w:hAnsi="Times New Roman" w:eastAsia="宋体" w:cs="Times New Roman"/>
          <w:color w:val="auto"/>
          <w:highlight w:val="none"/>
          <w:lang w:val="en-US" w:eastAsia="zh-CN"/>
        </w:rPr>
        <w:t>露天采场</w:t>
      </w:r>
      <w:r>
        <w:rPr>
          <w:rFonts w:hint="default" w:ascii="Times New Roman" w:hAnsi="Times New Roman" w:eastAsia="宋体" w:cs="Times New Roman"/>
          <w:color w:val="auto"/>
          <w:highlight w:val="none"/>
        </w:rPr>
        <w:t>和现有</w:t>
      </w:r>
      <w:r>
        <w:rPr>
          <w:rFonts w:hint="default" w:ascii="Times New Roman" w:hAnsi="Times New Roman" w:eastAsia="宋体" w:cs="Times New Roman"/>
          <w:color w:val="auto"/>
          <w:highlight w:val="none"/>
          <w:lang w:val="en-US" w:eastAsia="zh-CN"/>
        </w:rPr>
        <w:t>裸露</w:t>
      </w:r>
      <w:r>
        <w:rPr>
          <w:rFonts w:hint="default" w:ascii="Times New Roman" w:hAnsi="Times New Roman" w:eastAsia="宋体" w:cs="Times New Roman"/>
          <w:color w:val="auto"/>
          <w:highlight w:val="none"/>
        </w:rPr>
        <w:t>地</w:t>
      </w:r>
      <w:r>
        <w:rPr>
          <w:rFonts w:hint="default" w:ascii="Times New Roman" w:hAnsi="Times New Roman" w:eastAsia="宋体" w:cs="Times New Roman"/>
          <w:color w:val="auto"/>
          <w:highlight w:val="none"/>
          <w:lang w:val="en-US" w:eastAsia="zh-CN"/>
        </w:rPr>
        <w:t>表</w:t>
      </w:r>
      <w:r>
        <w:rPr>
          <w:rFonts w:hint="default" w:ascii="Times New Roman" w:hAnsi="Times New Roman" w:eastAsia="宋体" w:cs="Times New Roman"/>
          <w:color w:val="auto"/>
          <w:highlight w:val="none"/>
        </w:rPr>
        <w:t>、运输道路两侧进行平整覆土。</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lang w:val="en-US" w:eastAsia="zh-CN"/>
        </w:rPr>
        <w:t>钾长石</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矿产资源开发利用方案》</w:t>
      </w:r>
      <w:r>
        <w:rPr>
          <w:rFonts w:hint="default" w:ascii="Times New Roman" w:hAnsi="Times New Roman" w:eastAsia="宋体" w:cs="Times New Roman"/>
          <w:color w:val="auto"/>
          <w:highlight w:val="none"/>
          <w:lang w:eastAsia="zh-CN"/>
        </w:rPr>
        <w:t>，地下开采基建期排出废石所占容积为11259.5</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eastAsia="zh-CN"/>
        </w:rPr>
        <w:t>，根据矿区地形情况，产生的废石全部用于回填地表老采坑及修筑工业场地、修筑运输道路。</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3.4.2.2</w:t>
      </w:r>
      <w:r>
        <w:rPr>
          <w:rFonts w:hint="default" w:ascii="Times New Roman" w:hAnsi="Times New Roman" w:eastAsia="宋体" w:cs="Times New Roman"/>
          <w:color w:val="auto"/>
          <w:sz w:val="24"/>
          <w:highlight w:val="none"/>
          <w:lang w:val="en-US" w:eastAsia="zh-CN"/>
        </w:rPr>
        <w:t>运营期</w:t>
      </w:r>
      <w:bookmarkEnd w:id="248"/>
      <w:r>
        <w:rPr>
          <w:rFonts w:hint="default" w:ascii="Times New Roman" w:hAnsi="Times New Roman" w:eastAsia="宋体" w:cs="Times New Roman"/>
          <w:color w:val="auto"/>
          <w:sz w:val="24"/>
          <w:highlight w:val="none"/>
          <w:lang w:val="en-US" w:eastAsia="zh-CN"/>
        </w:rPr>
        <w:t>污染影响因素分析</w:t>
      </w:r>
    </w:p>
    <w:p>
      <w:pPr>
        <w:pStyle w:val="7"/>
        <w:keepNext/>
        <w:keepLines/>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lang w:val="en-US" w:eastAsia="zh-CN"/>
        </w:rPr>
      </w:pPr>
      <w:r>
        <w:rPr>
          <w:rFonts w:hint="default" w:ascii="Times New Roman" w:hAnsi="Times New Roman" w:eastAsia="宋体" w:cs="Times New Roman"/>
          <w:b/>
          <w:bCs w:val="0"/>
          <w:color w:val="auto"/>
          <w:lang w:val="en-US" w:eastAsia="zh-CN"/>
        </w:rPr>
        <w:t>1、大气污染源分析</w:t>
      </w:r>
    </w:p>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本项目营运期采矿大气污染物主要包括露天</w:t>
      </w:r>
      <w:r>
        <w:rPr>
          <w:rFonts w:hint="default" w:ascii="Times New Roman" w:hAnsi="Times New Roman" w:eastAsia="宋体" w:cs="Times New Roman"/>
          <w:color w:val="auto"/>
          <w:highlight w:val="none"/>
          <w:lang w:val="en-US" w:eastAsia="zh-CN"/>
        </w:rPr>
        <w:t>和地下开采</w:t>
      </w:r>
      <w:r>
        <w:rPr>
          <w:rFonts w:hint="default" w:ascii="Times New Roman" w:hAnsi="Times New Roman" w:eastAsia="宋体" w:cs="Times New Roman"/>
          <w:color w:val="auto"/>
          <w:kern w:val="0"/>
          <w:highlight w:val="none"/>
          <w:lang w:val="en-US" w:eastAsia="zh-CN"/>
        </w:rPr>
        <w:t>粉尘</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临时排岩场堆场产生的粉尘</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道路运输扬尘等。</w:t>
      </w:r>
    </w:p>
    <w:p>
      <w:pPr>
        <w:autoSpaceDE w:val="0"/>
        <w:autoSpaceDN w:val="0"/>
        <w:ind w:firstLine="480"/>
        <w:jc w:val="left"/>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1</w:t>
      </w: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露天和地下开采粉尘</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露天和地下</w:t>
      </w:r>
      <w:r>
        <w:rPr>
          <w:rFonts w:hint="default" w:ascii="Times New Roman" w:hAnsi="Times New Roman" w:eastAsia="宋体" w:cs="Times New Roman"/>
          <w:color w:val="auto"/>
          <w:highlight w:val="none"/>
        </w:rPr>
        <w:t>开采过程排放的粉尘主要来自于钻孔、爆破和采装生产过程。根据《第一次全国污染源普查工业污染源产排污系数手册》给出的91个小类行业的类比系数清单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kern w:val="0"/>
          <w:szCs w:val="21"/>
          <w:highlight w:val="none"/>
        </w:rPr>
        <w:t>其他非金属矿采选</w:t>
      </w:r>
      <w:r>
        <w:rPr>
          <w:rFonts w:hint="default" w:ascii="Times New Roman" w:hAnsi="Times New Roman" w:eastAsia="宋体" w:cs="Times New Roman"/>
          <w:color w:val="auto"/>
          <w:kern w:val="0"/>
          <w:szCs w:val="21"/>
          <w:highlight w:val="none"/>
          <w:lang w:val="en-US" w:eastAsia="zh-CN"/>
        </w:rPr>
        <w:t>中</w:t>
      </w:r>
      <w:r>
        <w:rPr>
          <w:rFonts w:hint="default" w:ascii="Times New Roman" w:hAnsi="Times New Roman" w:eastAsia="宋体" w:cs="Times New Roman"/>
          <w:color w:val="auto"/>
          <w:highlight w:val="none"/>
          <w:lang w:val="en-US" w:eastAsia="zh-CN"/>
        </w:rPr>
        <w:t>采</w:t>
      </w:r>
      <w:r>
        <w:rPr>
          <w:rFonts w:hint="default" w:ascii="Times New Roman" w:hAnsi="Times New Roman" w:eastAsia="宋体" w:cs="Times New Roman"/>
          <w:color w:val="auto"/>
          <w:highlight w:val="none"/>
          <w:lang w:eastAsia="zh-CN"/>
        </w:rPr>
        <w:t>珍珠岩、长石、霞石矿开采，类比1011石灰石石膏开采业</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lang w:eastAsia="zh-CN"/>
        </w:rPr>
        <w:t>水泥用石灰石-石灰石原</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lang w:eastAsia="zh-CN"/>
        </w:rPr>
        <w:t>矿种，</w:t>
      </w:r>
      <w:r>
        <w:rPr>
          <w:rFonts w:hint="default" w:ascii="Times New Roman" w:hAnsi="Times New Roman" w:eastAsia="宋体" w:cs="Times New Roman"/>
          <w:color w:val="auto"/>
          <w:highlight w:val="none"/>
          <w:lang w:val="en-US" w:eastAsia="zh-CN"/>
        </w:rPr>
        <w:t>本项目钾长石露天开采粉尘排污系数类比《</w:t>
      </w:r>
      <w:r>
        <w:rPr>
          <w:rFonts w:hint="default" w:ascii="Times New Roman" w:hAnsi="Times New Roman" w:eastAsia="宋体" w:cs="Times New Roman"/>
          <w:color w:val="auto"/>
          <w:highlight w:val="none"/>
        </w:rPr>
        <w:t>第二次全国污染源普查产排污核算系数手册（试用版）</w:t>
      </w:r>
      <w:r>
        <w:rPr>
          <w:rFonts w:hint="default" w:ascii="Times New Roman" w:hAnsi="Times New Roman" w:eastAsia="宋体" w:cs="Times New Roman"/>
          <w:color w:val="auto"/>
          <w:highlight w:val="none"/>
          <w:lang w:val="en-US" w:eastAsia="zh-CN"/>
        </w:rPr>
        <w:t>》中石灰岩开采产污系数进行核算</w:t>
      </w:r>
      <w:r>
        <w:rPr>
          <w:rFonts w:hint="default" w:ascii="Times New Roman" w:hAnsi="Times New Roman" w:eastAsia="宋体" w:cs="Times New Roman"/>
          <w:color w:val="auto"/>
          <w:highlight w:val="none"/>
        </w:rPr>
        <w:t>，计算参数及结果见表</w:t>
      </w:r>
      <w:r>
        <w:rPr>
          <w:rFonts w:hint="eastAsia" w:ascii="Times New Roman" w:hAnsi="Times New Roman" w:cs="Times New Roman"/>
          <w:color w:val="auto"/>
          <w:highlight w:val="none"/>
          <w:lang w:val="en-US" w:eastAsia="zh-CN"/>
        </w:rPr>
        <w:t>3.4-</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p>
    <w:p>
      <w:pPr>
        <w:pStyle w:val="315"/>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w:t>
      </w:r>
      <w:r>
        <w:rPr>
          <w:rFonts w:hint="eastAsia" w:cs="Times New Roman"/>
          <w:color w:val="auto"/>
          <w:highlight w:val="none"/>
          <w:lang w:val="en-US" w:eastAsia="zh-CN"/>
        </w:rPr>
        <w:t>3.4-</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 xml:space="preserve">     露天</w:t>
      </w:r>
      <w:r>
        <w:rPr>
          <w:rFonts w:hint="default" w:ascii="Times New Roman" w:hAnsi="Times New Roman" w:eastAsia="宋体" w:cs="Times New Roman"/>
          <w:color w:val="auto"/>
          <w:highlight w:val="none"/>
          <w:lang w:val="en-US" w:eastAsia="zh-CN"/>
        </w:rPr>
        <w:t>和地下</w:t>
      </w:r>
      <w:r>
        <w:rPr>
          <w:rFonts w:hint="default" w:ascii="Times New Roman" w:hAnsi="Times New Roman" w:eastAsia="宋体" w:cs="Times New Roman"/>
          <w:color w:val="auto"/>
          <w:highlight w:val="none"/>
        </w:rPr>
        <w:t>采矿产生粉尘和排放情况</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38"/>
        <w:gridCol w:w="1549"/>
        <w:gridCol w:w="1837"/>
        <w:gridCol w:w="1467"/>
        <w:gridCol w:w="1339"/>
        <w:gridCol w:w="15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blHeader/>
          <w:jc w:val="center"/>
        </w:trPr>
        <w:tc>
          <w:tcPr>
            <w:tcW w:w="828" w:type="pct"/>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位置</w:t>
            </w:r>
          </w:p>
        </w:tc>
        <w:tc>
          <w:tcPr>
            <w:tcW w:w="834"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规模（万t/a）</w:t>
            </w:r>
          </w:p>
        </w:tc>
        <w:tc>
          <w:tcPr>
            <w:tcW w:w="989"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产污系数（kg/t）</w:t>
            </w:r>
          </w:p>
        </w:tc>
        <w:tc>
          <w:tcPr>
            <w:tcW w:w="790"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产生量（t/a）</w:t>
            </w:r>
          </w:p>
        </w:tc>
        <w:tc>
          <w:tcPr>
            <w:tcW w:w="721"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去除效率%</w:t>
            </w:r>
          </w:p>
        </w:tc>
        <w:tc>
          <w:tcPr>
            <w:tcW w:w="834"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828" w:type="pct"/>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露</w:t>
            </w:r>
            <w:r>
              <w:rPr>
                <w:rFonts w:hint="default" w:ascii="Times New Roman" w:hAnsi="Times New Roman" w:eastAsia="宋体" w:cs="Times New Roman"/>
                <w:color w:val="auto"/>
                <w:kern w:val="2"/>
                <w:sz w:val="21"/>
                <w:szCs w:val="21"/>
                <w:highlight w:val="none"/>
                <w:lang w:val="en-US" w:eastAsia="zh-CN"/>
              </w:rPr>
              <w:t>天一</w:t>
            </w:r>
            <w:r>
              <w:rPr>
                <w:rFonts w:hint="default" w:ascii="Times New Roman" w:hAnsi="Times New Roman" w:eastAsia="宋体" w:cs="Times New Roman"/>
                <w:color w:val="auto"/>
                <w:kern w:val="2"/>
                <w:sz w:val="21"/>
                <w:szCs w:val="21"/>
                <w:highlight w:val="none"/>
              </w:rPr>
              <w:t>采</w:t>
            </w:r>
            <w:r>
              <w:rPr>
                <w:rFonts w:hint="default" w:ascii="Times New Roman" w:hAnsi="Times New Roman" w:eastAsia="宋体" w:cs="Times New Roman"/>
                <w:color w:val="auto"/>
                <w:kern w:val="2"/>
                <w:sz w:val="21"/>
                <w:szCs w:val="21"/>
                <w:highlight w:val="none"/>
                <w:lang w:val="en-US" w:eastAsia="zh-CN"/>
              </w:rPr>
              <w:t>场</w:t>
            </w:r>
          </w:p>
        </w:tc>
        <w:tc>
          <w:tcPr>
            <w:tcW w:w="834"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5</w:t>
            </w:r>
          </w:p>
        </w:tc>
        <w:tc>
          <w:tcPr>
            <w:tcW w:w="989" w:type="pct"/>
            <w:vMerge w:val="restar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0.0142</w:t>
            </w:r>
          </w:p>
        </w:tc>
        <w:tc>
          <w:tcPr>
            <w:tcW w:w="1467"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0.71</w:t>
            </w:r>
          </w:p>
        </w:tc>
        <w:tc>
          <w:tcPr>
            <w:tcW w:w="1339"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80%</w:t>
            </w:r>
          </w:p>
        </w:tc>
        <w:tc>
          <w:tcPr>
            <w:tcW w:w="1550"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828" w:type="pct"/>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露</w:t>
            </w:r>
            <w:r>
              <w:rPr>
                <w:rFonts w:hint="default" w:ascii="Times New Roman" w:hAnsi="Times New Roman" w:eastAsia="宋体" w:cs="Times New Roman"/>
                <w:color w:val="auto"/>
                <w:kern w:val="2"/>
                <w:sz w:val="21"/>
                <w:szCs w:val="21"/>
                <w:highlight w:val="none"/>
                <w:lang w:val="en-US" w:eastAsia="zh-CN"/>
              </w:rPr>
              <w:t>天二</w:t>
            </w:r>
            <w:r>
              <w:rPr>
                <w:rFonts w:hint="default" w:ascii="Times New Roman" w:hAnsi="Times New Roman" w:eastAsia="宋体" w:cs="Times New Roman"/>
                <w:color w:val="auto"/>
                <w:kern w:val="2"/>
                <w:sz w:val="21"/>
                <w:szCs w:val="21"/>
                <w:highlight w:val="none"/>
              </w:rPr>
              <w:t>采</w:t>
            </w:r>
            <w:r>
              <w:rPr>
                <w:rFonts w:hint="default" w:ascii="Times New Roman" w:hAnsi="Times New Roman" w:eastAsia="宋体" w:cs="Times New Roman"/>
                <w:color w:val="auto"/>
                <w:kern w:val="2"/>
                <w:sz w:val="21"/>
                <w:szCs w:val="21"/>
                <w:highlight w:val="none"/>
                <w:lang w:val="en-US" w:eastAsia="zh-CN"/>
              </w:rPr>
              <w:t>场</w:t>
            </w:r>
          </w:p>
        </w:tc>
        <w:tc>
          <w:tcPr>
            <w:tcW w:w="834"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val="en-US" w:eastAsia="zh-CN"/>
              </w:rPr>
              <w:t>5</w:t>
            </w:r>
          </w:p>
        </w:tc>
        <w:tc>
          <w:tcPr>
            <w:tcW w:w="989" w:type="pct"/>
            <w:vMerge w:val="continue"/>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p>
        </w:tc>
        <w:tc>
          <w:tcPr>
            <w:tcW w:w="1467"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0.71</w:t>
            </w:r>
          </w:p>
        </w:tc>
        <w:tc>
          <w:tcPr>
            <w:tcW w:w="1339"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80%</w:t>
            </w:r>
          </w:p>
        </w:tc>
        <w:tc>
          <w:tcPr>
            <w:tcW w:w="1550"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828" w:type="pct"/>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地下开采</w:t>
            </w:r>
          </w:p>
        </w:tc>
        <w:tc>
          <w:tcPr>
            <w:tcW w:w="834"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5</w:t>
            </w:r>
          </w:p>
        </w:tc>
        <w:tc>
          <w:tcPr>
            <w:tcW w:w="989"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0.0114</w:t>
            </w:r>
          </w:p>
        </w:tc>
        <w:tc>
          <w:tcPr>
            <w:tcW w:w="1467"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0.57</w:t>
            </w:r>
          </w:p>
        </w:tc>
        <w:tc>
          <w:tcPr>
            <w:tcW w:w="1339"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80%</w:t>
            </w:r>
          </w:p>
        </w:tc>
        <w:tc>
          <w:tcPr>
            <w:tcW w:w="1550"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blHeader/>
          <w:jc w:val="center"/>
        </w:trPr>
        <w:tc>
          <w:tcPr>
            <w:tcW w:w="828" w:type="pct"/>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合计</w:t>
            </w:r>
          </w:p>
        </w:tc>
        <w:tc>
          <w:tcPr>
            <w:tcW w:w="834"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15</w:t>
            </w:r>
          </w:p>
        </w:tc>
        <w:tc>
          <w:tcPr>
            <w:tcW w:w="989" w:type="pct"/>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lang w:eastAsia="zh-CN"/>
              </w:rPr>
              <w:t>—</w:t>
            </w:r>
          </w:p>
        </w:tc>
        <w:tc>
          <w:tcPr>
            <w:tcW w:w="1467"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1.99</w:t>
            </w:r>
          </w:p>
        </w:tc>
        <w:tc>
          <w:tcPr>
            <w:tcW w:w="1339"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eastAsia="zh-CN"/>
              </w:rPr>
              <w:t>—</w:t>
            </w:r>
          </w:p>
        </w:tc>
        <w:tc>
          <w:tcPr>
            <w:tcW w:w="1550" w:type="dxa"/>
            <w:shd w:val="clear" w:color="auto" w:fill="auto"/>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0.398</w:t>
            </w:r>
          </w:p>
        </w:tc>
      </w:tr>
    </w:tbl>
    <w:p>
      <w:pPr>
        <w:pStyle w:val="62"/>
        <w:spacing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highlight w:val="none"/>
        </w:rPr>
        <w:t>开采过程采用湿式作业，采取湿式凿岩钻孔</w:t>
      </w:r>
      <w:r>
        <w:rPr>
          <w:rFonts w:hint="eastAsia" w:ascii="Times New Roman" w:hAnsi="Times New Roman" w:cs="Times New Roman"/>
          <w:color w:val="auto"/>
          <w:highlight w:val="none"/>
          <w:lang w:val="en-US" w:eastAsia="zh-CN"/>
        </w:rPr>
        <w:t>和水力喷雾降尘措施</w:t>
      </w:r>
      <w:r>
        <w:rPr>
          <w:rFonts w:hint="default" w:ascii="Times New Roman" w:hAnsi="Times New Roman" w:eastAsia="宋体" w:cs="Times New Roman"/>
          <w:color w:val="auto"/>
          <w:highlight w:val="none"/>
        </w:rPr>
        <w:t>降低</w:t>
      </w:r>
      <w:r>
        <w:rPr>
          <w:rFonts w:hint="eastAsia" w:ascii="Times New Roman" w:hAnsi="Times New Roman" w:cs="Times New Roman"/>
          <w:color w:val="auto"/>
          <w:highlight w:val="none"/>
          <w:lang w:val="en-US" w:eastAsia="zh-CN"/>
        </w:rPr>
        <w:t>矿山</w:t>
      </w:r>
      <w:r>
        <w:rPr>
          <w:rFonts w:hint="default" w:ascii="Times New Roman" w:hAnsi="Times New Roman" w:eastAsia="宋体" w:cs="Times New Roman"/>
          <w:color w:val="auto"/>
          <w:highlight w:val="none"/>
        </w:rPr>
        <w:t>开采粉尘</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szCs w:val="24"/>
          <w:highlight w:val="none"/>
          <w:lang w:val="en-US" w:eastAsia="zh-CN"/>
        </w:rPr>
        <w:t>粉尘</w:t>
      </w:r>
      <w:r>
        <w:rPr>
          <w:rFonts w:hint="default" w:ascii="Times New Roman" w:hAnsi="Times New Roman" w:eastAsia="宋体" w:cs="Times New Roman"/>
          <w:color w:val="auto"/>
          <w:sz w:val="24"/>
          <w:szCs w:val="24"/>
          <w:highlight w:val="none"/>
        </w:rPr>
        <w:t>控制效率</w:t>
      </w:r>
      <w:r>
        <w:rPr>
          <w:rFonts w:hint="default" w:ascii="Times New Roman" w:hAnsi="Times New Roman" w:eastAsia="宋体" w:cs="Times New Roman"/>
          <w:color w:val="auto"/>
          <w:sz w:val="24"/>
          <w:szCs w:val="24"/>
          <w:highlight w:val="none"/>
          <w:lang w:val="en-US" w:eastAsia="zh-CN"/>
        </w:rPr>
        <w:t>可达到80</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w:t>
      </w:r>
    </w:p>
    <w:p>
      <w:pPr>
        <w:keepNext w:val="0"/>
        <w:keepLines w:val="0"/>
        <w:pageBreakBefore w:val="0"/>
        <w:widowControl w:val="0"/>
        <w:kinsoku/>
        <w:wordWrap/>
        <w:topLinePunct w:val="0"/>
        <w:bidi w:val="0"/>
        <w:adjustRightInd w:val="0"/>
        <w:snapToGrid w:val="0"/>
        <w:spacing w:line="360" w:lineRule="auto"/>
        <w:ind w:firstLine="482" w:firstLineChars="200"/>
        <w:rPr>
          <w:rFonts w:hint="eastAsia" w:ascii="Times New Roman" w:hAnsi="Times New Roman" w:eastAsia="宋体" w:cs="Times New Roman"/>
          <w:b/>
          <w:bCs/>
          <w:color w:val="auto"/>
          <w:highlight w:val="none"/>
          <w:lang w:eastAsia="zh-CN"/>
        </w:rPr>
      </w:pPr>
      <w:r>
        <w:rPr>
          <w:rFonts w:hint="default" w:ascii="Times New Roman" w:hAnsi="Times New Roman" w:eastAsia="宋体" w:cs="Times New Roman"/>
          <w:b/>
          <w:bCs/>
          <w:color w:val="auto"/>
          <w:highlight w:val="none"/>
          <w:lang w:eastAsia="zh-CN"/>
        </w:rPr>
        <w:t>（</w:t>
      </w: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eastAsia="zh-CN"/>
        </w:rPr>
        <w:t>）</w:t>
      </w:r>
      <w:r>
        <w:rPr>
          <w:rFonts w:hint="eastAsia" w:cs="Times New Roman"/>
          <w:b/>
          <w:bCs/>
          <w:color w:val="auto"/>
          <w:highlight w:val="none"/>
          <w:lang w:val="en-US" w:eastAsia="zh-CN"/>
        </w:rPr>
        <w:t>矿岩</w:t>
      </w:r>
      <w:r>
        <w:rPr>
          <w:rFonts w:hint="default" w:ascii="Times New Roman" w:hAnsi="Times New Roman" w:eastAsia="宋体" w:cs="Times New Roman"/>
          <w:b/>
          <w:bCs/>
          <w:color w:val="auto"/>
          <w:highlight w:val="none"/>
        </w:rPr>
        <w:t>装卸</w:t>
      </w:r>
      <w:r>
        <w:rPr>
          <w:rFonts w:hint="eastAsia" w:cs="Times New Roman"/>
          <w:b/>
          <w:bCs/>
          <w:color w:val="auto"/>
          <w:highlight w:val="none"/>
          <w:lang w:val="en-US" w:eastAsia="zh-CN"/>
        </w:rPr>
        <w:t>粉尘</w:t>
      </w:r>
    </w:p>
    <w:p>
      <w:pPr>
        <w:keepNext w:val="0"/>
        <w:keepLines w:val="0"/>
        <w:pageBreakBefore w:val="0"/>
        <w:widowControl w:val="0"/>
        <w:kinsoku/>
        <w:wordWrap/>
        <w:topLinePunct w:val="0"/>
        <w:bidi w:val="0"/>
        <w:adjustRightInd w:val="0"/>
        <w:snapToGrid w:val="0"/>
        <w:spacing w:line="360" w:lineRule="auto"/>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项目利用原有排岩场作为临时排岩场。</w:t>
      </w:r>
    </w:p>
    <w:p>
      <w:pPr>
        <w:keepNext w:val="0"/>
        <w:keepLines w:val="0"/>
        <w:pageBreakBefore w:val="0"/>
        <w:widowControl w:val="0"/>
        <w:kinsoku/>
        <w:wordWrap/>
        <w:topLinePunct w:val="0"/>
        <w:bidi w:val="0"/>
        <w:adjustRightInd w:val="0"/>
        <w:snapToGrid w:val="0"/>
        <w:spacing w:line="360" w:lineRule="auto"/>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项目矿岩由于粒径较大，</w:t>
      </w:r>
      <w:r>
        <w:rPr>
          <w:rFonts w:hint="default" w:ascii="Times New Roman" w:hAnsi="Times New Roman" w:eastAsia="宋体" w:cs="Times New Roman"/>
          <w:color w:val="auto"/>
          <w:highlight w:val="none"/>
          <w:lang w:val="en-US" w:eastAsia="zh-CN"/>
        </w:rPr>
        <w:t>排岩场</w:t>
      </w:r>
      <w:r>
        <w:rPr>
          <w:rFonts w:hint="default" w:ascii="Times New Roman" w:hAnsi="Times New Roman" w:eastAsia="宋体" w:cs="Times New Roman"/>
          <w:color w:val="auto"/>
          <w:highlight w:val="none"/>
        </w:rPr>
        <w:t>占地面积较小，且随采随走，故堆存产尘量较小，通过定期洒水抑尘，及时转运，防风抑尘网等措施，可将扬尘产生量降至最低，则</w:t>
      </w:r>
      <w:r>
        <w:rPr>
          <w:rFonts w:hint="default" w:ascii="Times New Roman" w:hAnsi="Times New Roman" w:eastAsia="宋体" w:cs="Times New Roman"/>
          <w:color w:val="auto"/>
          <w:highlight w:val="none"/>
          <w:lang w:val="en-US" w:eastAsia="zh-CN"/>
        </w:rPr>
        <w:t>排岩场粉尘</w:t>
      </w:r>
      <w:r>
        <w:rPr>
          <w:rFonts w:hint="default" w:ascii="Times New Roman" w:hAnsi="Times New Roman" w:eastAsia="宋体" w:cs="Times New Roman"/>
          <w:color w:val="auto"/>
          <w:highlight w:val="none"/>
        </w:rPr>
        <w:t>主要产生途径为矿岩装卸过程。</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装卸作业产生的粉尘与矿岩的相对密度、湿度以及作业环境的风速等因素有关。根据《逸散性工业粉尘控制技术》第一章第三节中物料卸料排放因子，本项目矿种为</w:t>
      </w:r>
      <w:r>
        <w:rPr>
          <w:rFonts w:hint="default" w:ascii="Times New Roman" w:hAnsi="Times New Roman" w:eastAsia="宋体" w:cs="Times New Roman"/>
          <w:color w:val="auto"/>
          <w:sz w:val="24"/>
          <w:szCs w:val="24"/>
          <w:highlight w:val="none"/>
          <w:lang w:val="en-US" w:eastAsia="zh-CN"/>
        </w:rPr>
        <w:t>钾长石</w:t>
      </w:r>
      <w:r>
        <w:rPr>
          <w:rFonts w:hint="default" w:ascii="Times New Roman" w:hAnsi="Times New Roman" w:eastAsia="宋体" w:cs="Times New Roman"/>
          <w:color w:val="auto"/>
          <w:sz w:val="24"/>
          <w:szCs w:val="24"/>
          <w:highlight w:val="none"/>
        </w:rPr>
        <w:t>，以大块物料为主，排放因子取0.01kg/t物料，根据开发利用方案，</w:t>
      </w:r>
      <w:r>
        <w:rPr>
          <w:rFonts w:hint="default" w:ascii="Times New Roman" w:hAnsi="Times New Roman" w:eastAsia="宋体" w:cs="Times New Roman"/>
          <w:color w:val="auto"/>
          <w:highlight w:val="none"/>
        </w:rPr>
        <w:t>露天一采场年均剥岩量约15.03万t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highlight w:val="none"/>
        </w:rPr>
        <w:t>露天二采场年剥岩量约5.11万t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highlight w:val="none"/>
        </w:rPr>
        <w:t>临时排岩场占地面积约</w:t>
      </w:r>
      <w:r>
        <w:rPr>
          <w:rFonts w:hint="default" w:ascii="Times New Roman" w:hAnsi="Times New Roman" w:eastAsia="宋体" w:cs="Times New Roman"/>
          <w:color w:val="auto"/>
          <w:highlight w:val="none"/>
          <w:lang w:val="en-US" w:eastAsia="zh-CN"/>
        </w:rPr>
        <w:t>8731</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，总容积3.34万</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。最终计算得本项目</w:t>
      </w:r>
      <w:r>
        <w:rPr>
          <w:rFonts w:hint="default" w:ascii="Times New Roman" w:hAnsi="Times New Roman" w:eastAsia="宋体" w:cs="Times New Roman"/>
          <w:color w:val="auto"/>
          <w:sz w:val="24"/>
          <w:szCs w:val="24"/>
          <w:highlight w:val="none"/>
          <w:lang w:val="en-US" w:eastAsia="zh-CN"/>
        </w:rPr>
        <w:t>排岩场装卸作业</w:t>
      </w:r>
      <w:r>
        <w:rPr>
          <w:rFonts w:hint="default" w:ascii="Times New Roman" w:hAnsi="Times New Roman" w:eastAsia="宋体" w:cs="Times New Roman"/>
          <w:color w:val="auto"/>
          <w:sz w:val="24"/>
          <w:szCs w:val="24"/>
          <w:highlight w:val="none"/>
        </w:rPr>
        <w:t>总粉尘起尘量为</w:t>
      </w:r>
      <w:r>
        <w:rPr>
          <w:rFonts w:hint="default" w:ascii="Times New Roman" w:hAnsi="Times New Roman" w:eastAsia="宋体" w:cs="Times New Roman"/>
          <w:color w:val="auto"/>
          <w:sz w:val="24"/>
          <w:szCs w:val="24"/>
          <w:highlight w:val="none"/>
          <w:lang w:val="en-US" w:eastAsia="zh-CN"/>
        </w:rPr>
        <w:t>2.041</w:t>
      </w:r>
      <w:r>
        <w:rPr>
          <w:rFonts w:hint="default" w:ascii="Times New Roman" w:hAnsi="Times New Roman" w:eastAsia="宋体" w:cs="Times New Roman"/>
          <w:color w:val="auto"/>
          <w:sz w:val="24"/>
          <w:szCs w:val="24"/>
          <w:highlight w:val="none"/>
        </w:rPr>
        <w:t>t/a。洒水抑尘后，粉尘排放量0.</w:t>
      </w:r>
      <w:r>
        <w:rPr>
          <w:rFonts w:hint="default" w:ascii="Times New Roman" w:hAnsi="Times New Roman" w:eastAsia="宋体" w:cs="Times New Roman"/>
          <w:color w:val="auto"/>
          <w:sz w:val="24"/>
          <w:szCs w:val="24"/>
          <w:highlight w:val="none"/>
          <w:lang w:val="en-US" w:eastAsia="zh-CN"/>
        </w:rPr>
        <w:t>403</w:t>
      </w:r>
      <w:r>
        <w:rPr>
          <w:rFonts w:hint="default" w:ascii="Times New Roman" w:hAnsi="Times New Roman" w:eastAsia="宋体" w:cs="Times New Roman"/>
          <w:color w:val="auto"/>
          <w:sz w:val="24"/>
          <w:szCs w:val="24"/>
          <w:highlight w:val="none"/>
        </w:rPr>
        <w:t>t/a。</w:t>
      </w:r>
    </w:p>
    <w:p>
      <w:pPr>
        <w:pStyle w:val="81"/>
        <w:spacing w:beforeLines="0" w:afterLines="0"/>
        <w:ind w:firstLine="480" w:firstLineChars="0"/>
        <w:outlineLvl w:val="9"/>
        <w:rPr>
          <w:rFonts w:hint="default" w:ascii="Times New Roman" w:hAnsi="Times New Roman" w:eastAsia="宋体" w:cs="Times New Roman"/>
          <w:b/>
          <w:bCs w:val="0"/>
          <w:color w:val="auto"/>
          <w:sz w:val="24"/>
          <w:highlight w:val="none"/>
        </w:rPr>
      </w:pPr>
      <w:r>
        <w:rPr>
          <w:rFonts w:hint="default" w:ascii="Times New Roman" w:hAnsi="Times New Roman" w:eastAsia="宋体" w:cs="Times New Roman"/>
          <w:b/>
          <w:bCs w:val="0"/>
          <w:color w:val="auto"/>
          <w:kern w:val="2"/>
          <w:sz w:val="24"/>
          <w:szCs w:val="24"/>
          <w:highlight w:val="none"/>
          <w:lang w:val="en-US" w:eastAsia="zh-CN" w:bidi="ar-SA"/>
        </w:rPr>
        <w:t>（3）</w:t>
      </w:r>
      <w:r>
        <w:rPr>
          <w:rFonts w:hint="default" w:ascii="Times New Roman" w:hAnsi="Times New Roman" w:eastAsia="宋体" w:cs="Times New Roman"/>
          <w:b/>
          <w:bCs w:val="0"/>
          <w:color w:val="auto"/>
          <w:sz w:val="24"/>
          <w:highlight w:val="none"/>
        </w:rPr>
        <w:t>道路运输起尘</w:t>
      </w:r>
    </w:p>
    <w:p>
      <w:pPr>
        <w:spacing w:beforeLines="0" w:afterLine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矿区内部车辆在运输过程中将产生运输扬尘，呈无组织排放。扬尘产生量的大小与道路清洁程度、车辆行驶速度及运输车辆数量等因素有关。项目运输车辆设计时速要求控制在小于15km/h，车辆道路扬尘产生量选用经验公式计算：</w:t>
      </w:r>
    </w:p>
    <w:p>
      <w:pPr>
        <w:ind w:firstLine="480"/>
        <w:jc w:val="center"/>
        <w:rPr>
          <w:rFonts w:hint="default" w:ascii="Times New Roman" w:hAnsi="Times New Roman" w:eastAsia="宋体" w:cs="Times New Roman"/>
          <w:color w:val="auto"/>
          <w:highlight w:val="none"/>
        </w:rPr>
      </w:pPr>
      <m:oMathPara>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Q</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p</m:t>
              </m:r>
              <m:ctrlPr>
                <w:rPr>
                  <w:rFonts w:hint="default" w:ascii="Cambria Math" w:hAnsi="Cambria Math" w:eastAsia="宋体" w:cs="Times New Roman"/>
                  <w:i/>
                  <w:color w:val="auto"/>
                  <w:highlight w:val="none"/>
                </w:rPr>
              </m:ctrlPr>
            </m:sub>
          </m:sSub>
          <m:r>
            <m:rPr/>
            <w:rPr>
              <w:rFonts w:hint="default" w:ascii="Cambria Math" w:hAnsi="Cambria Math" w:eastAsia="宋体" w:cs="Times New Roman"/>
              <w:color w:val="auto"/>
              <w:highlight w:val="none"/>
            </w:rPr>
            <m:t>=0.123</m:t>
          </m:r>
          <m:d>
            <m:dPr>
              <m:ctrlPr>
                <w:rPr>
                  <w:rFonts w:hint="default" w:ascii="Cambria Math" w:hAnsi="Cambria Math" w:eastAsia="宋体" w:cs="Times New Roman"/>
                  <w:i/>
                  <w:color w:val="auto"/>
                  <w:highlight w:val="none"/>
                </w:rPr>
              </m:ctrlPr>
            </m:dPr>
            <m:e>
              <m:f>
                <m:fPr>
                  <m:ctrlPr>
                    <w:rPr>
                      <w:rFonts w:hint="default" w:ascii="Cambria Math" w:hAnsi="Cambria Math" w:eastAsia="宋体" w:cs="Times New Roman"/>
                      <w:i/>
                      <w:color w:val="auto"/>
                      <w:highlight w:val="none"/>
                    </w:rPr>
                  </m:ctrlPr>
                </m:fPr>
                <m:num>
                  <m:r>
                    <m:rPr/>
                    <w:rPr>
                      <w:rFonts w:hint="default" w:ascii="Cambria Math" w:hAnsi="Cambria Math" w:eastAsia="宋体" w:cs="Times New Roman"/>
                      <w:color w:val="auto"/>
                      <w:highlight w:val="none"/>
                    </w:rPr>
                    <m:t>V</m:t>
                  </m:r>
                  <m:ctrlPr>
                    <w:rPr>
                      <w:rFonts w:hint="default" w:ascii="Cambria Math" w:hAnsi="Cambria Math" w:eastAsia="宋体" w:cs="Times New Roman"/>
                      <w:i/>
                      <w:color w:val="auto"/>
                      <w:highlight w:val="none"/>
                    </w:rPr>
                  </m:ctrlPr>
                </m:num>
                <m:den>
                  <m:r>
                    <m:rPr/>
                    <w:rPr>
                      <w:rFonts w:hint="default" w:ascii="Cambria Math" w:hAnsi="Cambria Math" w:eastAsia="宋体" w:cs="Times New Roman"/>
                      <w:color w:val="auto"/>
                      <w:highlight w:val="none"/>
                    </w:rPr>
                    <m:t>5</m:t>
                  </m:r>
                  <m:ctrlPr>
                    <w:rPr>
                      <w:rFonts w:hint="default" w:ascii="Cambria Math" w:hAnsi="Cambria Math" w:eastAsia="宋体" w:cs="Times New Roman"/>
                      <w:i/>
                      <w:color w:val="auto"/>
                      <w:highlight w:val="none"/>
                    </w:rPr>
                  </m:ctrlPr>
                </m:den>
              </m:f>
              <m:ctrlPr>
                <w:rPr>
                  <w:rFonts w:hint="default" w:ascii="Cambria Math" w:hAnsi="Cambria Math" w:eastAsia="宋体" w:cs="Times New Roman"/>
                  <w:i/>
                  <w:color w:val="auto"/>
                  <w:highlight w:val="none"/>
                </w:rPr>
              </m:ctrlPr>
            </m:e>
          </m:d>
          <m:r>
            <m:rPr/>
            <w:rPr>
              <w:rFonts w:hint="default" w:ascii="Cambria Math" w:hAnsi="Cambria Math" w:eastAsia="宋体" w:cs="Times New Roman"/>
              <w:color w:val="auto"/>
              <w:highlight w:val="none"/>
            </w:rPr>
            <m:t>·</m:t>
          </m:r>
          <m:sSup>
            <m:sSupPr>
              <m:ctrlPr>
                <w:rPr>
                  <w:rFonts w:hint="default" w:ascii="Cambria Math" w:hAnsi="Cambria Math" w:eastAsia="宋体" w:cs="Times New Roman"/>
                  <w:i/>
                  <w:color w:val="auto"/>
                  <w:highlight w:val="none"/>
                </w:rPr>
              </m:ctrlPr>
            </m:sSupPr>
            <m:e>
              <m:d>
                <m:dPr>
                  <m:begChr m:val="（"/>
                  <m:endChr m:val="）"/>
                  <m:ctrlPr>
                    <w:rPr>
                      <w:rFonts w:hint="default" w:ascii="Cambria Math" w:hAnsi="Cambria Math" w:eastAsia="宋体" w:cs="Times New Roman"/>
                      <w:i/>
                      <w:color w:val="auto"/>
                      <w:highlight w:val="none"/>
                    </w:rPr>
                  </m:ctrlPr>
                </m:dPr>
                <m:e>
                  <m:f>
                    <m:fPr>
                      <m:ctrlPr>
                        <w:rPr>
                          <w:rFonts w:hint="default" w:ascii="Cambria Math" w:hAnsi="Cambria Math" w:eastAsia="宋体" w:cs="Times New Roman"/>
                          <w:i/>
                          <w:color w:val="auto"/>
                          <w:highlight w:val="none"/>
                        </w:rPr>
                      </m:ctrlPr>
                    </m:fPr>
                    <m:num>
                      <m:r>
                        <m:rPr/>
                        <w:rPr>
                          <w:rFonts w:hint="default" w:ascii="Cambria Math" w:hAnsi="Cambria Math" w:eastAsia="宋体" w:cs="Times New Roman"/>
                          <w:color w:val="auto"/>
                          <w:highlight w:val="none"/>
                        </w:rPr>
                        <m:t>M</m:t>
                      </m:r>
                      <m:ctrlPr>
                        <w:rPr>
                          <w:rFonts w:hint="default" w:ascii="Cambria Math" w:hAnsi="Cambria Math" w:eastAsia="宋体" w:cs="Times New Roman"/>
                          <w:i/>
                          <w:color w:val="auto"/>
                          <w:highlight w:val="none"/>
                        </w:rPr>
                      </m:ctrlPr>
                    </m:num>
                    <m:den>
                      <m:r>
                        <m:rPr/>
                        <w:rPr>
                          <w:rFonts w:hint="default" w:ascii="Cambria Math" w:hAnsi="Cambria Math" w:eastAsia="宋体" w:cs="Times New Roman"/>
                          <w:color w:val="auto"/>
                          <w:highlight w:val="none"/>
                        </w:rPr>
                        <m:t>6.8</m:t>
                      </m:r>
                      <m:ctrlPr>
                        <w:rPr>
                          <w:rFonts w:hint="default" w:ascii="Cambria Math" w:hAnsi="Cambria Math" w:eastAsia="宋体" w:cs="Times New Roman"/>
                          <w:i/>
                          <w:color w:val="auto"/>
                          <w:highlight w:val="none"/>
                        </w:rPr>
                      </m:ctrlPr>
                    </m:den>
                  </m:f>
                  <m:ctrlPr>
                    <w:rPr>
                      <w:rFonts w:hint="default" w:ascii="Cambria Math" w:hAnsi="Cambria Math" w:eastAsia="宋体" w:cs="Times New Roman"/>
                      <w:i/>
                      <w:color w:val="auto"/>
                      <w:highlight w:val="none"/>
                    </w:rPr>
                  </m:ctrlPr>
                </m:e>
              </m:d>
              <m:ctrlPr>
                <w:rPr>
                  <w:rFonts w:hint="default" w:ascii="Cambria Math" w:hAnsi="Cambria Math" w:eastAsia="宋体" w:cs="Times New Roman"/>
                  <w:i/>
                  <w:color w:val="auto"/>
                  <w:highlight w:val="none"/>
                </w:rPr>
              </m:ctrlPr>
            </m:e>
            <m:sup>
              <m:r>
                <m:rPr/>
                <w:rPr>
                  <w:rFonts w:hint="default" w:ascii="Cambria Math" w:hAnsi="Cambria Math" w:eastAsia="宋体" w:cs="Times New Roman"/>
                  <w:color w:val="auto"/>
                  <w:highlight w:val="none"/>
                </w:rPr>
                <m:t>0.85</m:t>
              </m:r>
              <m:ctrlPr>
                <w:rPr>
                  <w:rFonts w:hint="default" w:ascii="Cambria Math" w:hAnsi="Cambria Math" w:eastAsia="宋体" w:cs="Times New Roman"/>
                  <w:i/>
                  <w:color w:val="auto"/>
                  <w:highlight w:val="none"/>
                </w:rPr>
              </m:ctrlPr>
            </m:sup>
          </m:sSup>
          <m:r>
            <m:rPr/>
            <w:rPr>
              <w:rFonts w:hint="default" w:ascii="Cambria Math" w:hAnsi="Cambria Math" w:eastAsia="宋体" w:cs="Times New Roman"/>
              <w:color w:val="auto"/>
              <w:highlight w:val="none"/>
            </w:rPr>
            <m:t>(</m:t>
          </m:r>
          <m:sSup>
            <m:sSupPr>
              <m:ctrlPr>
                <w:rPr>
                  <w:rFonts w:hint="default" w:ascii="Cambria Math" w:hAnsi="Cambria Math" w:eastAsia="宋体" w:cs="Times New Roman"/>
                  <w:i/>
                  <w:color w:val="auto"/>
                  <w:highlight w:val="none"/>
                </w:rPr>
              </m:ctrlPr>
            </m:sSupPr>
            <m:e>
              <m:f>
                <m:fPr>
                  <m:ctrlPr>
                    <w:rPr>
                      <w:rFonts w:hint="default" w:ascii="Cambria Math" w:hAnsi="Cambria Math" w:eastAsia="宋体" w:cs="Times New Roman"/>
                      <w:i/>
                      <w:color w:val="auto"/>
                      <w:highlight w:val="none"/>
                    </w:rPr>
                  </m:ctrlPr>
                </m:fPr>
                <m:num>
                  <m:r>
                    <m:rPr/>
                    <w:rPr>
                      <w:rFonts w:hint="default" w:ascii="Cambria Math" w:hAnsi="Cambria Math" w:eastAsia="宋体" w:cs="Times New Roman"/>
                      <w:color w:val="auto"/>
                      <w:highlight w:val="none"/>
                    </w:rPr>
                    <m:t>P</m:t>
                  </m:r>
                  <m:ctrlPr>
                    <w:rPr>
                      <w:rFonts w:hint="default" w:ascii="Cambria Math" w:hAnsi="Cambria Math" w:eastAsia="宋体" w:cs="Times New Roman"/>
                      <w:i/>
                      <w:color w:val="auto"/>
                      <w:highlight w:val="none"/>
                    </w:rPr>
                  </m:ctrlPr>
                </m:num>
                <m:den>
                  <m:r>
                    <m:rPr/>
                    <w:rPr>
                      <w:rFonts w:hint="default" w:ascii="Cambria Math" w:hAnsi="Cambria Math" w:eastAsia="宋体" w:cs="Times New Roman"/>
                      <w:color w:val="auto"/>
                      <w:highlight w:val="none"/>
                    </w:rPr>
                    <m:t>0.5</m:t>
                  </m:r>
                  <m:ctrlPr>
                    <w:rPr>
                      <w:rFonts w:hint="default" w:ascii="Cambria Math" w:hAnsi="Cambria Math" w:eastAsia="宋体" w:cs="Times New Roman"/>
                      <w:i/>
                      <w:color w:val="auto"/>
                      <w:highlight w:val="none"/>
                    </w:rPr>
                  </m:ctrlPr>
                </m:den>
              </m:f>
              <m:r>
                <m:rPr/>
                <w:rPr>
                  <w:rFonts w:hint="default" w:ascii="Cambria Math" w:hAnsi="Cambria Math" w:eastAsia="宋体" w:cs="Times New Roman"/>
                  <w:color w:val="auto"/>
                  <w:highlight w:val="none"/>
                </w:rPr>
                <m:t>)</m:t>
              </m:r>
              <m:ctrlPr>
                <w:rPr>
                  <w:rFonts w:hint="default" w:ascii="Cambria Math" w:hAnsi="Cambria Math" w:eastAsia="宋体" w:cs="Times New Roman"/>
                  <w:i/>
                  <w:color w:val="auto"/>
                  <w:highlight w:val="none"/>
                </w:rPr>
              </m:ctrlPr>
            </m:e>
            <m:sup>
              <m:r>
                <m:rPr/>
                <w:rPr>
                  <w:rFonts w:hint="default" w:ascii="Cambria Math" w:hAnsi="Cambria Math" w:eastAsia="宋体" w:cs="Times New Roman"/>
                  <w:color w:val="auto"/>
                  <w:highlight w:val="none"/>
                </w:rPr>
                <m:t>0.72</m:t>
              </m:r>
              <m:ctrlPr>
                <w:rPr>
                  <w:rFonts w:hint="default" w:ascii="Cambria Math" w:hAnsi="Cambria Math" w:eastAsia="宋体" w:cs="Times New Roman"/>
                  <w:i/>
                  <w:color w:val="auto"/>
                  <w:highlight w:val="none"/>
                </w:rPr>
              </m:ctrlPr>
            </m:sup>
          </m:sSup>
        </m:oMath>
      </m:oMathPara>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式中：Q</w:t>
      </w:r>
      <w:r>
        <w:rPr>
          <w:rFonts w:hint="default" w:ascii="Times New Roman" w:hAnsi="Times New Roman" w:eastAsia="宋体" w:cs="Times New Roman"/>
          <w:color w:val="auto"/>
          <w:highlight w:val="none"/>
          <w:vertAlign w:val="subscript"/>
        </w:rPr>
        <w:t>p</w:t>
      </w:r>
      <w:r>
        <w:rPr>
          <w:rFonts w:hint="default" w:ascii="Times New Roman" w:hAnsi="Times New Roman" w:eastAsia="宋体" w:cs="Times New Roman"/>
          <w:b/>
          <w:color w:val="auto"/>
          <w:highlight w:val="none"/>
        </w:rPr>
        <w:t>—</w:t>
      </w:r>
      <w:r>
        <w:rPr>
          <w:rFonts w:hint="default" w:ascii="Times New Roman" w:hAnsi="Times New Roman" w:eastAsia="宋体" w:cs="Times New Roman"/>
          <w:color w:val="auto"/>
          <w:highlight w:val="none"/>
        </w:rPr>
        <w:t>辆汽车行驶扬尘量(kg/km·辆)；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w:t>
      </w:r>
      <w:r>
        <w:rPr>
          <w:rFonts w:hint="default" w:ascii="Times New Roman" w:hAnsi="Times New Roman" w:eastAsia="宋体" w:cs="Times New Roman"/>
          <w:b/>
          <w:color w:val="auto"/>
          <w:highlight w:val="none"/>
        </w:rPr>
        <w:t>—</w:t>
      </w:r>
      <w:r>
        <w:rPr>
          <w:rFonts w:hint="default" w:ascii="Times New Roman" w:hAnsi="Times New Roman" w:eastAsia="宋体" w:cs="Times New Roman"/>
          <w:color w:val="auto"/>
          <w:highlight w:val="none"/>
        </w:rPr>
        <w:t>汽车速度(km/h)；</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w:t>
      </w:r>
      <w:r>
        <w:rPr>
          <w:rFonts w:hint="default" w:ascii="Times New Roman" w:hAnsi="Times New Roman" w:eastAsia="宋体" w:cs="Times New Roman"/>
          <w:b/>
          <w:color w:val="auto"/>
          <w:highlight w:val="none"/>
        </w:rPr>
        <w:t>—</w:t>
      </w:r>
      <w:r>
        <w:rPr>
          <w:rFonts w:hint="default" w:ascii="Times New Roman" w:hAnsi="Times New Roman" w:eastAsia="宋体" w:cs="Times New Roman"/>
          <w:color w:val="auto"/>
          <w:highlight w:val="none"/>
        </w:rPr>
        <w:t>车辆载重，t/辆；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w:t>
      </w:r>
      <w:r>
        <w:rPr>
          <w:rFonts w:hint="default" w:ascii="Times New Roman" w:hAnsi="Times New Roman" w:eastAsia="宋体" w:cs="Times New Roman"/>
          <w:b/>
          <w:color w:val="auto"/>
          <w:highlight w:val="none"/>
        </w:rPr>
        <w:t>—</w:t>
      </w:r>
      <w:r>
        <w:rPr>
          <w:rFonts w:hint="default" w:ascii="Times New Roman" w:hAnsi="Times New Roman" w:eastAsia="宋体" w:cs="Times New Roman"/>
          <w:color w:val="auto"/>
          <w:highlight w:val="none"/>
        </w:rPr>
        <w:t>道路表面粉尘量(kg/m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本次预测选取汽车速度V为</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km/h，汽车重量W为</w:t>
      </w:r>
      <w:r>
        <w:rPr>
          <w:rFonts w:hint="default" w:ascii="Times New Roman" w:hAnsi="Times New Roman" w:eastAsia="宋体" w:cs="Times New Roman"/>
          <w:color w:val="auto"/>
          <w:highlight w:val="none"/>
          <w:lang w:val="en-US" w:eastAsia="zh-CN"/>
        </w:rPr>
        <w:t>17.27</w:t>
      </w:r>
      <w:r>
        <w:rPr>
          <w:rFonts w:hint="default" w:ascii="Times New Roman" w:hAnsi="Times New Roman" w:eastAsia="宋体" w:cs="Times New Roman"/>
          <w:color w:val="auto"/>
          <w:highlight w:val="none"/>
        </w:rPr>
        <w:t>t，</w:t>
      </w:r>
      <w:r>
        <w:rPr>
          <w:rFonts w:hint="default" w:ascii="Times New Roman" w:hAnsi="Times New Roman" w:eastAsia="宋体" w:cs="Times New Roman"/>
          <w:color w:val="auto"/>
          <w:sz w:val="24"/>
          <w:szCs w:val="24"/>
          <w:highlight w:val="none"/>
        </w:rPr>
        <w:t>评价要求道路每天实施洒水抑尘作业，经洒水后路面扬尘</w:t>
      </w:r>
      <w:r>
        <w:rPr>
          <w:rFonts w:hint="default" w:ascii="Times New Roman" w:hAnsi="Times New Roman" w:eastAsia="宋体" w:cs="Times New Roman"/>
          <w:color w:val="auto"/>
          <w:highlight w:val="none"/>
        </w:rPr>
        <w:t>P</w:t>
      </w:r>
      <w:r>
        <w:rPr>
          <w:rFonts w:hint="default" w:ascii="Times New Roman" w:hAnsi="Times New Roman" w:eastAsia="宋体" w:cs="Times New Roman"/>
          <w:color w:val="auto"/>
          <w:sz w:val="24"/>
          <w:szCs w:val="24"/>
          <w:highlight w:val="none"/>
        </w:rPr>
        <w:t>产生量一般约</w:t>
      </w:r>
      <w:r>
        <w:rPr>
          <w:rFonts w:hint="default" w:ascii="Times New Roman" w:hAnsi="Times New Roman" w:eastAsia="宋体" w:cs="Times New Roman"/>
          <w:color w:val="auto"/>
          <w:highlight w:val="none"/>
        </w:rPr>
        <w:t>为0.</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kg/m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，单次车辆在矿区运输距离以</w:t>
      </w:r>
      <w:r>
        <w:rPr>
          <w:rFonts w:hint="default" w:ascii="Times New Roman" w:hAnsi="Times New Roman" w:eastAsia="宋体" w:cs="Times New Roman"/>
          <w:color w:val="auto"/>
          <w:highlight w:val="none"/>
          <w:lang w:val="en-US" w:eastAsia="zh-CN"/>
        </w:rPr>
        <w:t>1.673</w:t>
      </w:r>
      <w:r>
        <w:rPr>
          <w:rFonts w:hint="default" w:ascii="Times New Roman" w:hAnsi="Times New Roman" w:eastAsia="宋体" w:cs="Times New Roman"/>
          <w:color w:val="auto"/>
          <w:highlight w:val="none"/>
        </w:rPr>
        <w:t>km计，最终计算得本项目汽车运输道路起尘量为</w:t>
      </w:r>
      <w:r>
        <w:rPr>
          <w:rFonts w:hint="default" w:ascii="Times New Roman" w:hAnsi="Times New Roman" w:eastAsia="宋体" w:cs="Times New Roman"/>
          <w:color w:val="auto"/>
          <w:highlight w:val="none"/>
          <w:lang w:val="en-US" w:eastAsia="zh-CN"/>
        </w:rPr>
        <w:t>2.748t</w:t>
      </w:r>
      <w:r>
        <w:rPr>
          <w:rFonts w:hint="default" w:ascii="Times New Roman" w:hAnsi="Times New Roman" w:eastAsia="宋体" w:cs="Times New Roman"/>
          <w:color w:val="auto"/>
          <w:highlight w:val="none"/>
        </w:rPr>
        <w:t>/a。</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评价要求</w:t>
      </w:r>
      <w:r>
        <w:rPr>
          <w:rFonts w:hint="default" w:ascii="Times New Roman" w:hAnsi="Times New Roman" w:eastAsia="宋体" w:cs="Times New Roman"/>
          <w:color w:val="auto"/>
          <w:highlight w:val="none"/>
          <w:lang w:val="en-US" w:eastAsia="zh-CN"/>
        </w:rPr>
        <w:t>建设单位</w:t>
      </w:r>
      <w:r>
        <w:rPr>
          <w:rFonts w:hint="default" w:ascii="Times New Roman" w:hAnsi="Times New Roman" w:eastAsia="宋体" w:cs="Times New Roman"/>
          <w:color w:val="auto"/>
          <w:highlight w:val="none"/>
        </w:rPr>
        <w:t>禁止车辆超载，覆盖苫布，且运输减速慢行，以保持道路两侧的范围内的整洁。</w:t>
      </w:r>
    </w:p>
    <w:p>
      <w:pPr>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eastAsia="宋体" w:cs="Times New Roman"/>
          <w:color w:val="auto"/>
          <w:highlight w:val="none"/>
          <w:lang w:val="en-US" w:eastAsia="zh-CN"/>
        </w:rPr>
        <w:sectPr>
          <w:footerReference r:id="rId19" w:type="default"/>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rPr>
        <w:t>项目营运期废气排放汇总见表</w:t>
      </w:r>
      <w:r>
        <w:rPr>
          <w:rFonts w:hint="eastAsia" w:cs="Times New Roman"/>
          <w:color w:val="auto"/>
          <w:highlight w:val="none"/>
          <w:lang w:val="en-US" w:eastAsia="zh-CN"/>
        </w:rPr>
        <w:t>3.4-</w:t>
      </w:r>
      <w:r>
        <w:rPr>
          <w:rFonts w:hint="default" w:ascii="Times New Roman" w:hAnsi="Times New Roman" w:eastAsia="宋体" w:cs="Times New Roman"/>
          <w:color w:val="auto"/>
          <w:highlight w:val="none"/>
          <w:lang w:val="en-US" w:eastAsia="zh-CN"/>
        </w:rPr>
        <w:t>2。</w:t>
      </w:r>
    </w:p>
    <w:p>
      <w:pPr>
        <w:spacing w:line="240" w:lineRule="auto"/>
        <w:ind w:left="0" w:leftChars="0" w:right="79" w:rightChars="33" w:firstLine="0" w:firstLineChars="0"/>
        <w:jc w:val="center"/>
        <w:rPr>
          <w:rFonts w:hint="default" w:ascii="Times New Roman" w:hAnsi="Times New Roman" w:eastAsia="宋体" w:cs="Times New Roman"/>
          <w:b/>
          <w:color w:val="auto"/>
          <w:sz w:val="21"/>
          <w:highlight w:val="none"/>
          <w:lang w:val="en-US" w:eastAsia="zh-CN"/>
        </w:rPr>
      </w:pPr>
      <w:r>
        <w:rPr>
          <w:rFonts w:hint="default" w:ascii="Times New Roman" w:hAnsi="Times New Roman" w:eastAsia="宋体" w:cs="Times New Roman"/>
          <w:b/>
          <w:color w:val="auto"/>
          <w:sz w:val="21"/>
          <w:highlight w:val="none"/>
        </w:rPr>
        <w:t>表</w:t>
      </w:r>
      <w:r>
        <w:rPr>
          <w:rFonts w:hint="eastAsia" w:cs="Times New Roman"/>
          <w:b/>
          <w:color w:val="auto"/>
          <w:sz w:val="21"/>
          <w:highlight w:val="none"/>
          <w:lang w:val="en-US" w:eastAsia="zh-CN"/>
        </w:rPr>
        <w:t>3.4-</w:t>
      </w:r>
      <w:r>
        <w:rPr>
          <w:rFonts w:hint="default" w:ascii="Times New Roman" w:hAnsi="Times New Roman" w:eastAsia="宋体" w:cs="Times New Roman"/>
          <w:b/>
          <w:color w:val="auto"/>
          <w:sz w:val="21"/>
          <w:highlight w:val="none"/>
          <w:lang w:val="en-US" w:eastAsia="zh-CN"/>
        </w:rPr>
        <w:t>2     废气污染源源强核算结果及相关参数表</w:t>
      </w:r>
    </w:p>
    <w:tbl>
      <w:tblPr>
        <w:tblStyle w:val="45"/>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5"/>
        <w:gridCol w:w="1571"/>
        <w:gridCol w:w="1371"/>
        <w:gridCol w:w="1371"/>
        <w:gridCol w:w="1498"/>
        <w:gridCol w:w="3822"/>
        <w:gridCol w:w="1205"/>
        <w:gridCol w:w="15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污染源</w:t>
            </w:r>
          </w:p>
        </w:tc>
        <w:tc>
          <w:tcPr>
            <w:tcW w:w="55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核算方法</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产生量</w:t>
            </w:r>
          </w:p>
        </w:tc>
        <w:tc>
          <w:tcPr>
            <w:tcW w:w="5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削减量</w:t>
            </w:r>
          </w:p>
        </w:tc>
        <w:tc>
          <w:tcPr>
            <w:tcW w:w="136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处理措施</w:t>
            </w:r>
          </w:p>
        </w:tc>
        <w:tc>
          <w:tcPr>
            <w:tcW w:w="42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排放量</w:t>
            </w:r>
          </w:p>
        </w:tc>
        <w:tc>
          <w:tcPr>
            <w:tcW w:w="551"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露一采场天开采凿岩、铲装</w:t>
            </w:r>
          </w:p>
        </w:tc>
        <w:tc>
          <w:tcPr>
            <w:tcW w:w="55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颗粒物</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产污系数</w:t>
            </w:r>
          </w:p>
        </w:tc>
        <w:tc>
          <w:tcPr>
            <w:tcW w:w="488" w:type="pct"/>
            <w:tcBorders>
              <w:tl2br w:val="nil"/>
              <w:tr2bl w:val="nil"/>
            </w:tcBorders>
            <w:noWrap w:val="0"/>
            <w:vAlign w:val="center"/>
          </w:tcPr>
          <w:p>
            <w:pPr>
              <w:pStyle w:val="14"/>
              <w:spacing w:line="240" w:lineRule="auto"/>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0.71</w:t>
            </w:r>
          </w:p>
        </w:tc>
        <w:tc>
          <w:tcPr>
            <w:tcW w:w="5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0.568</w:t>
            </w:r>
          </w:p>
        </w:tc>
        <w:tc>
          <w:tcPr>
            <w:tcW w:w="1360"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湿式凿岩+水力喷雾降尘</w:t>
            </w:r>
          </w:p>
        </w:tc>
        <w:tc>
          <w:tcPr>
            <w:tcW w:w="429" w:type="pct"/>
            <w:tcBorders>
              <w:tl2br w:val="nil"/>
              <w:tr2bl w:val="nil"/>
            </w:tcBorders>
            <w:noWrap w:val="0"/>
            <w:vAlign w:val="center"/>
          </w:tcPr>
          <w:p>
            <w:pPr>
              <w:pStyle w:val="14"/>
              <w:spacing w:line="240" w:lineRule="auto"/>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0.142</w:t>
            </w:r>
          </w:p>
        </w:tc>
        <w:tc>
          <w:tcPr>
            <w:tcW w:w="551"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无组织排入环境空气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露二采场天开采凿岩、铲装</w:t>
            </w:r>
          </w:p>
        </w:tc>
        <w:tc>
          <w:tcPr>
            <w:tcW w:w="55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颗粒物</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产污系数</w:t>
            </w:r>
          </w:p>
        </w:tc>
        <w:tc>
          <w:tcPr>
            <w:tcW w:w="488" w:type="pct"/>
            <w:tcBorders>
              <w:tl2br w:val="nil"/>
              <w:tr2bl w:val="nil"/>
            </w:tcBorders>
            <w:noWrap w:val="0"/>
            <w:vAlign w:val="center"/>
          </w:tcPr>
          <w:p>
            <w:pPr>
              <w:pStyle w:val="14"/>
              <w:spacing w:line="240" w:lineRule="auto"/>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0.71</w:t>
            </w:r>
          </w:p>
        </w:tc>
        <w:tc>
          <w:tcPr>
            <w:tcW w:w="5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0.568</w:t>
            </w:r>
          </w:p>
        </w:tc>
        <w:tc>
          <w:tcPr>
            <w:tcW w:w="1360"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42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0.142</w:t>
            </w:r>
          </w:p>
        </w:tc>
        <w:tc>
          <w:tcPr>
            <w:tcW w:w="551"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8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地下开采凿岩、铲装</w:t>
            </w:r>
          </w:p>
        </w:tc>
        <w:tc>
          <w:tcPr>
            <w:tcW w:w="55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颗粒物</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产污系数</w:t>
            </w:r>
          </w:p>
        </w:tc>
        <w:tc>
          <w:tcPr>
            <w:tcW w:w="488" w:type="pct"/>
            <w:tcBorders>
              <w:tl2br w:val="nil"/>
              <w:tr2bl w:val="nil"/>
            </w:tcBorders>
            <w:noWrap w:val="0"/>
            <w:vAlign w:val="center"/>
          </w:tcPr>
          <w:p>
            <w:pPr>
              <w:pStyle w:val="14"/>
              <w:spacing w:line="240" w:lineRule="auto"/>
              <w:ind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0.57</w:t>
            </w:r>
          </w:p>
        </w:tc>
        <w:tc>
          <w:tcPr>
            <w:tcW w:w="5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0.456</w:t>
            </w:r>
          </w:p>
        </w:tc>
        <w:tc>
          <w:tcPr>
            <w:tcW w:w="136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snapToGrid/>
                <w:color w:val="auto"/>
                <w:kern w:val="2"/>
                <w:sz w:val="21"/>
                <w:szCs w:val="21"/>
                <w:highlight w:val="none"/>
                <w:lang w:val="en-US" w:eastAsia="zh-CN" w:bidi="ar-SA"/>
              </w:rPr>
              <w:t>湿式凿岩+水力喷雾降尘+</w:t>
            </w:r>
            <w:r>
              <w:rPr>
                <w:rFonts w:hint="default" w:ascii="Times New Roman" w:hAnsi="Times New Roman" w:eastAsia="宋体" w:cs="Times New Roman"/>
                <w:color w:val="auto"/>
                <w:sz w:val="21"/>
                <w:szCs w:val="21"/>
                <w:highlight w:val="none"/>
                <w:lang w:val="en-US" w:eastAsia="zh-CN"/>
              </w:rPr>
              <w:t>井下开采自然沉降</w:t>
            </w:r>
          </w:p>
        </w:tc>
        <w:tc>
          <w:tcPr>
            <w:tcW w:w="42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0.114</w:t>
            </w:r>
          </w:p>
        </w:tc>
        <w:tc>
          <w:tcPr>
            <w:tcW w:w="551"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8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临时排岩场</w:t>
            </w:r>
          </w:p>
        </w:tc>
        <w:tc>
          <w:tcPr>
            <w:tcW w:w="55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颗粒物</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产污系数</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2.041</w:t>
            </w:r>
          </w:p>
        </w:tc>
        <w:tc>
          <w:tcPr>
            <w:tcW w:w="5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1.638</w:t>
            </w:r>
          </w:p>
        </w:tc>
        <w:tc>
          <w:tcPr>
            <w:tcW w:w="136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napToGrid/>
                <w:color w:val="auto"/>
                <w:kern w:val="2"/>
                <w:sz w:val="21"/>
                <w:szCs w:val="21"/>
                <w:highlight w:val="none"/>
                <w:lang w:val="en-US" w:eastAsia="zh-CN" w:bidi="ar-SA"/>
              </w:rPr>
              <w:t>洒水降尘、设置三面围挡和防风抑尘网</w:t>
            </w:r>
          </w:p>
        </w:tc>
        <w:tc>
          <w:tcPr>
            <w:tcW w:w="42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0.403</w:t>
            </w:r>
          </w:p>
        </w:tc>
        <w:tc>
          <w:tcPr>
            <w:tcW w:w="551"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运输道路</w:t>
            </w:r>
          </w:p>
        </w:tc>
        <w:tc>
          <w:tcPr>
            <w:tcW w:w="55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颗粒物</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经验公式</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13.74</w:t>
            </w:r>
          </w:p>
        </w:tc>
        <w:tc>
          <w:tcPr>
            <w:tcW w:w="5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10.992</w:t>
            </w:r>
          </w:p>
        </w:tc>
        <w:tc>
          <w:tcPr>
            <w:tcW w:w="136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洒水抑尘，道路地面硬化，车辆覆盖苫布，减速慢行</w:t>
            </w:r>
          </w:p>
        </w:tc>
        <w:tc>
          <w:tcPr>
            <w:tcW w:w="42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2.748</w:t>
            </w:r>
          </w:p>
        </w:tc>
        <w:tc>
          <w:tcPr>
            <w:tcW w:w="551"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合计</w:t>
            </w:r>
          </w:p>
        </w:tc>
        <w:tc>
          <w:tcPr>
            <w:tcW w:w="55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颗粒物</w:t>
            </w: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48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17.771</w:t>
            </w:r>
          </w:p>
        </w:tc>
        <w:tc>
          <w:tcPr>
            <w:tcW w:w="5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14.222</w:t>
            </w:r>
          </w:p>
        </w:tc>
        <w:tc>
          <w:tcPr>
            <w:tcW w:w="136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42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3.549</w:t>
            </w:r>
          </w:p>
        </w:tc>
        <w:tc>
          <w:tcPr>
            <w:tcW w:w="551" w:type="pct"/>
            <w:vMerge w:val="continue"/>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bl>
    <w:p>
      <w:pPr>
        <w:ind w:firstLine="480"/>
        <w:rPr>
          <w:rFonts w:hint="default" w:ascii="Times New Roman" w:hAnsi="Times New Roman" w:eastAsia="宋体" w:cs="Times New Roman"/>
          <w:color w:val="auto"/>
          <w:highlight w:val="none"/>
        </w:rPr>
        <w:sectPr>
          <w:pgSz w:w="16840" w:h="11907" w:orient="landscape"/>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7"/>
        <w:keepNext/>
        <w:keepLines/>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lang w:val="en-US" w:eastAsia="zh-CN"/>
        </w:rPr>
      </w:pPr>
      <w:r>
        <w:rPr>
          <w:rFonts w:hint="eastAsia" w:ascii="Times New Roman" w:hAnsi="Times New Roman" w:eastAsia="宋体" w:cs="Times New Roman"/>
          <w:b/>
          <w:bCs w:val="0"/>
          <w:color w:val="auto"/>
          <w:lang w:val="en-US" w:eastAsia="zh-CN"/>
        </w:rPr>
        <w:t>2、</w:t>
      </w:r>
      <w:r>
        <w:rPr>
          <w:rFonts w:hint="default" w:ascii="Times New Roman" w:hAnsi="Times New Roman" w:eastAsia="宋体" w:cs="Times New Roman"/>
          <w:b/>
          <w:bCs w:val="0"/>
          <w:color w:val="auto"/>
          <w:lang w:val="en-US" w:eastAsia="zh-CN"/>
        </w:rPr>
        <w:t>废水污染源分析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废水主要是采矿产生的井下涌水以及生活污水。</w:t>
      </w:r>
    </w:p>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w:t>
      </w:r>
      <w:r>
        <w:rPr>
          <w:rFonts w:hint="default" w:ascii="Times New Roman" w:hAnsi="Times New Roman" w:eastAsia="宋体" w:cs="Times New Roman"/>
          <w:color w:val="auto"/>
          <w:highlight w:val="none"/>
        </w:rPr>
        <w:t>井下涌水</w:t>
      </w:r>
    </w:p>
    <w:p>
      <w:pPr>
        <w:bidi w:val="0"/>
        <w:rPr>
          <w:rFonts w:hint="eastAsia"/>
          <w:color w:val="auto"/>
        </w:rPr>
      </w:pPr>
      <w:r>
        <w:rPr>
          <w:rFonts w:hint="eastAsia"/>
          <w:color w:val="auto"/>
          <w:highlight w:val="none"/>
        </w:rPr>
        <w:t>依据开发利用方案，</w:t>
      </w:r>
      <w:r>
        <w:rPr>
          <w:rFonts w:hint="eastAsia"/>
          <w:color w:val="auto"/>
          <w:lang w:val="en-US" w:eastAsia="zh-CN"/>
        </w:rPr>
        <w:t>矿井</w:t>
      </w:r>
      <w:r>
        <w:rPr>
          <w:color w:val="auto"/>
        </w:rPr>
        <w:t>最大涌水量为120m</w:t>
      </w:r>
      <w:r>
        <w:rPr>
          <w:color w:val="auto"/>
          <w:vertAlign w:val="superscript"/>
        </w:rPr>
        <w:t>3</w:t>
      </w:r>
      <w:r>
        <w:rPr>
          <w:color w:val="auto"/>
        </w:rPr>
        <w:t>/d。</w:t>
      </w:r>
      <w:r>
        <w:rPr>
          <w:rFonts w:hint="eastAsia"/>
          <w:color w:val="auto"/>
        </w:rPr>
        <w:t>各中段涌水通过</w:t>
      </w:r>
      <w:r>
        <w:rPr>
          <w:rFonts w:hint="eastAsia"/>
          <w:color w:val="auto"/>
          <w:lang w:eastAsia="zh-CN"/>
        </w:rPr>
        <w:t>排水沟排放</w:t>
      </w:r>
      <w:r>
        <w:rPr>
          <w:rFonts w:hint="eastAsia"/>
          <w:color w:val="auto"/>
        </w:rPr>
        <w:t>到相应中段，通过水泵沿管线排至蓄水池（200m</w:t>
      </w:r>
      <w:r>
        <w:rPr>
          <w:rFonts w:hint="eastAsia"/>
          <w:color w:val="auto"/>
          <w:vertAlign w:val="superscript"/>
        </w:rPr>
        <w:t>3</w:t>
      </w:r>
      <w:r>
        <w:rPr>
          <w:rFonts w:hint="eastAsia"/>
          <w:color w:val="auto"/>
        </w:rPr>
        <w:t>），沉淀后供给生产、抑尘、绿化用水等使用，涌水不排放。</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（2）生活污水</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本项目职工人数为</w:t>
      </w:r>
      <w:r>
        <w:rPr>
          <w:rFonts w:hint="default" w:ascii="Times New Roman" w:hAnsi="Times New Roman" w:eastAsia="宋体" w:cs="Times New Roman"/>
          <w:color w:val="auto"/>
          <w:highlight w:val="none"/>
          <w:lang w:val="en-US" w:eastAsia="zh-CN"/>
        </w:rPr>
        <w:t>110</w:t>
      </w:r>
      <w:r>
        <w:rPr>
          <w:rFonts w:hint="default" w:ascii="Times New Roman" w:hAnsi="Times New Roman" w:eastAsia="宋体" w:cs="Times New Roman"/>
          <w:color w:val="auto"/>
          <w:highlight w:val="none"/>
        </w:rPr>
        <w:t>人，根据辽宁省地方标准《行业用水定额》（DB21/T1237-2015），生活用水按50L/人d，员工年平均工作日为300d，生活用水量为</w:t>
      </w:r>
      <w:r>
        <w:rPr>
          <w:rFonts w:hint="default" w:ascii="Times New Roman" w:hAnsi="Times New Roman" w:eastAsia="宋体" w:cs="Times New Roman"/>
          <w:color w:val="auto"/>
          <w:highlight w:val="none"/>
          <w:lang w:val="en-US" w:eastAsia="zh-CN"/>
        </w:rPr>
        <w:t>5.5</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/d。年总用水量为</w:t>
      </w:r>
      <w:r>
        <w:rPr>
          <w:rFonts w:hint="default" w:ascii="Times New Roman" w:hAnsi="Times New Roman" w:eastAsia="宋体" w:cs="Times New Roman"/>
          <w:color w:val="auto"/>
          <w:highlight w:val="none"/>
          <w:lang w:val="en-US" w:eastAsia="zh-CN"/>
        </w:rPr>
        <w:t>1650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/a。生活污水排放系数以0.8计，则排放量为</w:t>
      </w:r>
      <w:r>
        <w:rPr>
          <w:rFonts w:hint="default" w:ascii="Times New Roman" w:hAnsi="Times New Roman" w:eastAsia="宋体" w:cs="Times New Roman"/>
          <w:color w:val="auto"/>
          <w:highlight w:val="none"/>
          <w:lang w:val="en-US" w:eastAsia="zh-CN"/>
        </w:rPr>
        <w:t>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1320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/a）。生活污水主要污染物为SS、CODcr、氨氮等，生活污水排入旱厕，定期清运用于农业堆肥，不外排。</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初期雨水</w:t>
      </w:r>
    </w:p>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开发利用方案，矿区水文地质条件简单，矿床充水主要为大气降水，本区年平均降水量为854.5mm，最多年达1248.1mm，最少年为485.0mm，年蒸发量为1210.5mm，蒸发量多大于降水量。露天一、二采场均为山坡露天式，少量</w:t>
      </w:r>
      <w:r>
        <w:rPr>
          <w:rFonts w:hint="eastAsia" w:cs="Times New Roman"/>
          <w:color w:val="auto"/>
          <w:highlight w:val="none"/>
          <w:lang w:val="en-US" w:eastAsia="zh-CN"/>
        </w:rPr>
        <w:t>采坑集水</w:t>
      </w:r>
      <w:r>
        <w:rPr>
          <w:rFonts w:hint="default" w:ascii="Times New Roman" w:hAnsi="Times New Roman" w:eastAsia="宋体" w:cs="Times New Roman"/>
          <w:color w:val="auto"/>
          <w:highlight w:val="none"/>
          <w:lang w:val="en-US" w:eastAsia="zh-CN"/>
        </w:rPr>
        <w:t>排出至沉淀池回用于钻孔、堆场及道路洒水降尘等。本次主要计算暴雨期间的</w:t>
      </w:r>
      <w:r>
        <w:rPr>
          <w:rFonts w:hint="eastAsia" w:cs="Times New Roman"/>
          <w:color w:val="auto"/>
          <w:highlight w:val="none"/>
          <w:lang w:val="en-US" w:eastAsia="zh-CN"/>
        </w:rPr>
        <w:t>采坑集水</w:t>
      </w:r>
      <w:r>
        <w:rPr>
          <w:rFonts w:hint="default" w:ascii="Times New Roman" w:hAnsi="Times New Roman" w:eastAsia="宋体" w:cs="Times New Roman"/>
          <w:color w:val="auto"/>
          <w:highlight w:val="none"/>
          <w:lang w:val="en-US" w:eastAsia="zh-CN"/>
        </w:rPr>
        <w:t>。</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初期雨水量计算公式为：Q=Ф×q×F×t</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其中：Ф—径流系数，取0.9；</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F—汇水面积，</w:t>
      </w:r>
      <w:r>
        <w:rPr>
          <w:rFonts w:hint="default" w:ascii="Times New Roman" w:hAnsi="Times New Roman" w:eastAsia="宋体" w:cs="Times New Roman"/>
          <w:color w:val="auto"/>
          <w:highlight w:val="none"/>
          <w:lang w:val="en-US" w:eastAsia="zh-CN"/>
        </w:rPr>
        <w:t>俩露天采场汇水</w:t>
      </w:r>
      <w:r>
        <w:rPr>
          <w:rFonts w:hint="default" w:ascii="Times New Roman" w:hAnsi="Times New Roman" w:eastAsia="宋体" w:cs="Times New Roman"/>
          <w:color w:val="auto"/>
          <w:highlight w:val="none"/>
        </w:rPr>
        <w:t>面积</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1.50hm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计；</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q—设计暴雨强度，取</w:t>
      </w:r>
      <w:r>
        <w:rPr>
          <w:rFonts w:hint="default" w:ascii="Times New Roman" w:hAnsi="Times New Roman" w:eastAsia="宋体" w:cs="Times New Roman"/>
          <w:color w:val="auto"/>
          <w:highlight w:val="none"/>
          <w:lang w:val="en-US" w:eastAsia="zh-CN"/>
        </w:rPr>
        <w:t>0.29</w:t>
      </w:r>
      <w:r>
        <w:rPr>
          <w:rFonts w:hint="default" w:ascii="Times New Roman" w:hAnsi="Times New Roman" w:eastAsia="宋体" w:cs="Times New Roman"/>
          <w:color w:val="auto"/>
          <w:highlight w:val="none"/>
        </w:rPr>
        <w:t>L/s.hm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t—降雨历时，一般取15分钟。</w:t>
      </w:r>
    </w:p>
    <w:p>
      <w:pPr>
        <w:spacing w:beforeLines="0" w:afterLines="0"/>
        <w:jc w:val="left"/>
        <w:rPr>
          <w:rFonts w:hint="default" w:ascii="Times New Roman" w:hAnsi="Times New Roman" w:eastAsia="宋体" w:cs="Times New Roman"/>
          <w:color w:val="auto"/>
          <w:sz w:val="24"/>
          <w:szCs w:val="24"/>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sz w:val="24"/>
          <w:szCs w:val="24"/>
          <w:highlight w:val="none"/>
        </w:rPr>
        <w:t>计算结果Q=358m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highlight w:val="none"/>
          <w:lang w:val="en-US" w:eastAsia="zh-CN"/>
        </w:rPr>
        <w:t>露天一、二采场分别</w:t>
      </w:r>
      <w:r>
        <w:rPr>
          <w:rFonts w:hint="default" w:ascii="Times New Roman" w:hAnsi="Times New Roman" w:eastAsia="宋体" w:cs="Times New Roman"/>
          <w:color w:val="auto"/>
          <w:sz w:val="24"/>
          <w:szCs w:val="24"/>
          <w:highlight w:val="none"/>
        </w:rPr>
        <w:t>建1座容积</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初期雨水收集池，沉淀后回用于场地抑尘洒水。</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lang w:val="en-US" w:eastAsia="zh-CN"/>
        </w:rPr>
      </w:pPr>
      <w:r>
        <w:rPr>
          <w:rFonts w:hint="default" w:ascii="Times New Roman" w:hAnsi="Times New Roman" w:eastAsia="宋体" w:cs="Times New Roman"/>
          <w:b/>
          <w:bCs/>
          <w:color w:val="auto"/>
          <w:sz w:val="21"/>
          <w:highlight w:val="none"/>
        </w:rPr>
        <w:t>表</w:t>
      </w:r>
      <w:r>
        <w:rPr>
          <w:rFonts w:hint="eastAsia" w:cs="Times New Roman"/>
          <w:b/>
          <w:bCs/>
          <w:color w:val="auto"/>
          <w:sz w:val="21"/>
          <w:highlight w:val="none"/>
          <w:lang w:eastAsia="zh-CN"/>
        </w:rPr>
        <w:t>3.</w:t>
      </w:r>
      <w:r>
        <w:rPr>
          <w:rFonts w:hint="eastAsia" w:cs="Times New Roman"/>
          <w:b/>
          <w:bCs/>
          <w:color w:val="auto"/>
          <w:sz w:val="21"/>
          <w:highlight w:val="none"/>
          <w:lang w:val="en-US" w:eastAsia="zh-CN"/>
        </w:rPr>
        <w:t>4</w:t>
      </w:r>
      <w:r>
        <w:rPr>
          <w:rFonts w:hint="eastAsia" w:cs="Times New Roman"/>
          <w:b/>
          <w:bCs/>
          <w:color w:val="auto"/>
          <w:sz w:val="21"/>
          <w:highlight w:val="none"/>
          <w:lang w:eastAsia="zh-CN"/>
        </w:rPr>
        <w:t>-</w:t>
      </w:r>
      <w:r>
        <w:rPr>
          <w:rFonts w:hint="default" w:ascii="Times New Roman" w:hAnsi="Times New Roman" w:eastAsia="宋体" w:cs="Times New Roman"/>
          <w:b/>
          <w:bCs/>
          <w:color w:val="auto"/>
          <w:sz w:val="21"/>
          <w:highlight w:val="none"/>
          <w:lang w:val="en-US" w:eastAsia="zh-CN"/>
        </w:rPr>
        <w:t>3运营期废水污染源源强核算表</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5"/>
        <w:gridCol w:w="574"/>
        <w:gridCol w:w="1416"/>
        <w:gridCol w:w="1768"/>
        <w:gridCol w:w="784"/>
        <w:gridCol w:w="899"/>
        <w:gridCol w:w="986"/>
        <w:gridCol w:w="4213"/>
        <w:gridCol w:w="704"/>
        <w:gridCol w:w="524"/>
        <w:gridCol w:w="986"/>
        <w:gridCol w:w="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序号</w:t>
            </w:r>
          </w:p>
        </w:tc>
        <w:tc>
          <w:tcPr>
            <w:tcW w:w="0" w:type="auto"/>
            <w:gridSpan w:val="2"/>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污染物种类</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污染物特征</w:t>
            </w:r>
          </w:p>
        </w:tc>
        <w:tc>
          <w:tcPr>
            <w:tcW w:w="0" w:type="auto"/>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原始产生情况</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污染防治措施</w:t>
            </w:r>
          </w:p>
        </w:tc>
        <w:tc>
          <w:tcPr>
            <w:tcW w:w="0" w:type="auto"/>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处理后排放情况</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污染源</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产生量</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浓度</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排放量</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浓度</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矿井涌水</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主要污染物为SS和COD等</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主要为受开采影响，进入开采工作面的地下水含水层的水</w:t>
            </w:r>
          </w:p>
        </w:tc>
        <w:tc>
          <w:tcPr>
            <w:tcW w:w="0" w:type="auto"/>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最大涌水量</w:t>
            </w:r>
            <w:r>
              <w:rPr>
                <w:rFonts w:hint="default" w:ascii="Times New Roman" w:hAnsi="Times New Roman" w:eastAsia="宋体" w:cs="Times New Roman"/>
                <w:snapToGrid/>
                <w:color w:val="auto"/>
                <w:kern w:val="2"/>
                <w:sz w:val="21"/>
                <w:szCs w:val="21"/>
                <w:highlight w:val="none"/>
                <w:lang w:val="en-US" w:eastAsia="zh-CN" w:bidi="ar-SA"/>
              </w:rPr>
              <w:t>：36000m</w:t>
            </w:r>
            <w:r>
              <w:rPr>
                <w:rFonts w:hint="default" w:ascii="Times New Roman" w:hAnsi="Times New Roman" w:eastAsia="宋体" w:cs="Times New Roman"/>
                <w:snapToGrid/>
                <w:color w:val="auto"/>
                <w:kern w:val="2"/>
                <w:sz w:val="21"/>
                <w:szCs w:val="21"/>
                <w:highlight w:val="none"/>
                <w:vertAlign w:val="superscript"/>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/a</w:t>
            </w:r>
          </w:p>
        </w:tc>
        <w:tc>
          <w:tcPr>
            <w:tcW w:w="0" w:type="auto"/>
            <w:vMerge w:val="restart"/>
            <w:tcBorders>
              <w:tl2br w:val="nil"/>
              <w:tr2bl w:val="nil"/>
            </w:tcBorders>
            <w:noWrap w:val="0"/>
            <w:vAlign w:val="center"/>
          </w:tcPr>
          <w:p>
            <w:pPr>
              <w:bidi w:val="0"/>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各中段涌水通过排水沟下泄到相应中段，通过水泵沿管线排至蓄水池（200m</w:t>
            </w:r>
            <w:r>
              <w:rPr>
                <w:rFonts w:hint="eastAsia" w:ascii="Times New Roman" w:hAnsi="Times New Roman" w:eastAsia="宋体" w:cs="Times New Roman"/>
                <w:snapToGrid/>
                <w:color w:val="auto"/>
                <w:kern w:val="2"/>
                <w:sz w:val="21"/>
                <w:szCs w:val="21"/>
                <w:highlight w:val="none"/>
                <w:vertAlign w:val="superscript"/>
                <w:lang w:val="en-US" w:eastAsia="zh-CN" w:bidi="ar-SA"/>
              </w:rPr>
              <w:t>3</w:t>
            </w:r>
            <w:r>
              <w:rPr>
                <w:rFonts w:hint="eastAsia" w:ascii="Times New Roman" w:hAnsi="Times New Roman" w:eastAsia="宋体" w:cs="Times New Roman"/>
                <w:snapToGrid/>
                <w:color w:val="auto"/>
                <w:kern w:val="2"/>
                <w:sz w:val="21"/>
                <w:szCs w:val="21"/>
                <w:highlight w:val="none"/>
                <w:lang w:val="en-US" w:eastAsia="zh-CN" w:bidi="ar-SA"/>
              </w:rPr>
              <w:t>），沉淀后供给生产、抑尘、绿化用水等使用，涌水不排放。</w:t>
            </w:r>
          </w:p>
        </w:tc>
        <w:tc>
          <w:tcPr>
            <w:tcW w:w="0" w:type="auto"/>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水量：0m</w:t>
            </w:r>
            <w:r>
              <w:rPr>
                <w:rFonts w:hint="default" w:ascii="Times New Roman" w:hAnsi="Times New Roman" w:eastAsia="宋体" w:cs="Times New Roman"/>
                <w:snapToGrid/>
                <w:color w:val="auto"/>
                <w:kern w:val="2"/>
                <w:sz w:val="21"/>
                <w:szCs w:val="21"/>
                <w:highlight w:val="none"/>
                <w:vertAlign w:val="superscript"/>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/a</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全部回用不外排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SS</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7.2t/a</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SS</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COD</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7.2t/a</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COD</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石油类</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0.04t/a</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1.2mg/L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石油类</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1.2mg/L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w:t>
            </w:r>
          </w:p>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污水</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主要污染物为SS、BOD5和COD等</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主要来源于工业场地办公楼和洗室</w:t>
            </w:r>
          </w:p>
        </w:tc>
        <w:tc>
          <w:tcPr>
            <w:tcW w:w="0" w:type="auto"/>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水量：1650m</w:t>
            </w:r>
            <w:r>
              <w:rPr>
                <w:rFonts w:hint="default" w:ascii="Times New Roman" w:hAnsi="Times New Roman" w:eastAsia="宋体" w:cs="Times New Roman"/>
                <w:snapToGrid/>
                <w:color w:val="auto"/>
                <w:kern w:val="2"/>
                <w:sz w:val="21"/>
                <w:szCs w:val="21"/>
                <w:highlight w:val="none"/>
                <w:vertAlign w:val="superscript"/>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/a</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排入旱厕，清运用于农业堆肥</w:t>
            </w:r>
          </w:p>
        </w:tc>
        <w:tc>
          <w:tcPr>
            <w:tcW w:w="0" w:type="auto"/>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水量：0m</w:t>
            </w:r>
            <w:r>
              <w:rPr>
                <w:rFonts w:hint="default" w:ascii="Times New Roman" w:hAnsi="Times New Roman" w:eastAsia="宋体" w:cs="Times New Roman"/>
                <w:snapToGrid/>
                <w:color w:val="auto"/>
                <w:kern w:val="2"/>
                <w:sz w:val="21"/>
                <w:szCs w:val="21"/>
                <w:highlight w:val="none"/>
                <w:vertAlign w:val="superscript"/>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/a</w:t>
            </w:r>
          </w:p>
        </w:tc>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COD</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0.33t/a</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COD</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SS</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0.033t/a</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SS</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BOD5</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0.25t/a</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150mg/L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BOD</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150mg/L</w:t>
            </w:r>
          </w:p>
        </w:tc>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w:t>
            </w:r>
          </w:p>
        </w:tc>
        <w:tc>
          <w:tcPr>
            <w:tcW w:w="0" w:type="auto"/>
            <w:tcBorders>
              <w:tl2br w:val="nil"/>
              <w:tr2bl w:val="nil"/>
            </w:tcBorders>
            <w:noWrap w:val="0"/>
            <w:vAlign w:val="center"/>
          </w:tcPr>
          <w:p>
            <w:pPr>
              <w:spacing w:beforeLines="0" w:afterLines="0"/>
              <w:ind w:left="0" w:leftChars="0" w:firstLine="0" w:firstLineChars="0"/>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4"/>
                <w:highlight w:val="none"/>
              </w:rPr>
              <w:t>初期雨水</w:t>
            </w: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露天一、二采场分别建1座容积200m</w:t>
            </w:r>
            <w:r>
              <w:rPr>
                <w:rFonts w:hint="default" w:ascii="Times New Roman" w:hAnsi="Times New Roman" w:eastAsia="宋体" w:cs="Times New Roman"/>
                <w:snapToGrid/>
                <w:color w:val="auto"/>
                <w:kern w:val="2"/>
                <w:sz w:val="21"/>
                <w:szCs w:val="21"/>
                <w:highlight w:val="none"/>
                <w:vertAlign w:val="superscript"/>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初期雨水收集池，沉淀后回用于场地抑尘洒水</w:t>
            </w:r>
          </w:p>
        </w:tc>
        <w:tc>
          <w:tcPr>
            <w:tcW w:w="0" w:type="auto"/>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bl>
    <w:p>
      <w:pPr>
        <w:spacing w:beforeLines="0" w:afterLines="0"/>
        <w:jc w:val="left"/>
        <w:rPr>
          <w:rFonts w:hint="default" w:ascii="Times New Roman" w:hAnsi="Times New Roman" w:eastAsia="宋体" w:cs="Times New Roman"/>
          <w:color w:val="auto"/>
          <w:highlight w:val="none"/>
        </w:rPr>
      </w:pPr>
    </w:p>
    <w:p>
      <w:pPr>
        <w:spacing w:beforeLines="0" w:afterLines="0"/>
        <w:jc w:val="left"/>
        <w:rPr>
          <w:rFonts w:hint="default" w:ascii="Times New Roman" w:hAnsi="Times New Roman" w:eastAsia="宋体" w:cs="Times New Roman"/>
          <w:color w:val="auto"/>
          <w:highlight w:val="none"/>
        </w:rPr>
        <w:sectPr>
          <w:pgSz w:w="16840" w:h="11907" w:orient="landscape"/>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7"/>
        <w:keepNext/>
        <w:keepLines/>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lang w:val="en-US" w:eastAsia="zh-CN"/>
        </w:rPr>
      </w:pPr>
      <w:r>
        <w:rPr>
          <w:rFonts w:hint="eastAsia" w:ascii="Times New Roman" w:hAnsi="Times New Roman" w:eastAsia="宋体" w:cs="Times New Roman"/>
          <w:b/>
          <w:bCs w:val="0"/>
          <w:color w:val="auto"/>
          <w:lang w:val="en-US" w:eastAsia="zh-CN"/>
        </w:rPr>
        <w:t>3、</w:t>
      </w:r>
      <w:r>
        <w:rPr>
          <w:rFonts w:hint="default" w:ascii="Times New Roman" w:hAnsi="Times New Roman" w:eastAsia="宋体" w:cs="Times New Roman"/>
          <w:b/>
          <w:bCs w:val="0"/>
          <w:color w:val="auto"/>
          <w:lang w:val="en-US" w:eastAsia="zh-CN"/>
        </w:rPr>
        <w:t>噪声污染源分析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开采期</w:t>
      </w:r>
      <w:r>
        <w:rPr>
          <w:rFonts w:hint="default" w:ascii="Times New Roman" w:hAnsi="Times New Roman" w:eastAsia="宋体" w:cs="Times New Roman"/>
          <w:color w:val="auto"/>
          <w:highlight w:val="none"/>
        </w:rPr>
        <w:t>噪声主要来源于采区爆破、生产设备噪声以及车辆运输噪声等。采石机械如凿岩机、</w:t>
      </w:r>
      <w:r>
        <w:rPr>
          <w:rFonts w:hint="default" w:ascii="Times New Roman" w:hAnsi="Times New Roman" w:eastAsia="宋体" w:cs="Times New Roman"/>
          <w:color w:val="auto"/>
          <w:highlight w:val="none"/>
          <w:lang w:eastAsia="zh-CN"/>
        </w:rPr>
        <w:t>空压机</w:t>
      </w:r>
      <w:r>
        <w:rPr>
          <w:rFonts w:hint="default" w:ascii="Times New Roman" w:hAnsi="Times New Roman" w:eastAsia="宋体" w:cs="Times New Roman"/>
          <w:color w:val="auto"/>
          <w:highlight w:val="none"/>
        </w:rPr>
        <w:t>等均可产生较强的噪声。爆破除了产生较大噪声外还会产生振动。振动主要来自于采石爆破和凿岩、钻孔，特别是中深孔爆破可以产生地面振动，振动的强弱受装药量影响，可以通过对装药量的控制，保证附近建筑物不遭破坏。</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项目各噪声源的声压级详见下表</w:t>
      </w:r>
      <w:r>
        <w:rPr>
          <w:rFonts w:hint="eastAsia" w:cs="Times New Roman"/>
          <w:color w:val="auto"/>
          <w:highlight w:val="none"/>
          <w:lang w:val="en-US" w:eastAsia="zh-CN"/>
        </w:rPr>
        <w:t>3.4-</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rPr>
      </w:pPr>
      <w:r>
        <w:rPr>
          <w:rFonts w:hint="default" w:ascii="Times New Roman" w:hAnsi="Times New Roman" w:eastAsia="宋体" w:cs="Times New Roman"/>
          <w:b/>
          <w:bCs/>
          <w:color w:val="auto"/>
          <w:sz w:val="21"/>
          <w:highlight w:val="none"/>
        </w:rPr>
        <w:t>表</w:t>
      </w:r>
      <w:r>
        <w:rPr>
          <w:rFonts w:hint="eastAsia" w:cs="Times New Roman"/>
          <w:b/>
          <w:bCs/>
          <w:color w:val="auto"/>
          <w:sz w:val="21"/>
          <w:highlight w:val="none"/>
          <w:lang w:val="en-US" w:eastAsia="zh-CN"/>
        </w:rPr>
        <w:t>3.4-</w:t>
      </w:r>
      <w:r>
        <w:rPr>
          <w:rFonts w:hint="default" w:ascii="Times New Roman" w:hAnsi="Times New Roman" w:eastAsia="宋体" w:cs="Times New Roman"/>
          <w:b/>
          <w:bCs/>
          <w:color w:val="auto"/>
          <w:sz w:val="21"/>
          <w:highlight w:val="none"/>
          <w:lang w:val="en-US" w:eastAsia="zh-CN"/>
        </w:rPr>
        <w:t xml:space="preserve">4   </w:t>
      </w:r>
      <w:r>
        <w:rPr>
          <w:rFonts w:hint="default" w:ascii="Times New Roman" w:hAnsi="Times New Roman" w:eastAsia="宋体" w:cs="Times New Roman"/>
          <w:b/>
          <w:bCs/>
          <w:color w:val="auto"/>
          <w:sz w:val="21"/>
          <w:highlight w:val="none"/>
        </w:rPr>
        <w:t>主要噪声源及声源特点</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573"/>
        <w:gridCol w:w="1512"/>
        <w:gridCol w:w="2078"/>
        <w:gridCol w:w="2017"/>
        <w:gridCol w:w="14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序号</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名称</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同时运行台数</w:t>
            </w:r>
          </w:p>
        </w:tc>
        <w:tc>
          <w:tcPr>
            <w:tcW w:w="11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声源强度dB（A）</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声源特点</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降噪措施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潜孔钻机</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2台</w:t>
            </w:r>
          </w:p>
        </w:tc>
        <w:tc>
          <w:tcPr>
            <w:tcW w:w="2078" w:type="dxa"/>
            <w:tcBorders>
              <w:tl2br w:val="nil"/>
              <w:tr2bl w:val="nil"/>
            </w:tcBorders>
            <w:noWrap w:val="0"/>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70~95</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移动源，间歇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凿岩机</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12台</w:t>
            </w:r>
          </w:p>
        </w:tc>
        <w:tc>
          <w:tcPr>
            <w:tcW w:w="2078" w:type="dxa"/>
            <w:tcBorders>
              <w:tl2br w:val="nil"/>
              <w:tr2bl w:val="nil"/>
            </w:tcBorders>
            <w:noWrap w:val="0"/>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75~100</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移动源，间歇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空压机</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4台</w:t>
            </w:r>
          </w:p>
        </w:tc>
        <w:tc>
          <w:tcPr>
            <w:tcW w:w="2078" w:type="dxa"/>
            <w:tcBorders>
              <w:tl2br w:val="nil"/>
              <w:tr2bl w:val="nil"/>
            </w:tcBorders>
            <w:noWrap w:val="0"/>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75~100</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室内，固定源，间歇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挖掘机</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2台</w:t>
            </w:r>
          </w:p>
        </w:tc>
        <w:tc>
          <w:tcPr>
            <w:tcW w:w="2078" w:type="dxa"/>
            <w:tcBorders>
              <w:tl2br w:val="nil"/>
              <w:tr2bl w:val="nil"/>
            </w:tcBorders>
            <w:noWrap w:val="0"/>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75~100</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移动源，间歇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减速、禁鸣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铲车</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2台</w:t>
            </w:r>
          </w:p>
        </w:tc>
        <w:tc>
          <w:tcPr>
            <w:tcW w:w="2078" w:type="dxa"/>
            <w:tcBorders>
              <w:tl2br w:val="nil"/>
              <w:tr2bl w:val="nil"/>
            </w:tcBorders>
            <w:noWrap w:val="0"/>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70~95</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移动源，间歇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减速、禁鸣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6</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装载机</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3台</w:t>
            </w:r>
          </w:p>
        </w:tc>
        <w:tc>
          <w:tcPr>
            <w:tcW w:w="11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75~100</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移动源，间歇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减速、禁鸣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自卸汽车</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13台</w:t>
            </w:r>
          </w:p>
        </w:tc>
        <w:tc>
          <w:tcPr>
            <w:tcW w:w="11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75~100</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移动源，间歇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减速、禁鸣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8</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洒水车</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1台</w:t>
            </w:r>
          </w:p>
        </w:tc>
        <w:tc>
          <w:tcPr>
            <w:tcW w:w="11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790~95</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移动源，间歇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减速、禁鸣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9</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局扇</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3台</w:t>
            </w:r>
          </w:p>
        </w:tc>
        <w:tc>
          <w:tcPr>
            <w:tcW w:w="11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75~93</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室内，固定源，间歇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10</w:t>
            </w:r>
          </w:p>
        </w:tc>
        <w:tc>
          <w:tcPr>
            <w:tcW w:w="847"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主扇风机</w:t>
            </w:r>
          </w:p>
        </w:tc>
        <w:tc>
          <w:tcPr>
            <w:tcW w:w="814"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2台</w:t>
            </w:r>
          </w:p>
        </w:tc>
        <w:tc>
          <w:tcPr>
            <w:tcW w:w="11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75~98</w:t>
            </w:r>
          </w:p>
        </w:tc>
        <w:tc>
          <w:tcPr>
            <w:tcW w:w="108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室内，固定源，间歇</w:t>
            </w:r>
          </w:p>
        </w:tc>
        <w:tc>
          <w:tcPr>
            <w:tcW w:w="76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减振</w:t>
            </w:r>
          </w:p>
        </w:tc>
      </w:tr>
    </w:tbl>
    <w:p>
      <w:pPr>
        <w:pStyle w:val="7"/>
        <w:keepNext/>
        <w:keepLines/>
        <w:pageBreakBefore w:val="0"/>
        <w:widowControl w:val="0"/>
        <w:kinsoku/>
        <w:wordWrap/>
        <w:overflowPunct/>
        <w:topLinePunct w:val="0"/>
        <w:autoSpaceDE/>
        <w:autoSpaceDN/>
        <w:bidi w:val="0"/>
        <w:adjustRightInd w:val="0"/>
        <w:snapToGrid w:val="0"/>
        <w:spacing w:line="360" w:lineRule="auto"/>
        <w:ind w:left="0"/>
        <w:textAlignment w:val="auto"/>
        <w:rPr>
          <w:rFonts w:hint="default" w:ascii="Times New Roman" w:hAnsi="Times New Roman" w:eastAsia="宋体" w:cs="Times New Roman"/>
          <w:b/>
          <w:bCs w:val="0"/>
          <w:color w:val="auto"/>
          <w:lang w:val="en-US" w:eastAsia="zh-CN"/>
        </w:rPr>
      </w:pPr>
      <w:bookmarkStart w:id="249" w:name="_Toc319511266"/>
      <w:r>
        <w:rPr>
          <w:rFonts w:hint="eastAsia" w:ascii="Times New Roman" w:hAnsi="Times New Roman" w:eastAsia="宋体" w:cs="Times New Roman"/>
          <w:b/>
          <w:bCs w:val="0"/>
          <w:color w:val="auto"/>
          <w:lang w:val="en-US" w:eastAsia="zh-CN"/>
        </w:rPr>
        <w:t>4、</w:t>
      </w:r>
      <w:r>
        <w:rPr>
          <w:rFonts w:hint="default" w:ascii="Times New Roman" w:hAnsi="Times New Roman" w:eastAsia="宋体" w:cs="Times New Roman"/>
          <w:b/>
          <w:bCs w:val="0"/>
          <w:color w:val="auto"/>
          <w:lang w:val="en-US" w:eastAsia="zh-CN"/>
        </w:rPr>
        <w:t>固体废物污染源分析</w:t>
      </w:r>
      <w:bookmarkEnd w:id="249"/>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项目固体废物主要</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开采过程产生的</w:t>
      </w:r>
      <w:r>
        <w:rPr>
          <w:rFonts w:hint="default" w:ascii="Times New Roman" w:hAnsi="Times New Roman" w:eastAsia="宋体" w:cs="Times New Roman"/>
          <w:color w:val="auto"/>
          <w:highlight w:val="none"/>
          <w:lang w:val="en-US" w:eastAsia="zh-CN"/>
        </w:rPr>
        <w:t>废石、废机油</w:t>
      </w:r>
      <w:r>
        <w:rPr>
          <w:rFonts w:hint="default" w:ascii="Times New Roman" w:hAnsi="Times New Roman" w:eastAsia="宋体" w:cs="Times New Roman"/>
          <w:color w:val="auto"/>
          <w:highlight w:val="none"/>
        </w:rPr>
        <w:t>以及生活垃圾等。</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废石</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val="en-US" w:eastAsia="zh-CN"/>
        </w:rPr>
        <w:t>露天开采废石</w:t>
      </w:r>
    </w:p>
    <w:p>
      <w:pPr>
        <w:bidi w:val="0"/>
        <w:rPr>
          <w:rFonts w:hint="eastAsia"/>
          <w:color w:val="auto"/>
          <w:lang w:val="en-US" w:eastAsia="zh-CN"/>
        </w:rPr>
      </w:pPr>
      <w:r>
        <w:rPr>
          <w:rFonts w:hint="default" w:ascii="Times New Roman" w:hAnsi="Times New Roman" w:eastAsia="宋体" w:cs="Times New Roman"/>
          <w:color w:val="auto"/>
          <w:highlight w:val="none"/>
        </w:rPr>
        <w:t>露天一采场年均剥岩量约15.03万t，排放12.43年；露天二采场年剥岩量约5.11万t，排放3.19年。</w:t>
      </w:r>
      <w:r>
        <w:rPr>
          <w:rFonts w:hint="default" w:ascii="Times New Roman" w:hAnsi="Times New Roman" w:eastAsia="宋体" w:cs="Times New Roman"/>
          <w:color w:val="auto"/>
          <w:highlight w:val="none"/>
          <w:lang w:val="en-US" w:eastAsia="zh-CN"/>
        </w:rPr>
        <w:t>露天采场总</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均</w:t>
      </w:r>
      <w:r>
        <w:rPr>
          <w:rFonts w:hint="default" w:ascii="Times New Roman" w:hAnsi="Times New Roman" w:eastAsia="宋体" w:cs="Times New Roman"/>
          <w:color w:val="auto"/>
          <w:highlight w:val="none"/>
        </w:rPr>
        <w:t>剥岩量</w:t>
      </w:r>
      <w:r>
        <w:rPr>
          <w:rFonts w:hint="default" w:ascii="Times New Roman" w:hAnsi="Times New Roman" w:eastAsia="宋体" w:cs="Times New Roman"/>
          <w:color w:val="auto"/>
          <w:highlight w:val="none"/>
          <w:lang w:val="en-US" w:eastAsia="zh-CN"/>
        </w:rPr>
        <w:t>20.14</w:t>
      </w:r>
      <w:r>
        <w:rPr>
          <w:rFonts w:hint="default" w:ascii="Times New Roman" w:hAnsi="Times New Roman" w:eastAsia="宋体" w:cs="Times New Roman"/>
          <w:color w:val="auto"/>
          <w:highlight w:val="none"/>
        </w:rPr>
        <w:t>万t/a，钾长石（K</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O·Al</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·6SiO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）通常也称</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"http://baike.baidu.com/view/132124.htm"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正长石</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。钾长石属</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"http://baike.baidu.com/view/797827.htm"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单斜晶系</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，通常呈肉红色、呈白色或灰色。</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"http://baike.baidu.com/view/38960.htm"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密度</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2.54-2.57g/cm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"http://baike.baidu.com/view/25813.htm"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比重</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2.56～2.59g/cm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，其理论成分为SiO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含量64.7%，Al</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含量18.4%，K</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O含量16.9%。，基本不含有害物质，矿山开采过程中产生的废石，除部分用来修筑道路及平整工业场地外，绝大部分废石采取外售方式处理。</w:t>
      </w:r>
      <w:r>
        <w:rPr>
          <w:rFonts w:hint="default" w:ascii="Times New Roman" w:hAnsi="Times New Roman" w:eastAsia="宋体" w:cs="Times New Roman"/>
          <w:color w:val="auto"/>
          <w:highlight w:val="none"/>
          <w:lang w:val="en-US" w:eastAsia="zh-CN"/>
        </w:rPr>
        <w:t>根据《矿产资源开发利用方案》废石处理方式，矿山开采过程中产生的废石，除部分用来修筑道路、回填老采坑及平整地表建筑设施外，绝大部分废石采取外售方式处理。依据本公司与</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岫岩满族自治县鑫祥通运输有限公司</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签订的废石销售协议，该矿山开采过程中产生的废石全部外运加工综合利用。</w:t>
      </w:r>
      <w:r>
        <w:rPr>
          <w:rFonts w:hint="eastAsia"/>
          <w:color w:val="auto"/>
          <w:lang w:val="en-US" w:eastAsia="zh-CN"/>
        </w:rPr>
        <w:t>矿山临时排岩场在历史遗留3号排岩场裸地上进行建设，</w:t>
      </w:r>
      <w:r>
        <w:rPr>
          <w:rFonts w:hint="default"/>
          <w:color w:val="auto"/>
        </w:rPr>
        <w:t>占地面积约0.374万m</w:t>
      </w:r>
      <w:r>
        <w:rPr>
          <w:rFonts w:hint="default"/>
          <w:color w:val="auto"/>
          <w:vertAlign w:val="superscript"/>
        </w:rPr>
        <w:t>2</w:t>
      </w:r>
      <w:r>
        <w:rPr>
          <w:rFonts w:hint="default"/>
          <w:color w:val="auto"/>
        </w:rPr>
        <w:t>，总容积3.34万m³</w:t>
      </w:r>
      <w:r>
        <w:rPr>
          <w:rFonts w:hint="eastAsia"/>
          <w:color w:val="auto"/>
          <w:lang w:eastAsia="zh-CN"/>
        </w:rPr>
        <w:t>，</w:t>
      </w:r>
      <w:r>
        <w:rPr>
          <w:rFonts w:hint="eastAsia"/>
          <w:color w:val="auto"/>
          <w:lang w:val="en-US" w:eastAsia="zh-CN"/>
        </w:rPr>
        <w:t>可满足采场临时废石堆存需求。</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②</w:t>
      </w:r>
      <w:r>
        <w:rPr>
          <w:rFonts w:hint="default" w:ascii="Times New Roman" w:hAnsi="Times New Roman" w:eastAsia="宋体" w:cs="Times New Roman"/>
          <w:color w:val="auto"/>
          <w:highlight w:val="none"/>
          <w:lang w:val="en-US" w:eastAsia="zh-CN"/>
        </w:rPr>
        <w:t>井下开采废石</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运营期井下掘进产生废石量为0.56万t/a，根据《矿产资源开发利用方案》井下废石采用</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掘巷采矿，逐巷充填</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同时循环作业的方法进行回填作业。井下开采废石全部回填不升井。</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废机油</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运输车队外委社会车辆，不在矿区内进行维修，项目矿区内矿车等设备</w:t>
      </w:r>
      <w:r>
        <w:rPr>
          <w:rFonts w:hint="default" w:ascii="Times New Roman" w:hAnsi="Times New Roman" w:eastAsia="宋体" w:cs="Times New Roman"/>
          <w:color w:val="auto"/>
          <w:highlight w:val="none"/>
        </w:rPr>
        <w:t>产生</w:t>
      </w:r>
      <w:r>
        <w:rPr>
          <w:rFonts w:hint="default" w:ascii="Times New Roman" w:hAnsi="Times New Roman" w:eastAsia="宋体" w:cs="Times New Roman"/>
          <w:color w:val="auto"/>
          <w:highlight w:val="none"/>
          <w:lang w:val="en-US" w:eastAsia="zh-CN"/>
        </w:rPr>
        <w:t>少了少量废机油，产生量</w:t>
      </w:r>
      <w:r>
        <w:rPr>
          <w:rFonts w:hint="default" w:ascii="Times New Roman" w:hAnsi="Times New Roman" w:eastAsia="宋体" w:cs="Times New Roman"/>
          <w:color w:val="auto"/>
          <w:highlight w:val="none"/>
        </w:rPr>
        <w:t>为</w:t>
      </w:r>
      <w:r>
        <w:rPr>
          <w:rFonts w:hint="default" w:ascii="Times New Roman" w:hAnsi="Times New Roman" w:eastAsia="宋体" w:cs="Times New Roman"/>
          <w:color w:val="auto"/>
          <w:highlight w:val="none"/>
          <w:lang w:val="en-US" w:eastAsia="zh-CN"/>
        </w:rPr>
        <w:t>0.1</w:t>
      </w:r>
      <w:r>
        <w:rPr>
          <w:rFonts w:hint="default" w:ascii="Times New Roman" w:hAnsi="Times New Roman" w:eastAsia="宋体" w:cs="Times New Roman"/>
          <w:color w:val="auto"/>
          <w:highlight w:val="none"/>
        </w:rPr>
        <w:t>t/a。废机油属于《国家危险废物名录》（2016年）所列</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HW08废矿物油与含矿物油废物</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，为危险废物，废物代码为900-214-08。在矿山设置危险废物暂存间一座（有标识、防渗），并委托具有专业资质的危险废物处理单位进行转移和处理。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矿区</w:t>
      </w:r>
      <w:r>
        <w:rPr>
          <w:rFonts w:hint="default" w:ascii="Times New Roman" w:hAnsi="Times New Roman" w:eastAsia="宋体" w:cs="Times New Roman"/>
          <w:color w:val="auto"/>
          <w:highlight w:val="none"/>
          <w:lang w:eastAsia="zh-CN"/>
        </w:rPr>
        <w:t>新增</w:t>
      </w:r>
      <w:r>
        <w:rPr>
          <w:rFonts w:hint="default" w:ascii="Times New Roman" w:hAnsi="Times New Roman" w:eastAsia="宋体" w:cs="Times New Roman"/>
          <w:color w:val="auto"/>
          <w:highlight w:val="none"/>
        </w:rPr>
        <w:t>劳动定员</w:t>
      </w:r>
      <w:r>
        <w:rPr>
          <w:rFonts w:hint="default" w:ascii="Times New Roman" w:hAnsi="Times New Roman" w:eastAsia="宋体" w:cs="Times New Roman"/>
          <w:color w:val="auto"/>
          <w:highlight w:val="none"/>
          <w:lang w:val="en-US" w:eastAsia="zh-CN"/>
        </w:rPr>
        <w:t>110</w:t>
      </w:r>
      <w:r>
        <w:rPr>
          <w:rFonts w:hint="default" w:ascii="Times New Roman" w:hAnsi="Times New Roman" w:eastAsia="宋体" w:cs="Times New Roman"/>
          <w:color w:val="auto"/>
          <w:highlight w:val="none"/>
        </w:rPr>
        <w:t>人，生活垃圾按0.5kg/人•d计，则生活垃圾产生量为</w:t>
      </w:r>
      <w:r>
        <w:rPr>
          <w:rFonts w:hint="default" w:ascii="Times New Roman" w:hAnsi="Times New Roman" w:eastAsia="宋体" w:cs="Times New Roman"/>
          <w:color w:val="auto"/>
          <w:highlight w:val="none"/>
          <w:lang w:val="en-US" w:eastAsia="zh-CN"/>
        </w:rPr>
        <w:t>55</w:t>
      </w:r>
      <w:r>
        <w:rPr>
          <w:rFonts w:hint="default" w:ascii="Times New Roman" w:hAnsi="Times New Roman" w:eastAsia="宋体" w:cs="Times New Roman"/>
          <w:color w:val="auto"/>
          <w:highlight w:val="none"/>
        </w:rPr>
        <w:t>kg/d，</w:t>
      </w:r>
      <w:r>
        <w:rPr>
          <w:rFonts w:hint="default" w:ascii="Times New Roman" w:hAnsi="Times New Roman" w:eastAsia="宋体" w:cs="Times New Roman"/>
          <w:color w:val="auto"/>
          <w:highlight w:val="none"/>
          <w:lang w:val="en-US" w:eastAsia="zh-CN"/>
        </w:rPr>
        <w:t>16.5</w:t>
      </w:r>
      <w:r>
        <w:rPr>
          <w:rFonts w:hint="default" w:ascii="Times New Roman" w:hAnsi="Times New Roman" w:eastAsia="宋体" w:cs="Times New Roman"/>
          <w:color w:val="auto"/>
          <w:highlight w:val="none"/>
        </w:rPr>
        <w:t>t/a。在</w:t>
      </w:r>
      <w:r>
        <w:rPr>
          <w:rFonts w:hint="default" w:ascii="Times New Roman" w:hAnsi="Times New Roman" w:eastAsia="宋体" w:cs="Times New Roman"/>
          <w:color w:val="auto"/>
          <w:highlight w:val="none"/>
          <w:lang w:eastAsia="zh-CN"/>
        </w:rPr>
        <w:t>矿</w:t>
      </w:r>
      <w:r>
        <w:rPr>
          <w:rFonts w:hint="default" w:ascii="Times New Roman" w:hAnsi="Times New Roman" w:eastAsia="宋体" w:cs="Times New Roman"/>
          <w:color w:val="auto"/>
          <w:highlight w:val="none"/>
        </w:rPr>
        <w:t>区设置垃圾集中收集点，由环卫部门统一</w:t>
      </w:r>
      <w:r>
        <w:rPr>
          <w:rFonts w:hint="default" w:ascii="Times New Roman" w:hAnsi="Times New Roman" w:eastAsia="宋体" w:cs="Times New Roman"/>
          <w:color w:val="auto"/>
          <w:highlight w:val="none"/>
          <w:lang w:eastAsia="zh-CN"/>
        </w:rPr>
        <w:t>清运</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本项目固体废物产生量及处置情况见下表</w:t>
      </w:r>
      <w:r>
        <w:rPr>
          <w:rFonts w:hint="eastAsia" w:cs="Times New Roman"/>
          <w:color w:val="auto"/>
          <w:highlight w:val="none"/>
          <w:lang w:eastAsia="zh-CN"/>
        </w:rPr>
        <w:t>3.</w:t>
      </w:r>
      <w:r>
        <w:rPr>
          <w:rFonts w:hint="eastAsia" w:cs="Times New Roman"/>
          <w:color w:val="auto"/>
          <w:highlight w:val="none"/>
          <w:lang w:val="en-US" w:eastAsia="zh-CN"/>
        </w:rPr>
        <w:t>4</w:t>
      </w:r>
      <w:r>
        <w:rPr>
          <w:rFonts w:hint="eastAsia" w:cs="Times New Roman"/>
          <w:color w:val="auto"/>
          <w:highlight w:val="none"/>
          <w:lang w:eastAsia="zh-CN"/>
        </w:rPr>
        <w:t>-</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lang w:val="en-US" w:eastAsia="zh-CN"/>
        </w:rPr>
      </w:pPr>
      <w:r>
        <w:rPr>
          <w:rFonts w:hint="default" w:ascii="Times New Roman" w:hAnsi="Times New Roman" w:eastAsia="宋体" w:cs="Times New Roman"/>
          <w:b/>
          <w:bCs/>
          <w:color w:val="auto"/>
          <w:sz w:val="21"/>
          <w:highlight w:val="none"/>
        </w:rPr>
        <w:t>表</w:t>
      </w:r>
      <w:r>
        <w:rPr>
          <w:rFonts w:hint="eastAsia" w:cs="Times New Roman"/>
          <w:b/>
          <w:bCs/>
          <w:color w:val="auto"/>
          <w:sz w:val="21"/>
          <w:highlight w:val="none"/>
          <w:lang w:eastAsia="zh-CN"/>
        </w:rPr>
        <w:t>3.</w:t>
      </w:r>
      <w:r>
        <w:rPr>
          <w:rFonts w:hint="eastAsia" w:cs="Times New Roman"/>
          <w:b/>
          <w:bCs/>
          <w:color w:val="auto"/>
          <w:sz w:val="21"/>
          <w:highlight w:val="none"/>
          <w:lang w:val="en-US" w:eastAsia="zh-CN"/>
        </w:rPr>
        <w:t>4</w:t>
      </w:r>
      <w:r>
        <w:rPr>
          <w:rFonts w:hint="eastAsia" w:cs="Times New Roman"/>
          <w:b/>
          <w:bCs/>
          <w:color w:val="auto"/>
          <w:sz w:val="21"/>
          <w:highlight w:val="none"/>
          <w:lang w:eastAsia="zh-CN"/>
        </w:rPr>
        <w:t>-</w:t>
      </w:r>
      <w:r>
        <w:rPr>
          <w:rFonts w:hint="eastAsia" w:cs="Times New Roman"/>
          <w:b/>
          <w:bCs/>
          <w:color w:val="auto"/>
          <w:sz w:val="21"/>
          <w:highlight w:val="none"/>
          <w:lang w:val="en-US" w:eastAsia="zh-CN"/>
        </w:rPr>
        <w:t>5</w:t>
      </w:r>
      <w:r>
        <w:rPr>
          <w:rFonts w:hint="default" w:ascii="Times New Roman" w:hAnsi="Times New Roman" w:eastAsia="宋体" w:cs="Times New Roman"/>
          <w:b/>
          <w:bCs/>
          <w:color w:val="auto"/>
          <w:sz w:val="21"/>
          <w:highlight w:val="none"/>
          <w:lang w:val="en-US" w:eastAsia="zh-CN"/>
        </w:rPr>
        <w:t xml:space="preserve">    </w:t>
      </w:r>
      <w:r>
        <w:rPr>
          <w:rFonts w:hint="default" w:ascii="Times New Roman" w:hAnsi="Times New Roman" w:eastAsia="宋体" w:cs="Times New Roman"/>
          <w:b/>
          <w:bCs/>
          <w:color w:val="auto"/>
          <w:sz w:val="21"/>
          <w:highlight w:val="none"/>
        </w:rPr>
        <w:t xml:space="preserve"> </w:t>
      </w:r>
      <w:r>
        <w:rPr>
          <w:rFonts w:hint="default" w:ascii="Times New Roman" w:hAnsi="Times New Roman" w:eastAsia="宋体" w:cs="Times New Roman"/>
          <w:b/>
          <w:bCs/>
          <w:color w:val="auto"/>
          <w:sz w:val="21"/>
          <w:highlight w:val="none"/>
          <w:lang w:eastAsia="zh-CN"/>
        </w:rPr>
        <w:t>本</w:t>
      </w:r>
      <w:r>
        <w:rPr>
          <w:rFonts w:hint="default" w:ascii="Times New Roman" w:hAnsi="Times New Roman" w:eastAsia="宋体" w:cs="Times New Roman"/>
          <w:b/>
          <w:bCs/>
          <w:color w:val="auto"/>
          <w:sz w:val="21"/>
          <w:highlight w:val="none"/>
        </w:rPr>
        <w:t>项目固体废物产生情况</w:t>
      </w:r>
      <w:r>
        <w:rPr>
          <w:rFonts w:hint="default" w:ascii="Times New Roman" w:hAnsi="Times New Roman" w:eastAsia="宋体" w:cs="Times New Roman"/>
          <w:b/>
          <w:bCs/>
          <w:color w:val="auto"/>
          <w:sz w:val="21"/>
          <w:highlight w:val="none"/>
          <w:lang w:val="en-US" w:eastAsia="zh-CN"/>
        </w:rPr>
        <w:t xml:space="preserve">  </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2"/>
        <w:gridCol w:w="950"/>
        <w:gridCol w:w="902"/>
        <w:gridCol w:w="883"/>
        <w:gridCol w:w="1100"/>
        <w:gridCol w:w="2725"/>
        <w:gridCol w:w="880"/>
        <w:gridCol w:w="13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序号</w:t>
            </w:r>
          </w:p>
        </w:tc>
        <w:tc>
          <w:tcPr>
            <w:tcW w:w="1852" w:type="dxa"/>
            <w:gridSpan w:val="2"/>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污染物种类</w:t>
            </w:r>
          </w:p>
        </w:tc>
        <w:tc>
          <w:tcPr>
            <w:tcW w:w="883" w:type="dxa"/>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污染源特征</w:t>
            </w:r>
          </w:p>
        </w:tc>
        <w:tc>
          <w:tcPr>
            <w:tcW w:w="1100" w:type="dxa"/>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原始产生量</w:t>
            </w:r>
          </w:p>
        </w:tc>
        <w:tc>
          <w:tcPr>
            <w:tcW w:w="2725" w:type="dxa"/>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污染处置措施</w:t>
            </w:r>
          </w:p>
        </w:tc>
        <w:tc>
          <w:tcPr>
            <w:tcW w:w="880" w:type="dxa"/>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处理后排放量</w:t>
            </w:r>
          </w:p>
        </w:tc>
        <w:tc>
          <w:tcPr>
            <w:tcW w:w="1344" w:type="dxa"/>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95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污染源</w:t>
            </w:r>
          </w:p>
        </w:tc>
        <w:tc>
          <w:tcPr>
            <w:tcW w:w="90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w:t>
            </w:r>
          </w:p>
        </w:tc>
        <w:tc>
          <w:tcPr>
            <w:tcW w:w="883"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100"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2725"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80"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344"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w:t>
            </w:r>
          </w:p>
        </w:tc>
        <w:tc>
          <w:tcPr>
            <w:tcW w:w="95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露天开采废石</w:t>
            </w:r>
          </w:p>
        </w:tc>
        <w:tc>
          <w:tcPr>
            <w:tcW w:w="90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开采废石</w:t>
            </w:r>
          </w:p>
        </w:tc>
        <w:tc>
          <w:tcPr>
            <w:tcW w:w="883" w:type="dxa"/>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第Ⅰ类一般工业固体废物</w:t>
            </w:r>
          </w:p>
        </w:tc>
        <w:tc>
          <w:tcPr>
            <w:tcW w:w="110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20.14万t/a</w:t>
            </w:r>
          </w:p>
        </w:tc>
        <w:tc>
          <w:tcPr>
            <w:tcW w:w="2725"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运至临时排岩场，修筑道路及平整工业场地，外售给岫岩满族自治县鑫祥通运输有限公司</w:t>
            </w:r>
          </w:p>
        </w:tc>
        <w:tc>
          <w:tcPr>
            <w:tcW w:w="88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p>
        </w:tc>
        <w:tc>
          <w:tcPr>
            <w:tcW w:w="1344"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w:t>
            </w:r>
          </w:p>
        </w:tc>
        <w:tc>
          <w:tcPr>
            <w:tcW w:w="95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井下开采废石</w:t>
            </w:r>
          </w:p>
        </w:tc>
        <w:tc>
          <w:tcPr>
            <w:tcW w:w="90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开采废石</w:t>
            </w:r>
          </w:p>
        </w:tc>
        <w:tc>
          <w:tcPr>
            <w:tcW w:w="883"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10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0.56万t/a</w:t>
            </w:r>
          </w:p>
        </w:tc>
        <w:tc>
          <w:tcPr>
            <w:tcW w:w="2725"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全部回填废弃巷道，不出井</w:t>
            </w:r>
          </w:p>
        </w:tc>
        <w:tc>
          <w:tcPr>
            <w:tcW w:w="88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4"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回填井下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w:t>
            </w:r>
          </w:p>
        </w:tc>
        <w:tc>
          <w:tcPr>
            <w:tcW w:w="95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车辆和机械设备维修</w:t>
            </w:r>
          </w:p>
        </w:tc>
        <w:tc>
          <w:tcPr>
            <w:tcW w:w="90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废机油</w:t>
            </w:r>
          </w:p>
        </w:tc>
        <w:tc>
          <w:tcPr>
            <w:tcW w:w="883"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危险废物</w:t>
            </w:r>
          </w:p>
        </w:tc>
        <w:tc>
          <w:tcPr>
            <w:tcW w:w="110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0.1</w:t>
            </w:r>
            <w:r>
              <w:rPr>
                <w:rFonts w:hint="default" w:ascii="Times New Roman" w:hAnsi="Times New Roman" w:eastAsia="宋体" w:cs="Times New Roman"/>
                <w:color w:val="auto"/>
                <w:highlight w:val="none"/>
              </w:rPr>
              <w:t>t/a</w:t>
            </w:r>
          </w:p>
        </w:tc>
        <w:tc>
          <w:tcPr>
            <w:tcW w:w="2725"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4"/>
                <w:highlight w:val="none"/>
              </w:rPr>
              <w:t>暂存于危废暂存间内</w:t>
            </w:r>
          </w:p>
        </w:tc>
        <w:tc>
          <w:tcPr>
            <w:tcW w:w="88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4"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送有危险废物处理资质的单位处理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w:t>
            </w:r>
          </w:p>
        </w:tc>
        <w:tc>
          <w:tcPr>
            <w:tcW w:w="95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员工生活</w:t>
            </w:r>
          </w:p>
        </w:tc>
        <w:tc>
          <w:tcPr>
            <w:tcW w:w="90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生活垃圾</w:t>
            </w:r>
          </w:p>
        </w:tc>
        <w:tc>
          <w:tcPr>
            <w:tcW w:w="883"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生活垃圾</w:t>
            </w:r>
          </w:p>
        </w:tc>
        <w:tc>
          <w:tcPr>
            <w:tcW w:w="110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16.5</w:t>
            </w:r>
            <w:r>
              <w:rPr>
                <w:rFonts w:hint="default" w:ascii="Times New Roman" w:hAnsi="Times New Roman" w:eastAsia="宋体" w:cs="Times New Roman"/>
                <w:color w:val="auto"/>
                <w:highlight w:val="none"/>
              </w:rPr>
              <w:t>t/a</w:t>
            </w:r>
          </w:p>
        </w:tc>
        <w:tc>
          <w:tcPr>
            <w:tcW w:w="2725"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由环卫部门处理</w:t>
            </w:r>
          </w:p>
        </w:tc>
        <w:tc>
          <w:tcPr>
            <w:tcW w:w="880"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4"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填埋处理</w:t>
            </w:r>
          </w:p>
        </w:tc>
      </w:tr>
    </w:tbl>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本项目所产生的固体废物综合利用或妥善处置，不外排。</w:t>
      </w:r>
    </w:p>
    <w:p>
      <w:pPr>
        <w:pStyle w:val="5"/>
        <w:bidi w:val="0"/>
        <w:rPr>
          <w:rFonts w:hint="default"/>
          <w:color w:val="auto"/>
          <w:lang w:val="en-US" w:eastAsia="zh-CN"/>
        </w:rPr>
      </w:pPr>
      <w:r>
        <w:rPr>
          <w:rFonts w:hint="default"/>
          <w:color w:val="auto"/>
          <w:lang w:val="en-US" w:eastAsia="zh-CN"/>
        </w:rPr>
        <w:t>污染源强汇总</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本项目属扩建项目，扩建完成后全矿区污染物</w:t>
      </w:r>
      <w:r>
        <w:rPr>
          <w:rFonts w:hint="eastAsia" w:cs="Times New Roman"/>
          <w:color w:val="auto"/>
          <w:highlight w:val="none"/>
          <w:lang w:val="en-US" w:eastAsia="zh-CN"/>
        </w:rPr>
        <w:t>汇总</w:t>
      </w:r>
      <w:r>
        <w:rPr>
          <w:rFonts w:hint="default" w:ascii="Times New Roman" w:hAnsi="Times New Roman" w:eastAsia="宋体" w:cs="Times New Roman"/>
          <w:color w:val="auto"/>
          <w:highlight w:val="none"/>
          <w:lang w:val="en-US" w:eastAsia="zh-CN"/>
        </w:rPr>
        <w:t>见表</w:t>
      </w:r>
      <w:r>
        <w:rPr>
          <w:rFonts w:hint="eastAsia" w:cs="Times New Roman"/>
          <w:color w:val="auto"/>
          <w:highlight w:val="none"/>
          <w:lang w:val="en-US" w:eastAsia="zh-CN"/>
        </w:rPr>
        <w:t>3.4-6</w:t>
      </w:r>
      <w:r>
        <w:rPr>
          <w:rFonts w:hint="default" w:ascii="Times New Roman" w:hAnsi="Times New Roman" w:eastAsia="宋体"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lang w:val="en-US" w:eastAsia="zh-CN"/>
        </w:rPr>
      </w:pPr>
      <w:r>
        <w:rPr>
          <w:rFonts w:hint="default" w:ascii="Times New Roman" w:hAnsi="Times New Roman" w:eastAsia="宋体" w:cs="Times New Roman"/>
          <w:b/>
          <w:bCs/>
          <w:color w:val="auto"/>
          <w:sz w:val="21"/>
          <w:highlight w:val="none"/>
        </w:rPr>
        <w:t>表</w:t>
      </w:r>
      <w:r>
        <w:rPr>
          <w:rFonts w:hint="eastAsia" w:cs="Times New Roman"/>
          <w:b/>
          <w:bCs/>
          <w:color w:val="auto"/>
          <w:sz w:val="21"/>
          <w:highlight w:val="none"/>
          <w:lang w:eastAsia="zh-CN"/>
        </w:rPr>
        <w:t>3.</w:t>
      </w:r>
      <w:r>
        <w:rPr>
          <w:rFonts w:hint="eastAsia" w:cs="Times New Roman"/>
          <w:b/>
          <w:bCs/>
          <w:color w:val="auto"/>
          <w:sz w:val="21"/>
          <w:highlight w:val="none"/>
          <w:lang w:val="en-US" w:eastAsia="zh-CN"/>
        </w:rPr>
        <w:t>4</w:t>
      </w:r>
      <w:r>
        <w:rPr>
          <w:rFonts w:hint="eastAsia" w:cs="Times New Roman"/>
          <w:b/>
          <w:bCs/>
          <w:color w:val="auto"/>
          <w:sz w:val="21"/>
          <w:highlight w:val="none"/>
          <w:lang w:eastAsia="zh-CN"/>
        </w:rPr>
        <w:t>-</w:t>
      </w:r>
      <w:r>
        <w:rPr>
          <w:rFonts w:hint="eastAsia" w:cs="Times New Roman"/>
          <w:b/>
          <w:bCs/>
          <w:color w:val="auto"/>
          <w:sz w:val="21"/>
          <w:highlight w:val="none"/>
          <w:lang w:val="en-US" w:eastAsia="zh-CN"/>
        </w:rPr>
        <w:t>6</w:t>
      </w:r>
      <w:r>
        <w:rPr>
          <w:rFonts w:hint="default" w:ascii="Times New Roman" w:hAnsi="Times New Roman" w:eastAsia="宋体" w:cs="Times New Roman"/>
          <w:b/>
          <w:bCs/>
          <w:color w:val="auto"/>
          <w:sz w:val="21"/>
          <w:highlight w:val="none"/>
          <w:lang w:val="en-US" w:eastAsia="zh-CN"/>
        </w:rPr>
        <w:t>建设项目</w:t>
      </w:r>
      <w:r>
        <w:rPr>
          <w:rFonts w:hint="default" w:ascii="Times New Roman" w:hAnsi="Times New Roman" w:eastAsia="宋体" w:cs="Times New Roman"/>
          <w:b/>
          <w:bCs/>
          <w:color w:val="auto"/>
          <w:sz w:val="21"/>
          <w:highlight w:val="none"/>
        </w:rPr>
        <w:t>污染物排放情况汇总</w:t>
      </w:r>
      <w:r>
        <w:rPr>
          <w:rFonts w:hint="default" w:ascii="Times New Roman" w:hAnsi="Times New Roman" w:eastAsia="宋体" w:cs="Times New Roman"/>
          <w:b/>
          <w:bCs/>
          <w:color w:val="auto"/>
          <w:sz w:val="21"/>
          <w:highlight w:val="none"/>
          <w:lang w:eastAsia="zh-CN"/>
        </w:rPr>
        <w:t>一览</w:t>
      </w:r>
      <w:r>
        <w:rPr>
          <w:rFonts w:hint="default" w:ascii="Times New Roman" w:hAnsi="Times New Roman" w:eastAsia="宋体" w:cs="Times New Roman"/>
          <w:b/>
          <w:bCs/>
          <w:color w:val="auto"/>
          <w:sz w:val="21"/>
          <w:highlight w:val="none"/>
        </w:rPr>
        <w:t>表</w:t>
      </w:r>
      <w:r>
        <w:rPr>
          <w:rFonts w:hint="default" w:ascii="Times New Roman" w:hAnsi="Times New Roman" w:eastAsia="宋体" w:cs="Times New Roman"/>
          <w:b/>
          <w:bCs/>
          <w:color w:val="auto"/>
          <w:sz w:val="21"/>
          <w:highlight w:val="none"/>
          <w:lang w:val="en-US" w:eastAsia="zh-CN"/>
        </w:rPr>
        <w:t xml:space="preserve">    单位：t/a</w:t>
      </w:r>
    </w:p>
    <w:tbl>
      <w:tblPr>
        <w:tblStyle w:val="45"/>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964"/>
        <w:gridCol w:w="1666"/>
        <w:gridCol w:w="1147"/>
        <w:gridCol w:w="846"/>
        <w:gridCol w:w="892"/>
        <w:gridCol w:w="848"/>
        <w:gridCol w:w="24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15"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类别</w:t>
            </w:r>
          </w:p>
        </w:tc>
        <w:tc>
          <w:tcPr>
            <w:tcW w:w="522"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污染因子</w:t>
            </w:r>
          </w:p>
        </w:tc>
        <w:tc>
          <w:tcPr>
            <w:tcW w:w="900"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污染来源</w:t>
            </w:r>
          </w:p>
        </w:tc>
        <w:tc>
          <w:tcPr>
            <w:tcW w:w="619"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产生位置</w:t>
            </w:r>
          </w:p>
        </w:tc>
        <w:tc>
          <w:tcPr>
            <w:tcW w:w="1395" w:type="pct"/>
            <w:gridSpan w:val="3"/>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本项目</w:t>
            </w:r>
          </w:p>
        </w:tc>
        <w:tc>
          <w:tcPr>
            <w:tcW w:w="1346"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900"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619"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产生量</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削减量</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排放量</w:t>
            </w:r>
          </w:p>
        </w:tc>
        <w:tc>
          <w:tcPr>
            <w:tcW w:w="1346"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废气</w:t>
            </w:r>
          </w:p>
        </w:tc>
        <w:tc>
          <w:tcPr>
            <w:tcW w:w="522"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粉尘</w:t>
            </w: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露天一开采</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露天一采场</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0.71</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0.568</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0.142</w:t>
            </w:r>
          </w:p>
        </w:tc>
        <w:tc>
          <w:tcPr>
            <w:tcW w:w="1346"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无组织排入环境空气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露天二开采</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露天二采场</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0.71</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0.568</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0.142</w:t>
            </w:r>
          </w:p>
        </w:tc>
        <w:tc>
          <w:tcPr>
            <w:tcW w:w="1346"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地下开采</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地下采场</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0.57</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0.456</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0.114</w:t>
            </w:r>
          </w:p>
        </w:tc>
        <w:tc>
          <w:tcPr>
            <w:tcW w:w="1346"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临时排岩场</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临时排岩场</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2.041</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1.638</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0.403</w:t>
            </w:r>
          </w:p>
        </w:tc>
        <w:tc>
          <w:tcPr>
            <w:tcW w:w="1346"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道路运输</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道路</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13.74</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10.992</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2.748</w:t>
            </w:r>
          </w:p>
        </w:tc>
        <w:tc>
          <w:tcPr>
            <w:tcW w:w="1346"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520" w:type="pct"/>
            <w:gridSpan w:val="2"/>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无组织排放小计</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17.771</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14.222</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3.549</w:t>
            </w:r>
          </w:p>
        </w:tc>
        <w:tc>
          <w:tcPr>
            <w:tcW w:w="1346"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废水</w:t>
            </w:r>
          </w:p>
        </w:tc>
        <w:tc>
          <w:tcPr>
            <w:tcW w:w="52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生活污水</w:t>
            </w: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员工生活</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员工</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1650</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1650</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定期清淘后作为农肥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矿井涌水</w:t>
            </w: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地下开采</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井下</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36000</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36000</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全部回用不外排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固体废物</w:t>
            </w:r>
          </w:p>
        </w:tc>
        <w:tc>
          <w:tcPr>
            <w:tcW w:w="52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废石</w:t>
            </w: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露天采场剥离</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采场</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201400</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201400</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运至临时排岩场</w:t>
            </w:r>
            <w:r>
              <w:rPr>
                <w:rFonts w:hint="eastAsia"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外售给岫岩满族自治县鑫祥通运输有限公司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废石</w:t>
            </w: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井下开采废石</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采场</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5600</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5600</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回填井下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废机油</w:t>
            </w: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车辆和机械设备维修</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工业场地</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送</w:t>
            </w:r>
            <w:r>
              <w:rPr>
                <w:rFonts w:hint="default" w:ascii="Times New Roman" w:hAnsi="Times New Roman" w:eastAsia="宋体" w:cs="Times New Roman"/>
                <w:color w:val="auto"/>
                <w:sz w:val="21"/>
                <w:szCs w:val="21"/>
                <w:highlight w:val="none"/>
              </w:rPr>
              <w:t>有危废资质单位处理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5"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522"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生活垃圾</w:t>
            </w:r>
          </w:p>
        </w:tc>
        <w:tc>
          <w:tcPr>
            <w:tcW w:w="900"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生活办公</w:t>
            </w:r>
          </w:p>
        </w:tc>
        <w:tc>
          <w:tcPr>
            <w:tcW w:w="619"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生活区</w:t>
            </w:r>
          </w:p>
        </w:tc>
        <w:tc>
          <w:tcPr>
            <w:tcW w:w="45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16.5</w:t>
            </w:r>
          </w:p>
        </w:tc>
        <w:tc>
          <w:tcPr>
            <w:tcW w:w="48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16.5</w:t>
            </w:r>
          </w:p>
        </w:tc>
        <w:tc>
          <w:tcPr>
            <w:tcW w:w="458"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46"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环卫清运</w:t>
            </w:r>
          </w:p>
        </w:tc>
      </w:tr>
    </w:tbl>
    <w:p>
      <w:pPr>
        <w:pStyle w:val="4"/>
        <w:bidi w:val="0"/>
        <w:rPr>
          <w:rFonts w:hint="default"/>
          <w:color w:val="auto"/>
        </w:rPr>
      </w:pPr>
      <w:bookmarkStart w:id="250" w:name="_Toc13609"/>
      <w:r>
        <w:rPr>
          <w:rFonts w:hint="default"/>
          <w:color w:val="auto"/>
        </w:rPr>
        <w:t>项目污染物</w:t>
      </w:r>
      <w:r>
        <w:rPr>
          <w:rFonts w:hint="eastAsia"/>
          <w:color w:val="auto"/>
          <w:lang w:eastAsia="zh-CN"/>
        </w:rPr>
        <w:t>“</w:t>
      </w:r>
      <w:r>
        <w:rPr>
          <w:rFonts w:hint="default"/>
          <w:color w:val="auto"/>
        </w:rPr>
        <w:t>三本帐</w:t>
      </w:r>
      <w:r>
        <w:rPr>
          <w:rFonts w:hint="eastAsia"/>
          <w:color w:val="auto"/>
          <w:lang w:eastAsia="zh-CN"/>
        </w:rPr>
        <w:t>”</w:t>
      </w:r>
      <w:r>
        <w:rPr>
          <w:rFonts w:hint="default"/>
          <w:color w:val="auto"/>
        </w:rPr>
        <w:t>分析</w:t>
      </w:r>
      <w:bookmarkEnd w:id="250"/>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本项目属扩建项目，扩建完成后全矿区污染物排放</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三本账</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见表</w:t>
      </w:r>
      <w:r>
        <w:rPr>
          <w:rFonts w:hint="eastAsia" w:cs="Times New Roman"/>
          <w:color w:val="auto"/>
          <w:highlight w:val="none"/>
          <w:lang w:val="en-US" w:eastAsia="zh-CN"/>
        </w:rPr>
        <w:t>3.5-1</w:t>
      </w:r>
      <w:r>
        <w:rPr>
          <w:rFonts w:hint="default" w:ascii="Times New Roman" w:hAnsi="Times New Roman" w:eastAsia="宋体" w:cs="Times New Roman"/>
          <w:color w:val="auto"/>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lang w:val="en-US" w:eastAsia="zh-CN"/>
        </w:rPr>
      </w:pPr>
      <w:r>
        <w:rPr>
          <w:rFonts w:hint="default" w:ascii="Times New Roman" w:hAnsi="Times New Roman" w:eastAsia="宋体" w:cs="Times New Roman"/>
          <w:b/>
          <w:bCs/>
          <w:color w:val="auto"/>
          <w:sz w:val="21"/>
          <w:highlight w:val="none"/>
        </w:rPr>
        <w:t>表3.</w:t>
      </w:r>
      <w:r>
        <w:rPr>
          <w:rFonts w:hint="eastAsia" w:cs="Times New Roman"/>
          <w:b/>
          <w:bCs/>
          <w:color w:val="auto"/>
          <w:sz w:val="21"/>
          <w:highlight w:val="none"/>
          <w:lang w:val="en-US" w:eastAsia="zh-CN"/>
        </w:rPr>
        <w:t>5</w:t>
      </w:r>
      <w:r>
        <w:rPr>
          <w:rFonts w:hint="default" w:ascii="Times New Roman" w:hAnsi="Times New Roman" w:eastAsia="宋体" w:cs="Times New Roman"/>
          <w:b/>
          <w:bCs/>
          <w:color w:val="auto"/>
          <w:sz w:val="21"/>
          <w:highlight w:val="none"/>
          <w:lang w:val="en-US" w:eastAsia="zh-CN"/>
        </w:rPr>
        <w:t>-</w:t>
      </w:r>
      <w:r>
        <w:rPr>
          <w:rFonts w:hint="eastAsia" w:cs="Times New Roman"/>
          <w:b/>
          <w:bCs/>
          <w:color w:val="auto"/>
          <w:sz w:val="21"/>
          <w:highlight w:val="none"/>
          <w:lang w:val="en-US" w:eastAsia="zh-CN"/>
        </w:rPr>
        <w:t>1</w:t>
      </w:r>
      <w:r>
        <w:rPr>
          <w:rFonts w:hint="eastAsia" w:ascii="Times New Roman" w:hAnsi="Times New Roman" w:eastAsia="宋体" w:cs="Times New Roman"/>
          <w:b/>
          <w:bCs/>
          <w:color w:val="auto"/>
          <w:sz w:val="21"/>
          <w:highlight w:val="none"/>
          <w:lang w:val="en-US" w:eastAsia="zh-CN"/>
        </w:rPr>
        <w:t xml:space="preserve"> </w:t>
      </w:r>
      <w:r>
        <w:rPr>
          <w:rFonts w:hint="default" w:ascii="Times New Roman" w:hAnsi="Times New Roman" w:eastAsia="宋体" w:cs="Times New Roman"/>
          <w:b/>
          <w:bCs/>
          <w:color w:val="auto"/>
          <w:sz w:val="21"/>
          <w:highlight w:val="none"/>
          <w:lang w:val="en-US" w:eastAsia="zh-CN"/>
        </w:rPr>
        <w:t>项目污染物</w:t>
      </w:r>
      <w:r>
        <w:rPr>
          <w:rFonts w:hint="eastAsia" w:cs="Times New Roman"/>
          <w:b/>
          <w:bCs/>
          <w:color w:val="auto"/>
          <w:sz w:val="21"/>
          <w:highlight w:val="none"/>
          <w:lang w:val="en-US" w:eastAsia="zh-CN"/>
        </w:rPr>
        <w:t>“</w:t>
      </w:r>
      <w:r>
        <w:rPr>
          <w:rFonts w:hint="default" w:ascii="Times New Roman" w:hAnsi="Times New Roman" w:eastAsia="宋体" w:cs="Times New Roman"/>
          <w:b/>
          <w:bCs/>
          <w:color w:val="auto"/>
          <w:sz w:val="21"/>
          <w:highlight w:val="none"/>
          <w:lang w:val="en-US" w:eastAsia="zh-CN"/>
        </w:rPr>
        <w:t>三本帐</w:t>
      </w:r>
      <w:r>
        <w:rPr>
          <w:rFonts w:hint="eastAsia" w:cs="Times New Roman"/>
          <w:b/>
          <w:bCs/>
          <w:color w:val="auto"/>
          <w:sz w:val="21"/>
          <w:highlight w:val="none"/>
          <w:lang w:val="en-US" w:eastAsia="zh-CN"/>
        </w:rPr>
        <w:t>”</w:t>
      </w:r>
      <w:r>
        <w:rPr>
          <w:rFonts w:hint="default" w:ascii="Times New Roman" w:hAnsi="Times New Roman" w:eastAsia="宋体" w:cs="Times New Roman"/>
          <w:b/>
          <w:bCs/>
          <w:color w:val="auto"/>
          <w:sz w:val="21"/>
          <w:highlight w:val="none"/>
          <w:lang w:val="en-US" w:eastAsia="zh-CN"/>
        </w:rPr>
        <w:t>一览表    单位：t/a</w:t>
      </w:r>
    </w:p>
    <w:tbl>
      <w:tblPr>
        <w:tblStyle w:val="45"/>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1098"/>
        <w:gridCol w:w="1682"/>
        <w:gridCol w:w="1388"/>
        <w:gridCol w:w="1388"/>
        <w:gridCol w:w="1388"/>
        <w:gridCol w:w="13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类别</w:t>
            </w:r>
          </w:p>
        </w:tc>
        <w:tc>
          <w:tcPr>
            <w:tcW w:w="109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污染因子</w:t>
            </w: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污染来源</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现有项目排放量</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以新带老削减</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扩建</w:t>
            </w:r>
            <w:r>
              <w:rPr>
                <w:rFonts w:hint="default" w:ascii="Times New Roman" w:hAnsi="Times New Roman" w:eastAsia="宋体" w:cs="Times New Roman"/>
                <w:snapToGrid/>
                <w:color w:val="auto"/>
                <w:kern w:val="2"/>
                <w:sz w:val="21"/>
                <w:szCs w:val="21"/>
                <w:highlight w:val="none"/>
                <w:lang w:val="en-US" w:eastAsia="zh-CN" w:bidi="ar-SA"/>
              </w:rPr>
              <w:t>后总排放量</w:t>
            </w:r>
          </w:p>
        </w:tc>
        <w:tc>
          <w:tcPr>
            <w:tcW w:w="1391" w:type="dxa"/>
            <w:tcBorders>
              <w:tl2br w:val="nil"/>
              <w:tr2bl w:val="nil"/>
            </w:tcBorders>
            <w:noWrap w:val="0"/>
            <w:vAlign w:val="center"/>
          </w:tcPr>
          <w:p>
            <w:pPr>
              <w:spacing w:beforeLines="0" w:afterLines="0"/>
              <w:ind w:left="0" w:leftChars="0" w:firstLine="0" w:firstLineChars="0"/>
              <w:jc w:val="left"/>
              <w:rPr>
                <w:rFonts w:hint="default" w:ascii="Times New Roman" w:hAnsi="Times New Roman" w:eastAsia="宋体" w:cs="Times New Roman"/>
                <w:snapToGrid/>
                <w:color w:val="auto"/>
                <w:kern w:val="2"/>
                <w:sz w:val="21"/>
                <w:szCs w:val="21"/>
                <w:highlight w:val="none"/>
                <w:lang w:val="en-US" w:eastAsia="zh-CN" w:bidi="ar-SA"/>
              </w:rPr>
            </w:pPr>
            <w:r>
              <w:rPr>
                <w:rFonts w:hint="eastAsia" w:ascii="宋体" w:hAnsi="宋体" w:eastAsia="宋体"/>
                <w:color w:val="auto"/>
                <w:sz w:val="21"/>
                <w:szCs w:val="24"/>
              </w:rPr>
              <w:t>增减量变化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废气</w:t>
            </w:r>
          </w:p>
        </w:tc>
        <w:tc>
          <w:tcPr>
            <w:tcW w:w="1098" w:type="dxa"/>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粉尘</w:t>
            </w: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露天开采</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r>
              <w:rPr>
                <w:rFonts w:hint="eastAsia" w:ascii="Times New Roman" w:hAnsi="Times New Roman" w:eastAsia="宋体" w:cs="Times New Roman"/>
                <w:snapToGrid/>
                <w:color w:val="auto"/>
                <w:kern w:val="2"/>
                <w:sz w:val="21"/>
                <w:szCs w:val="21"/>
                <w:highlight w:val="none"/>
                <w:lang w:val="en-US" w:eastAsia="zh-CN" w:bidi="ar-SA"/>
              </w:rPr>
              <w:t>284</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0.</w:t>
            </w:r>
            <w:r>
              <w:rPr>
                <w:rFonts w:hint="eastAsia" w:ascii="Times New Roman" w:hAnsi="Times New Roman" w:eastAsia="宋体" w:cs="Times New Roman"/>
                <w:snapToGrid/>
                <w:color w:val="auto"/>
                <w:kern w:val="2"/>
                <w:sz w:val="21"/>
                <w:szCs w:val="21"/>
                <w:highlight w:val="none"/>
                <w:lang w:val="en-US" w:eastAsia="zh-CN" w:bidi="ar-SA"/>
              </w:rPr>
              <w:t>284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098"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地下开采</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0.114</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0.114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098"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排岩场</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0.403</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0.403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098" w:type="dxa"/>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道路运输</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2.748</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w:t>
            </w:r>
            <w:r>
              <w:rPr>
                <w:rFonts w:hint="default" w:ascii="Times New Roman" w:hAnsi="Times New Roman" w:eastAsia="宋体" w:cs="Times New Roman"/>
                <w:snapToGrid/>
                <w:color w:val="auto"/>
                <w:kern w:val="2"/>
                <w:sz w:val="21"/>
                <w:szCs w:val="21"/>
                <w:highlight w:val="none"/>
                <w:lang w:val="en-US" w:eastAsia="zh-CN" w:bidi="ar-SA"/>
              </w:rPr>
              <w:t>2.748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废水</w:t>
            </w:r>
          </w:p>
        </w:tc>
        <w:tc>
          <w:tcPr>
            <w:tcW w:w="109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生活污水</w:t>
            </w: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员工生活</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09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矿井涌水</w:t>
            </w: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地下开采</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固体废物</w:t>
            </w:r>
          </w:p>
        </w:tc>
        <w:tc>
          <w:tcPr>
            <w:tcW w:w="109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废石</w:t>
            </w: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露天采场剥离</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09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废石</w:t>
            </w: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井下开采废石</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09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废机油</w:t>
            </w: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车辆和机械设备维修</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0" w:type="auto"/>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09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生活垃圾</w:t>
            </w:r>
          </w:p>
        </w:tc>
        <w:tc>
          <w:tcPr>
            <w:tcW w:w="1682"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生活办公</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88"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c>
          <w:tcPr>
            <w:tcW w:w="1391" w:type="dxa"/>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p>
        </w:tc>
      </w:tr>
    </w:tbl>
    <w:p>
      <w:pPr>
        <w:pStyle w:val="2"/>
        <w:ind w:left="0" w:leftChars="0" w:firstLine="0" w:firstLineChars="0"/>
        <w:rPr>
          <w:rFonts w:hint="default"/>
          <w:color w:val="auto"/>
        </w:rPr>
      </w:pPr>
    </w:p>
    <w:p>
      <w:pPr>
        <w:rPr>
          <w:rFonts w:hint="default"/>
          <w:color w:val="auto"/>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3"/>
        <w:bidi w:val="0"/>
        <w:rPr>
          <w:rFonts w:hint="default" w:ascii="Times New Roman" w:hAnsi="Times New Roman" w:eastAsia="宋体" w:cs="Times New Roman"/>
          <w:color w:val="auto"/>
          <w:highlight w:val="none"/>
        </w:rPr>
      </w:pPr>
      <w:bookmarkStart w:id="251" w:name="_Toc22258"/>
      <w:bookmarkStart w:id="252" w:name="_Toc15376189"/>
      <w:r>
        <w:rPr>
          <w:rFonts w:hint="default" w:ascii="Times New Roman" w:hAnsi="Times New Roman" w:eastAsia="宋体" w:cs="Times New Roman"/>
          <w:color w:val="auto"/>
          <w:highlight w:val="none"/>
        </w:rPr>
        <w:t>项目所在区域环境概况</w:t>
      </w:r>
      <w:bookmarkEnd w:id="156"/>
      <w:bookmarkEnd w:id="157"/>
      <w:bookmarkEnd w:id="158"/>
      <w:bookmarkEnd w:id="159"/>
      <w:bookmarkEnd w:id="160"/>
      <w:bookmarkEnd w:id="161"/>
      <w:bookmarkEnd w:id="162"/>
      <w:bookmarkEnd w:id="251"/>
      <w:bookmarkEnd w:id="252"/>
    </w:p>
    <w:p>
      <w:pPr>
        <w:pStyle w:val="4"/>
        <w:numPr>
          <w:ilvl w:val="1"/>
          <w:numId w:val="12"/>
        </w:numPr>
        <w:spacing w:before="120" w:after="120"/>
        <w:ind w:left="0" w:leftChars="0" w:firstLineChars="0"/>
        <w:rPr>
          <w:rFonts w:hint="default" w:ascii="Times New Roman" w:hAnsi="Times New Roman" w:eastAsia="宋体" w:cs="Times New Roman"/>
          <w:color w:val="auto"/>
          <w:highlight w:val="none"/>
        </w:rPr>
      </w:pPr>
      <w:bookmarkStart w:id="253" w:name="_Toc294020213"/>
      <w:bookmarkStart w:id="254" w:name="_Toc445968977"/>
      <w:bookmarkStart w:id="255" w:name="_Toc20896"/>
      <w:bookmarkStart w:id="256" w:name="_Toc456603785"/>
      <w:bookmarkStart w:id="257" w:name="_Toc325530068"/>
      <w:bookmarkStart w:id="258" w:name="_Toc15376190"/>
      <w:bookmarkStart w:id="259" w:name="_Toc206750130"/>
      <w:bookmarkStart w:id="260" w:name="_Toc515537844"/>
      <w:bookmarkStart w:id="261" w:name="_Toc322349421"/>
      <w:bookmarkStart w:id="262" w:name="_Toc303671410"/>
      <w:bookmarkStart w:id="263" w:name="_Toc303671537"/>
      <w:bookmarkStart w:id="264" w:name="_Toc377022552"/>
      <w:bookmarkStart w:id="265" w:name="_Toc305953239"/>
      <w:bookmarkStart w:id="266" w:name="_Toc395187015"/>
      <w:bookmarkStart w:id="267" w:name="_Toc368298911"/>
      <w:bookmarkStart w:id="268" w:name="_Toc316410300"/>
      <w:bookmarkStart w:id="269" w:name="_Toc450827034"/>
      <w:bookmarkStart w:id="270" w:name="_Toc277669531"/>
      <w:bookmarkStart w:id="271" w:name="_Toc319511273"/>
      <w:bookmarkStart w:id="272" w:name="_Toc368298819"/>
      <w:bookmarkStart w:id="273" w:name="_Toc369000236"/>
      <w:r>
        <w:rPr>
          <w:rFonts w:hint="default" w:ascii="Times New Roman" w:hAnsi="Times New Roman" w:eastAsia="宋体" w:cs="Times New Roman"/>
          <w:color w:val="auto"/>
          <w:highlight w:val="none"/>
        </w:rPr>
        <w:t>区域自然环境概况</w:t>
      </w:r>
      <w:bookmarkEnd w:id="253"/>
      <w:bookmarkEnd w:id="254"/>
      <w:bookmarkEnd w:id="255"/>
      <w:bookmarkEnd w:id="256"/>
      <w:bookmarkEnd w:id="257"/>
      <w:bookmarkEnd w:id="258"/>
      <w:bookmarkEnd w:id="259"/>
      <w:bookmarkEnd w:id="260"/>
      <w:bookmarkEnd w:id="261"/>
    </w:p>
    <w:p>
      <w:pPr>
        <w:pStyle w:val="5"/>
        <w:bidi w:val="0"/>
        <w:rPr>
          <w:rFonts w:hint="default" w:ascii="Times New Roman" w:hAnsi="Times New Roman" w:eastAsia="宋体" w:cs="Times New Roman"/>
          <w:color w:val="auto"/>
          <w:highlight w:val="none"/>
          <w:lang w:val="en-US" w:eastAsia="zh-CN"/>
        </w:rPr>
      </w:pPr>
      <w:bookmarkStart w:id="274" w:name="_Toc445968978"/>
      <w:r>
        <w:rPr>
          <w:rFonts w:hint="default" w:ascii="Times New Roman" w:hAnsi="Times New Roman" w:eastAsia="宋体" w:cs="Times New Roman"/>
          <w:color w:val="auto"/>
          <w:highlight w:val="none"/>
          <w:lang w:val="en-US" w:eastAsia="zh-CN"/>
        </w:rPr>
        <w:t>地形地貌</w:t>
      </w:r>
      <w:bookmarkEnd w:id="274"/>
    </w:p>
    <w:p>
      <w:pPr>
        <w:pStyle w:val="62"/>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本项目矿区山脉属于长白山山系千山山脉南部的支脉，属构造侵蚀中低山地貌，其走向为NWW-SEE，总体地势西高东低，坡度较大，一般在25º~35º，植被较发育。区内最高海拔891m，最低海拔480m，相对高差411m；</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rPr>
        <w:t>矿区范围内最高标高774.2m，最低标高为480m，相对高差294.2m。区内岩浆岩广泛发育，有岩体又有岩脉，约占基岩出露面积的50%以上。按侵入时代可分为古代和中生代三叠纪侵入岩。属构造剥蚀丘陵地形。</w:t>
      </w:r>
    </w:p>
    <w:p>
      <w:pPr>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drawing>
          <wp:inline distT="0" distB="0" distL="114300" distR="114300">
            <wp:extent cx="5273040" cy="2966085"/>
            <wp:effectExtent l="9525" t="9525" r="13335" b="15240"/>
            <wp:docPr id="224" name="图片 57" descr="0988b23b27a75eb11e4efaebdd3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7" descr="0988b23b27a75eb11e4efaebdd35353"/>
                    <pic:cNvPicPr>
                      <a:picLocks noChangeAspect="1"/>
                    </pic:cNvPicPr>
                  </pic:nvPicPr>
                  <pic:blipFill>
                    <a:blip r:embed="rId64"/>
                    <a:stretch>
                      <a:fillRect/>
                    </a:stretch>
                  </pic:blipFill>
                  <pic:spPr>
                    <a:xfrm>
                      <a:off x="0" y="0"/>
                      <a:ext cx="5273040" cy="2966085"/>
                    </a:xfrm>
                    <a:prstGeom prst="rect">
                      <a:avLst/>
                    </a:prstGeom>
                    <a:noFill/>
                    <a:ln>
                      <a:solidFill>
                        <a:schemeClr val="tx1"/>
                      </a:solidFill>
                    </a:ln>
                  </pic:spPr>
                </pic:pic>
              </a:graphicData>
            </a:graphic>
          </wp:inline>
        </w:drawing>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.1-1项目区域地形地貌景观</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地表水系</w:t>
      </w:r>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岫岩满族自治县境内水资源丰富，共有大小河流500多条，总长882公里，流域总面积4466平方公里，总</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"https://baike.baidu.com/item/%E8%90%BD%E5%B7%AE/1670173"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落差</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991.9米。矿区南侧流经一条</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属大洋河支流，正源在石灰窑乡太平岭下，侧源在新开岭。二源之水在刘家堡汇合，流向东北，经李家堡前梁家店、徐家堡，至小坎子与发源于大五道沟的同江峪河水汇合，水势渐大，迳向东流，经石灰窑、龙宝峪、汤池，至鸽子山前与哈达河水汇合，东流注入大洋河。流长44.7公里，流域面积229.93平方公里。</w:t>
      </w:r>
    </w:p>
    <w:p>
      <w:pPr>
        <w:pStyle w:val="5"/>
        <w:bidi w:val="0"/>
        <w:rPr>
          <w:rFonts w:hint="default" w:ascii="Times New Roman" w:hAnsi="Times New Roman" w:eastAsia="宋体" w:cs="Times New Roman"/>
          <w:color w:val="auto"/>
          <w:highlight w:val="none"/>
          <w:lang w:val="en-US" w:eastAsia="zh-CN"/>
        </w:rPr>
      </w:pPr>
      <w:bookmarkStart w:id="275" w:name="_Toc445968980"/>
      <w:r>
        <w:rPr>
          <w:rFonts w:hint="default" w:ascii="Times New Roman" w:hAnsi="Times New Roman" w:eastAsia="宋体" w:cs="Times New Roman"/>
          <w:color w:val="auto"/>
          <w:highlight w:val="none"/>
          <w:lang w:val="en-US" w:eastAsia="zh-CN"/>
        </w:rPr>
        <w:t>气候特征</w:t>
      </w:r>
      <w:bookmarkEnd w:id="275"/>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在地区属于北温带大陆季风性气候，四季分明。温度变化较大，年平均气温为7℃~8℃。最高气温为7~8月，最高平均气温25℃~27℃，最高气温35℃~37℃。最低气温为12月至翌年2月，年最低平均气温-8.9℃~-12.8℃，最高气温-28℃~-35.2℃。</w:t>
      </w:r>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多季风，每年9月至次年4月多为偏北或西北风，5~8月多为东南风。多年平均风速为2.4m/s。本区降雨量多集中在6~9月，暴雨多出现在7~8月，年平均降雨量800~1000mm，最多降雨量可达1248.1mm，最少降雨量为485mm，6~9月平均降雨量为602.2mm，占全年降雨量的74.65%。年平均水面蒸发量1225.3mm，年内分配以5～6月为最大，约占年蒸发量的29.8%。</w:t>
      </w:r>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本区降雪期为10月至次年4月，平均降雪期开始日为11月20日，平均积雪终止日期为3月27日，主要降雪和积雪期为12月至次年1月。</w:t>
      </w:r>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项目区气候特征见表</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.1-1。</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.1-1项目区气候特征表</w:t>
      </w:r>
    </w:p>
    <w:tbl>
      <w:tblPr>
        <w:tblStyle w:val="45"/>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88"/>
        <w:gridCol w:w="1152"/>
        <w:gridCol w:w="3598"/>
        <w:gridCol w:w="1527"/>
        <w:gridCol w:w="21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475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气象要素</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单位</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特征值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15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气温</w:t>
            </w:r>
          </w:p>
        </w:tc>
        <w:tc>
          <w:tcPr>
            <w:tcW w:w="35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多年平均</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15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降雨量</w:t>
            </w:r>
          </w:p>
        </w:tc>
        <w:tc>
          <w:tcPr>
            <w:tcW w:w="35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多年平均</w:t>
            </w:r>
          </w:p>
        </w:tc>
        <w:tc>
          <w:tcPr>
            <w:tcW w:w="1527" w:type="dxa"/>
            <w:vAlign w:val="center"/>
          </w:tcPr>
          <w:p>
            <w:pPr>
              <w:pStyle w:val="104"/>
              <w:jc w:val="center"/>
              <w:rPr>
                <w:rFonts w:hint="default" w:ascii="Times New Roman" w:hAnsi="Times New Roman" w:eastAsia="宋体" w:cs="Times New Roman"/>
                <w:color w:val="auto"/>
                <w:highlight w:val="none"/>
              </w:rPr>
            </w:pP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775.8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Merge w:val="continue"/>
            <w:vAlign w:val="center"/>
          </w:tcPr>
          <w:p>
            <w:pPr>
              <w:pStyle w:val="104"/>
              <w:jc w:val="center"/>
              <w:rPr>
                <w:rFonts w:hint="default" w:ascii="Times New Roman" w:hAnsi="Times New Roman" w:eastAsia="宋体" w:cs="Times New Roman"/>
                <w:color w:val="auto"/>
                <w:highlight w:val="none"/>
              </w:rPr>
            </w:pPr>
          </w:p>
        </w:tc>
        <w:tc>
          <w:tcPr>
            <w:tcW w:w="1152" w:type="dxa"/>
            <w:vMerge w:val="continue"/>
            <w:vAlign w:val="center"/>
          </w:tcPr>
          <w:p>
            <w:pPr>
              <w:pStyle w:val="104"/>
              <w:jc w:val="center"/>
              <w:rPr>
                <w:rFonts w:hint="default" w:ascii="Times New Roman" w:hAnsi="Times New Roman" w:eastAsia="宋体" w:cs="Times New Roman"/>
                <w:color w:val="auto"/>
                <w:highlight w:val="none"/>
              </w:rPr>
            </w:pPr>
          </w:p>
        </w:tc>
        <w:tc>
          <w:tcPr>
            <w:tcW w:w="35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10%频率1小时</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mm</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63.08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Merge w:val="continue"/>
            <w:vAlign w:val="center"/>
          </w:tcPr>
          <w:p>
            <w:pPr>
              <w:pStyle w:val="104"/>
              <w:jc w:val="center"/>
              <w:rPr>
                <w:rFonts w:hint="default" w:ascii="Times New Roman" w:hAnsi="Times New Roman" w:eastAsia="宋体" w:cs="Times New Roman"/>
                <w:color w:val="auto"/>
                <w:highlight w:val="none"/>
              </w:rPr>
            </w:pPr>
          </w:p>
        </w:tc>
        <w:tc>
          <w:tcPr>
            <w:tcW w:w="1152" w:type="dxa"/>
            <w:vMerge w:val="continue"/>
            <w:vAlign w:val="center"/>
          </w:tcPr>
          <w:p>
            <w:pPr>
              <w:pStyle w:val="104"/>
              <w:jc w:val="center"/>
              <w:rPr>
                <w:rFonts w:hint="default" w:ascii="Times New Roman" w:hAnsi="Times New Roman" w:eastAsia="宋体" w:cs="Times New Roman"/>
                <w:color w:val="auto"/>
                <w:highlight w:val="none"/>
              </w:rPr>
            </w:pPr>
          </w:p>
        </w:tc>
        <w:tc>
          <w:tcPr>
            <w:tcW w:w="35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10%频率24小时</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mm</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206.4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475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无霜期</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475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≥10℃积温</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3144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475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年平均日照时数</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475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主导风向</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NNW</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115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风速</w:t>
            </w:r>
          </w:p>
        </w:tc>
        <w:tc>
          <w:tcPr>
            <w:tcW w:w="35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多年平均</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m/s</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475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最大风速</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m/s</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p>
        </w:tc>
        <w:tc>
          <w:tcPr>
            <w:tcW w:w="475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多年平均无霜期</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8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4750"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最大冻土深度</w:t>
            </w:r>
          </w:p>
        </w:tc>
        <w:tc>
          <w:tcPr>
            <w:tcW w:w="152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w:t>
            </w:r>
          </w:p>
        </w:tc>
        <w:tc>
          <w:tcPr>
            <w:tcW w:w="21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1.18</w:t>
            </w:r>
          </w:p>
        </w:tc>
      </w:tr>
    </w:tbl>
    <w:p>
      <w:pPr>
        <w:spacing w:before="72" w:beforeLines="30" w:after="72" w:afterLines="30"/>
        <w:ind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458460" cy="8357870"/>
            <wp:effectExtent l="0" t="0" r="8890" b="5080"/>
            <wp:docPr id="225" name="图片 225" descr="地表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地表水系图"/>
                    <pic:cNvPicPr>
                      <a:picLocks noChangeAspect="1"/>
                    </pic:cNvPicPr>
                  </pic:nvPicPr>
                  <pic:blipFill>
                    <a:blip r:embed="rId65"/>
                    <a:stretch>
                      <a:fillRect/>
                    </a:stretch>
                  </pic:blipFill>
                  <pic:spPr>
                    <a:xfrm>
                      <a:off x="0" y="0"/>
                      <a:ext cx="5458460" cy="8357870"/>
                    </a:xfrm>
                    <a:prstGeom prst="rect">
                      <a:avLst/>
                    </a:prstGeom>
                  </pic:spPr>
                </pic:pic>
              </a:graphicData>
            </a:graphic>
          </wp:inline>
        </w:drawing>
      </w:r>
    </w:p>
    <w:p>
      <w:pPr>
        <w:spacing w:before="72" w:beforeLines="30" w:after="72" w:afterLines="30" w:line="240" w:lineRule="auto"/>
        <w:ind w:firstLine="422"/>
        <w:jc w:val="center"/>
        <w:rPr>
          <w:rFonts w:hint="default" w:ascii="Times New Roman" w:hAnsi="Times New Roman" w:eastAsia="宋体" w:cs="Times New Roman"/>
          <w:b/>
          <w:color w:val="auto"/>
          <w:sz w:val="21"/>
          <w:szCs w:val="21"/>
          <w:highlight w:val="none"/>
        </w:rPr>
        <w:sectPr>
          <w:footerReference r:id="rId20" w:type="default"/>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.1-2岫岩县水系图</w:t>
      </w:r>
    </w:p>
    <w:p>
      <w:pPr>
        <w:pStyle w:val="5"/>
        <w:bidi w:val="0"/>
        <w:rPr>
          <w:rFonts w:hint="default" w:ascii="Times New Roman" w:hAnsi="Times New Roman" w:eastAsia="宋体" w:cs="Times New Roman"/>
          <w:color w:val="auto"/>
          <w:highlight w:val="none"/>
          <w:lang w:val="en-US" w:eastAsia="zh-CN"/>
        </w:rPr>
      </w:pPr>
      <w:bookmarkStart w:id="276" w:name="_Toc445968981"/>
      <w:r>
        <w:rPr>
          <w:rFonts w:hint="default" w:ascii="Times New Roman" w:hAnsi="Times New Roman" w:eastAsia="宋体" w:cs="Times New Roman"/>
          <w:color w:val="auto"/>
          <w:highlight w:val="none"/>
          <w:lang w:val="en-US" w:eastAsia="zh-CN"/>
        </w:rPr>
        <w:t>地震</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本区地震烈度为Ⅵ度，地震动峰值加速度0.05g。</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w:t>
      </w:r>
      <w:bookmarkEnd w:id="276"/>
    </w:p>
    <w:p>
      <w:pPr>
        <w:pStyle w:val="78"/>
        <w:ind w:firstLine="488"/>
        <w:rPr>
          <w:rFonts w:hint="default" w:ascii="Times New Roman" w:hAnsi="Times New Roman" w:eastAsia="宋体" w:cs="Times New Roman"/>
          <w:b/>
          <w:color w:val="auto"/>
          <w:highlight w:val="none"/>
        </w:rPr>
      </w:pPr>
      <w:r>
        <w:rPr>
          <w:rFonts w:hint="default" w:ascii="Times New Roman" w:hAnsi="Times New Roman" w:eastAsia="宋体" w:cs="Times New Roman"/>
          <w:color w:val="auto"/>
          <w:highlight w:val="none"/>
        </w:rPr>
        <w:t>岫岩县位于辽东半岛北部，以低山、丘陵为主。土壤面积约为43.6万公顷，占土地总面积的96.84%，共划分4个土类，7个亚类，28个土属，47个土中，主要土类为棕壤、草甸土、水稻土、沼泽土，境内土壤以沙石土及部分粘土构成。全县土壤以棕壤为主，草甸土次之。水稻土、沼泽土较少。其中棕壤可划分成棕壤性、棕壤、潮棕壤三个亚类，草甸土只有草甸土亚类。大体分布规律是低山、丘陵、坡脚为棕壤土，平地、河谷为草甸土，在草甸土与潮棕壤上发育一部分水稻土，低洼谷底间有少量的沼泽土。</w:t>
      </w:r>
    </w:p>
    <w:p>
      <w:pPr>
        <w:pStyle w:val="5"/>
        <w:bidi w:val="0"/>
        <w:rPr>
          <w:rFonts w:hint="default" w:ascii="Times New Roman" w:hAnsi="Times New Roman" w:eastAsia="宋体" w:cs="Times New Roman"/>
          <w:color w:val="auto"/>
          <w:highlight w:val="none"/>
          <w:lang w:val="en-US" w:eastAsia="zh-CN"/>
        </w:rPr>
      </w:pPr>
      <w:bookmarkStart w:id="277" w:name="_Toc445968982"/>
      <w:r>
        <w:rPr>
          <w:rFonts w:hint="default" w:ascii="Times New Roman" w:hAnsi="Times New Roman" w:eastAsia="宋体" w:cs="Times New Roman"/>
          <w:color w:val="auto"/>
          <w:highlight w:val="none"/>
          <w:lang w:val="en-US" w:eastAsia="zh-CN"/>
        </w:rPr>
        <w:t>植被</w:t>
      </w:r>
      <w:bookmarkEnd w:id="277"/>
    </w:p>
    <w:p>
      <w:pPr>
        <w:pStyle w:val="85"/>
        <w:spacing w:before="72" w:beforeLines="30" w:after="72" w:afterLines="30"/>
        <w:rPr>
          <w:rFonts w:hint="default" w:ascii="Times New Roman" w:hAnsi="Times New Roman" w:eastAsia="宋体" w:cs="Times New Roman"/>
          <w:color w:val="auto"/>
          <w:highlight w:val="none"/>
        </w:rPr>
      </w:pPr>
      <w:bookmarkStart w:id="278" w:name="_Toc325530069"/>
      <w:bookmarkStart w:id="279" w:name="_Toc322349422"/>
      <w:r>
        <w:rPr>
          <w:rFonts w:hint="default" w:ascii="Times New Roman" w:hAnsi="Times New Roman" w:eastAsia="宋体" w:cs="Times New Roman"/>
          <w:color w:val="auto"/>
          <w:highlight w:val="none"/>
        </w:rPr>
        <w:t>区域植被属温带针阔叶混交林，介于华北植被区系河长白植被交替过渡植被区，原生植物群种有：麻栎、辽东栎等，伴生树种有核桃楸、曲柳等，灌木有榛子、胡枝子等。区域原生植被遭到破坏，多为次生林，柞树成优质树种，人工林以落叶松为主。草类主要有结缕草、龙胆草、羊胡草等。林草覆盖率72%。</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矿产资源</w:t>
      </w:r>
    </w:p>
    <w:p>
      <w:pPr>
        <w:pStyle w:val="85"/>
        <w:spacing w:before="72" w:beforeLines="30" w:after="72" w:afterLines="3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岫岩满族自治县现已探明储量的矿藏有42种，其中</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"https://baike.baidu.com/item/%E8%8F%B1%E9%95%81%E7%9F%B3"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菱镁石</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、玉石、</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"https://baike.baidu.com/item/%E7%90%86%E7%9F%B3"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理石</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"https://baike.baidu.com/item/%E6%BB%91%E7%9F%B3"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滑石</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、花岗石、</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"https://baike.baidu.com/item/%E7%A1%85%E7%9F%B3"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硅石</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量多。菱镁石总储量11亿吨，含镁量47%。岫岩玉储量约300万吨，岫岩主要有</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"https://baike.baidu.com/item/%E9%80%8F%E9%97%AA%E7%9F%B3"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透闪石</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质玉（老玉、河磨玉、石包玉）、</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"https://baike.baidu.com/item/%E8%9B%87%E7%BA%B9%E7%9F%B3"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蛇纹石</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质玉（岫玉、花玉、黄玉等）和透闪石质玉与蛇纹石质玉混合体（</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"https://baike.baidu.com/item/%E7%94%B2%E7%BF%A0"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甲翠</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）三大类。岫岩满族自治县是全国最大的玉石产地，生产销售总量占全国同行业80%以上。</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环境保护目标调查</w:t>
      </w:r>
    </w:p>
    <w:p>
      <w:pPr>
        <w:pStyle w:val="85"/>
        <w:spacing w:before="72" w:beforeLines="30" w:after="72" w:afterLines="3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经现场踏勘和调查，评价区内无自然保护区、风景名胜区、文物保护单位等环境敏感目标，也未见国家重点保护的野生动植物。项目的主要保护目标为周围的村庄、土地、植被、地表水体等。</w:t>
      </w:r>
    </w:p>
    <w:p>
      <w:pPr>
        <w:pStyle w:val="85"/>
        <w:spacing w:before="72" w:beforeLines="30" w:after="72" w:afterLines="3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根据《辽宁省人民政府关于鞍山市县级以上城市集中引用水水源保护区的批复》辽政[2010]47号，距离项目最近的饮用水源保护区为本项目矿山东南的岫岩饮用水保护区，</w:t>
      </w:r>
      <w:r>
        <w:rPr>
          <w:rFonts w:hint="default" w:ascii="Times New Roman" w:hAnsi="Times New Roman" w:eastAsia="宋体" w:cs="Times New Roman"/>
          <w:color w:val="auto"/>
          <w:highlight w:val="none"/>
        </w:rPr>
        <w:drawing>
          <wp:anchor distT="0" distB="0" distL="114300" distR="114300" simplePos="0" relativeHeight="251730944" behindDoc="0" locked="0" layoutInCell="1" allowOverlap="1">
            <wp:simplePos x="0" y="0"/>
            <wp:positionH relativeFrom="column">
              <wp:posOffset>8255</wp:posOffset>
            </wp:positionH>
            <wp:positionV relativeFrom="paragraph">
              <wp:posOffset>638175</wp:posOffset>
            </wp:positionV>
            <wp:extent cx="657225" cy="733425"/>
            <wp:effectExtent l="0" t="0" r="9525" b="9525"/>
            <wp:wrapNone/>
            <wp:docPr id="2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8"/>
                    <pic:cNvPicPr>
                      <a:picLocks noChangeAspect="1"/>
                    </pic:cNvPicPr>
                  </pic:nvPicPr>
                  <pic:blipFill>
                    <a:blip r:embed="rId66"/>
                    <a:stretch>
                      <a:fillRect/>
                    </a:stretch>
                  </pic:blipFill>
                  <pic:spPr>
                    <a:xfrm>
                      <a:off x="0" y="0"/>
                      <a:ext cx="657225" cy="733425"/>
                    </a:xfrm>
                    <a:prstGeom prst="rect">
                      <a:avLst/>
                    </a:prstGeom>
                    <a:noFill/>
                    <a:ln>
                      <a:noFill/>
                    </a:ln>
                  </pic:spPr>
                </pic:pic>
              </a:graphicData>
            </a:graphic>
          </wp:anchor>
        </w:drawing>
      </w:r>
      <w:r>
        <w:rPr>
          <w:rFonts w:hint="default" w:ascii="Times New Roman" w:hAnsi="Times New Roman" w:eastAsia="宋体" w:cs="Times New Roman"/>
          <w:color w:val="auto"/>
          <w:highlight w:val="none"/>
        </w:rPr>
        <w:t>本项目距岫岩县饮用水二级保护区距离</w:t>
      </w:r>
      <w:r>
        <w:rPr>
          <w:rFonts w:hint="default" w:ascii="Times New Roman" w:hAnsi="Times New Roman" w:eastAsia="宋体" w:cs="Times New Roman"/>
          <w:color w:val="auto"/>
          <w:highlight w:val="none"/>
          <w:lang w:val="en-US" w:eastAsia="zh-CN"/>
        </w:rPr>
        <w:t>约</w:t>
      </w: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km，相对位置见图</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.1-3。该水源类型为地下水，因而本项目环境影响评价范围内无饮用水水源保护区。</w:t>
      </w:r>
    </w:p>
    <w:p>
      <w:pPr>
        <w:pStyle w:val="85"/>
        <w:spacing w:before="72" w:beforeLines="30" w:after="72" w:afterLines="30"/>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731968" behindDoc="0" locked="0" layoutInCell="1" allowOverlap="1">
            <wp:simplePos x="0" y="0"/>
            <wp:positionH relativeFrom="column">
              <wp:posOffset>5281295</wp:posOffset>
            </wp:positionH>
            <wp:positionV relativeFrom="paragraph">
              <wp:posOffset>3487420</wp:posOffset>
            </wp:positionV>
            <wp:extent cx="471170" cy="375285"/>
            <wp:effectExtent l="0" t="0" r="5080" b="5715"/>
            <wp:wrapNone/>
            <wp:docPr id="2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9"/>
                    <pic:cNvPicPr>
                      <a:picLocks noChangeAspect="1"/>
                    </pic:cNvPicPr>
                  </pic:nvPicPr>
                  <pic:blipFill>
                    <a:blip r:embed="rId67"/>
                    <a:stretch>
                      <a:fillRect/>
                    </a:stretch>
                  </pic:blipFill>
                  <pic:spPr>
                    <a:xfrm>
                      <a:off x="0" y="0"/>
                      <a:ext cx="471170" cy="375285"/>
                    </a:xfrm>
                    <a:prstGeom prst="rect">
                      <a:avLst/>
                    </a:prstGeom>
                    <a:noFill/>
                    <a:ln>
                      <a:noFill/>
                    </a:ln>
                  </pic:spPr>
                </pic:pic>
              </a:graphicData>
            </a:graphic>
          </wp:anchor>
        </w:drawing>
      </w:r>
      <w:r>
        <w:rPr>
          <w:rFonts w:hint="default" w:ascii="Times New Roman" w:hAnsi="Times New Roman" w:eastAsia="宋体" w:cs="Times New Roman"/>
          <w:color w:val="auto"/>
          <w:highlight w:val="none"/>
        </w:rPr>
        <w:drawing>
          <wp:inline distT="0" distB="0" distL="114300" distR="114300">
            <wp:extent cx="5756275" cy="3865245"/>
            <wp:effectExtent l="12700" t="12700" r="22225" b="27305"/>
            <wp:docPr id="2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7"/>
                    <pic:cNvPicPr>
                      <a:picLocks noChangeAspect="1"/>
                    </pic:cNvPicPr>
                  </pic:nvPicPr>
                  <pic:blipFill>
                    <a:blip r:embed="rId68"/>
                    <a:stretch>
                      <a:fillRect/>
                    </a:stretch>
                  </pic:blipFill>
                  <pic:spPr>
                    <a:xfrm>
                      <a:off x="0" y="0"/>
                      <a:ext cx="5756275" cy="3865245"/>
                    </a:xfrm>
                    <a:prstGeom prst="rect">
                      <a:avLst/>
                    </a:prstGeom>
                    <a:noFill/>
                    <a:ln w="12700">
                      <a:solidFill>
                        <a:schemeClr val="tx1"/>
                      </a:solidFill>
                    </a:ln>
                  </pic:spPr>
                </pic:pic>
              </a:graphicData>
            </a:graphic>
          </wp:inline>
        </w:drawing>
      </w:r>
    </w:p>
    <w:p>
      <w:pPr>
        <w:pStyle w:val="85"/>
        <w:spacing w:before="72" w:beforeLines="30" w:after="72" w:afterLines="30"/>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.1-3本项目与水源保护区地理位置图</w:t>
      </w:r>
    </w:p>
    <w:p>
      <w:pPr>
        <w:pStyle w:val="85"/>
        <w:spacing w:before="72" w:beforeLines="30" w:after="72" w:afterLines="30"/>
        <w:ind w:left="0" w:leftChars="0" w:firstLine="0" w:firstLineChars="0"/>
        <w:rPr>
          <w:rFonts w:hint="default" w:ascii="Times New Roman" w:hAnsi="Times New Roman" w:eastAsia="宋体" w:cs="Times New Roman"/>
          <w:color w:val="auto"/>
          <w:highlight w:val="none"/>
        </w:rPr>
        <w:sectPr>
          <w:pgSz w:w="11906" w:h="16838"/>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26" w:charSpace="0"/>
        </w:sectPr>
      </w:pPr>
    </w:p>
    <w:bookmarkEnd w:id="262"/>
    <w:bookmarkEnd w:id="263"/>
    <w:bookmarkEnd w:id="264"/>
    <w:bookmarkEnd w:id="265"/>
    <w:bookmarkEnd w:id="266"/>
    <w:bookmarkEnd w:id="267"/>
    <w:bookmarkEnd w:id="268"/>
    <w:bookmarkEnd w:id="269"/>
    <w:bookmarkEnd w:id="270"/>
    <w:bookmarkEnd w:id="271"/>
    <w:bookmarkEnd w:id="272"/>
    <w:bookmarkEnd w:id="273"/>
    <w:bookmarkEnd w:id="278"/>
    <w:bookmarkEnd w:id="279"/>
    <w:p>
      <w:pPr>
        <w:pStyle w:val="4"/>
        <w:numPr>
          <w:ilvl w:val="1"/>
          <w:numId w:val="12"/>
        </w:numPr>
        <w:spacing w:before="120" w:after="120"/>
        <w:ind w:left="0" w:leftChars="0" w:firstLineChars="0"/>
        <w:rPr>
          <w:rFonts w:hint="default" w:ascii="Times New Roman" w:hAnsi="Times New Roman" w:eastAsia="宋体" w:cs="Times New Roman"/>
          <w:color w:val="auto"/>
          <w:highlight w:val="none"/>
        </w:rPr>
      </w:pPr>
      <w:bookmarkStart w:id="280" w:name="_Toc468"/>
      <w:bookmarkStart w:id="281" w:name="_Toc6405571"/>
      <w:bookmarkStart w:id="282" w:name="_Toc233"/>
      <w:bookmarkStart w:id="283" w:name="_Toc5016"/>
      <w:bookmarkStart w:id="284" w:name="_Toc15376191"/>
      <w:bookmarkStart w:id="285" w:name="_Toc377022553"/>
      <w:bookmarkStart w:id="286" w:name="_Toc369000237"/>
      <w:bookmarkStart w:id="287" w:name="_Toc395187016"/>
      <w:bookmarkStart w:id="288" w:name="_Toc450827039"/>
      <w:bookmarkStart w:id="289" w:name="_Toc515537846"/>
      <w:r>
        <w:rPr>
          <w:rFonts w:hint="default" w:ascii="Times New Roman" w:hAnsi="Times New Roman" w:eastAsia="宋体" w:cs="Times New Roman"/>
          <w:color w:val="auto"/>
          <w:highlight w:val="none"/>
        </w:rPr>
        <w:t>环境质量现状调查与评价</w:t>
      </w:r>
      <w:bookmarkEnd w:id="280"/>
      <w:bookmarkEnd w:id="281"/>
      <w:bookmarkEnd w:id="282"/>
      <w:bookmarkEnd w:id="283"/>
      <w:bookmarkEnd w:id="284"/>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项目所在区域达标情况判定</w:t>
      </w:r>
    </w:p>
    <w:p>
      <w:pPr>
        <w:autoSpaceDE w:val="0"/>
        <w:autoSpaceDN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根据《环境影响评价导则大气环境》（HJ2.2-2018）的相关要求，项目所在区域达标判定，优先采用国家或地方生态环境主管部门公布的评价基准年环境质量公告或环境质量报告中的数据或结论。</w:t>
      </w:r>
    </w:p>
    <w:p>
      <w:pPr>
        <w:autoSpaceDE w:val="0"/>
        <w:autoSpaceDN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根据环境主管部门公布的数据：鞍山市2021年SO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年均浓度分别为13ug/m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、27ug/m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、69ug/m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、39ug/m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；CO24小时平均第95百分位数为1.9ug/m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日最大8小时平均第90百分位数为131ug/m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1</w:t>
      </w:r>
      <w:r>
        <w:rPr>
          <w:rFonts w:hint="default" w:ascii="Times New Roman" w:hAnsi="Times New Roman" w:eastAsia="宋体" w:cs="Times New Roman"/>
          <w:b/>
          <w:color w:val="auto"/>
          <w:sz w:val="21"/>
          <w:szCs w:val="21"/>
          <w:highlight w:val="none"/>
          <w:lang w:val="en-US" w:eastAsia="zh-CN"/>
        </w:rPr>
        <w:t>鞍山市</w:t>
      </w:r>
      <w:r>
        <w:rPr>
          <w:rFonts w:hint="default" w:ascii="Times New Roman" w:hAnsi="Times New Roman" w:eastAsia="宋体" w:cs="Times New Roman"/>
          <w:b/>
          <w:color w:val="auto"/>
          <w:sz w:val="21"/>
          <w:szCs w:val="21"/>
          <w:highlight w:val="none"/>
        </w:rPr>
        <w:t>环境质量监测数据及达标情况单位：</w:t>
      </w:r>
      <w:r>
        <w:rPr>
          <w:rFonts w:hint="default" w:ascii="Times New Roman" w:hAnsi="Times New Roman" w:eastAsia="宋体" w:cs="Times New Roman"/>
          <w:color w:val="auto"/>
          <w:highlight w:val="none"/>
        </w:rPr>
        <w:t>ug/m</w:t>
      </w:r>
      <w:r>
        <w:rPr>
          <w:rFonts w:hint="default" w:ascii="Times New Roman" w:hAnsi="Times New Roman" w:eastAsia="宋体" w:cs="Times New Roman"/>
          <w:color w:val="auto"/>
          <w:highlight w:val="none"/>
          <w:vertAlign w:val="superscript"/>
        </w:rPr>
        <w:t>3</w:t>
      </w:r>
    </w:p>
    <w:tbl>
      <w:tblPr>
        <w:tblStyle w:val="46"/>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4"/>
        <w:gridCol w:w="1281"/>
        <w:gridCol w:w="1135"/>
        <w:gridCol w:w="1133"/>
        <w:gridCol w:w="1280"/>
        <w:gridCol w:w="1991"/>
        <w:gridCol w:w="151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4"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时间</w:t>
            </w:r>
          </w:p>
        </w:tc>
        <w:tc>
          <w:tcPr>
            <w:tcW w:w="4829" w:type="dxa"/>
            <w:gridSpan w:val="4"/>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年均浓度</w:t>
            </w:r>
          </w:p>
        </w:tc>
        <w:tc>
          <w:tcPr>
            <w:tcW w:w="199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24小时平均第95百分位数（mg/m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151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8小时平均第95百分位数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4" w:type="dxa"/>
            <w:vMerge w:val="continue"/>
            <w:vAlign w:val="center"/>
          </w:tcPr>
          <w:p>
            <w:pPr>
              <w:pStyle w:val="104"/>
              <w:jc w:val="center"/>
              <w:rPr>
                <w:rFonts w:hint="default" w:ascii="Times New Roman" w:hAnsi="Times New Roman" w:eastAsia="宋体" w:cs="Times New Roman"/>
                <w:color w:val="auto"/>
                <w:highlight w:val="none"/>
              </w:rPr>
            </w:pPr>
          </w:p>
        </w:tc>
        <w:tc>
          <w:tcPr>
            <w:tcW w:w="128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p>
        </w:tc>
        <w:tc>
          <w:tcPr>
            <w:tcW w:w="113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p>
        </w:tc>
        <w:tc>
          <w:tcPr>
            <w:tcW w:w="113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p>
        </w:tc>
        <w:tc>
          <w:tcPr>
            <w:tcW w:w="128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p>
        </w:tc>
        <w:tc>
          <w:tcPr>
            <w:tcW w:w="199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w:t>
            </w:r>
          </w:p>
        </w:tc>
        <w:tc>
          <w:tcPr>
            <w:tcW w:w="151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2021</w:t>
            </w:r>
            <w:r>
              <w:rPr>
                <w:rFonts w:hint="default" w:ascii="Times New Roman" w:hAnsi="Times New Roman" w:eastAsia="宋体" w:cs="Times New Roman"/>
                <w:color w:val="auto"/>
                <w:highlight w:val="none"/>
              </w:rPr>
              <w:t>年</w:t>
            </w:r>
          </w:p>
        </w:tc>
        <w:tc>
          <w:tcPr>
            <w:tcW w:w="1281"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69</w:t>
            </w:r>
          </w:p>
        </w:tc>
        <w:tc>
          <w:tcPr>
            <w:tcW w:w="1135"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39</w:t>
            </w:r>
          </w:p>
        </w:tc>
        <w:tc>
          <w:tcPr>
            <w:tcW w:w="1133"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w:t>
            </w:r>
          </w:p>
        </w:tc>
        <w:tc>
          <w:tcPr>
            <w:tcW w:w="1280"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27</w:t>
            </w:r>
          </w:p>
        </w:tc>
        <w:tc>
          <w:tcPr>
            <w:tcW w:w="1991"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1.9</w:t>
            </w:r>
          </w:p>
        </w:tc>
        <w:tc>
          <w:tcPr>
            <w:tcW w:w="1512"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5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标准值</w:t>
            </w:r>
          </w:p>
        </w:tc>
        <w:tc>
          <w:tcPr>
            <w:tcW w:w="128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70</w:t>
            </w:r>
          </w:p>
        </w:tc>
        <w:tc>
          <w:tcPr>
            <w:tcW w:w="113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w:t>
            </w:r>
          </w:p>
        </w:tc>
        <w:tc>
          <w:tcPr>
            <w:tcW w:w="113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60</w:t>
            </w:r>
          </w:p>
        </w:tc>
        <w:tc>
          <w:tcPr>
            <w:tcW w:w="128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199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151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160</w:t>
            </w:r>
          </w:p>
        </w:tc>
      </w:tr>
    </w:tbl>
    <w:p>
      <w:pPr>
        <w:autoSpaceDE w:val="0"/>
        <w:autoSpaceDN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1可知，鞍山市环境空气中PM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浓度超过《环境空气质量标准》（GB3095-2012）中二级标准要求，因此判项目所在区域为不达标区。</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各项污染物环境质量现状评价</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4.2.2.</w:t>
      </w:r>
      <w:r>
        <w:rPr>
          <w:rFonts w:hint="default" w:ascii="Times New Roman" w:hAnsi="Times New Roman" w:eastAsia="宋体" w:cs="Times New Roman"/>
          <w:color w:val="auto"/>
          <w:sz w:val="24"/>
          <w:highlight w:val="none"/>
        </w:rPr>
        <w:t>1环境空气质量</w:t>
      </w:r>
    </w:p>
    <w:p>
      <w:pPr>
        <w:autoSpaceDE w:val="0"/>
        <w:autoSpaceDN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现状调查常规污染物和特征污染物的监测数据委托</w:t>
      </w:r>
      <w:r>
        <w:rPr>
          <w:rFonts w:hint="default" w:ascii="Times New Roman" w:hAnsi="Times New Roman" w:eastAsia="宋体" w:cs="Times New Roman"/>
          <w:color w:val="auto"/>
          <w:highlight w:val="none"/>
          <w:lang w:eastAsia="zh-CN"/>
        </w:rPr>
        <w:t>沈阳中正检测技术有限公司</w:t>
      </w:r>
      <w:r>
        <w:rPr>
          <w:rFonts w:hint="default" w:ascii="Times New Roman" w:hAnsi="Times New Roman" w:eastAsia="宋体" w:cs="Times New Roman"/>
          <w:color w:val="auto"/>
          <w:highlight w:val="none"/>
        </w:rPr>
        <w:t>于2022年07月04日至2022年07月10日进行环境空气质量现状监测。结合项目评价范围及敏感目标分布情况，所选监测点分别为</w:t>
      </w:r>
      <w:r>
        <w:rPr>
          <w:rFonts w:hint="default" w:ascii="Times New Roman" w:hAnsi="Times New Roman" w:eastAsia="宋体" w:cs="Times New Roman"/>
          <w:color w:val="auto"/>
          <w:highlight w:val="none"/>
          <w:lang w:eastAsia="zh-CN"/>
        </w:rPr>
        <w:t>贾家堡子</w:t>
      </w:r>
      <w:r>
        <w:rPr>
          <w:rFonts w:hint="default" w:ascii="Times New Roman" w:hAnsi="Times New Roman" w:eastAsia="宋体" w:cs="Times New Roman"/>
          <w:color w:val="auto"/>
          <w:highlight w:val="none"/>
        </w:rPr>
        <w:t>和项目所在地厂址内，涉及项目季节主导风向下风向及敏感目标，监测点布设符合导则要求。</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（1）监测点位及监测频次</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根据项目位置，并结合环境敏感目标和主要风向，共布设2个监测点位，见表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2，建设项目监测布点见图</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1。</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2补充监测点位基本信息</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6"/>
        <w:gridCol w:w="1528"/>
        <w:gridCol w:w="1625"/>
        <w:gridCol w:w="1255"/>
        <w:gridCol w:w="2048"/>
        <w:gridCol w:w="11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6"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监测名称</w:t>
            </w:r>
          </w:p>
        </w:tc>
        <w:tc>
          <w:tcPr>
            <w:tcW w:w="3153"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bidi="ar"/>
              </w:rPr>
              <w:t>监测点位坐标</w:t>
            </w:r>
          </w:p>
        </w:tc>
        <w:tc>
          <w:tcPr>
            <w:tcW w:w="1255"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bidi="ar"/>
              </w:rPr>
              <w:t>监测因子</w:t>
            </w:r>
          </w:p>
        </w:tc>
        <w:tc>
          <w:tcPr>
            <w:tcW w:w="2048" w:type="dxa"/>
            <w:vMerge w:val="restart"/>
            <w:vAlign w:val="center"/>
          </w:tcPr>
          <w:p>
            <w:pPr>
              <w:pStyle w:val="104"/>
              <w:jc w:val="center"/>
              <w:rPr>
                <w:rFonts w:hint="default" w:ascii="Times New Roman" w:hAnsi="Times New Roman" w:eastAsia="宋体" w:cs="Times New Roman"/>
                <w:color w:val="auto"/>
                <w:kern w:val="0"/>
                <w:highlight w:val="none"/>
                <w:lang w:bidi="ar"/>
              </w:rPr>
            </w:pPr>
            <w:r>
              <w:rPr>
                <w:rFonts w:hint="default" w:ascii="Times New Roman" w:hAnsi="Times New Roman" w:eastAsia="宋体" w:cs="Times New Roman"/>
                <w:color w:val="auto"/>
                <w:kern w:val="0"/>
                <w:highlight w:val="none"/>
                <w:lang w:bidi="ar"/>
              </w:rPr>
              <w:t>检测频次</w:t>
            </w:r>
          </w:p>
        </w:tc>
        <w:tc>
          <w:tcPr>
            <w:tcW w:w="1174" w:type="dxa"/>
            <w:vMerge w:val="restart"/>
            <w:vAlign w:val="center"/>
          </w:tcPr>
          <w:p>
            <w:pPr>
              <w:pStyle w:val="104"/>
              <w:jc w:val="center"/>
              <w:rPr>
                <w:rFonts w:hint="default" w:ascii="Times New Roman" w:hAnsi="Times New Roman" w:eastAsia="宋体" w:cs="Times New Roman"/>
                <w:color w:val="auto"/>
                <w:kern w:val="0"/>
                <w:highlight w:val="none"/>
                <w:lang w:bidi="ar"/>
              </w:rPr>
            </w:pPr>
            <w:r>
              <w:rPr>
                <w:rFonts w:hint="default" w:ascii="Times New Roman" w:hAnsi="Times New Roman" w:eastAsia="宋体" w:cs="Times New Roman"/>
                <w:color w:val="auto"/>
                <w:kern w:val="0"/>
                <w:highlight w:val="none"/>
                <w:lang w:bidi="ar"/>
              </w:rPr>
              <w:t>相对距离/m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6" w:type="dxa"/>
            <w:vMerge w:val="continue"/>
            <w:vAlign w:val="center"/>
          </w:tcPr>
          <w:p>
            <w:pPr>
              <w:pStyle w:val="104"/>
              <w:jc w:val="center"/>
              <w:rPr>
                <w:rFonts w:hint="default" w:ascii="Times New Roman" w:hAnsi="Times New Roman" w:eastAsia="宋体" w:cs="Times New Roman"/>
                <w:color w:val="auto"/>
                <w:highlight w:val="none"/>
              </w:rPr>
            </w:pPr>
          </w:p>
        </w:tc>
        <w:tc>
          <w:tcPr>
            <w:tcW w:w="152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Cs w:val="21"/>
                <w:highlight w:val="none"/>
              </w:rPr>
              <w:t>东经</w:t>
            </w:r>
          </w:p>
        </w:tc>
        <w:tc>
          <w:tcPr>
            <w:tcW w:w="162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Cs w:val="21"/>
                <w:highlight w:val="none"/>
              </w:rPr>
              <w:t>北纬</w:t>
            </w:r>
          </w:p>
        </w:tc>
        <w:tc>
          <w:tcPr>
            <w:tcW w:w="1255" w:type="dxa"/>
            <w:vMerge w:val="continue"/>
            <w:vAlign w:val="center"/>
          </w:tcPr>
          <w:p>
            <w:pPr>
              <w:pStyle w:val="104"/>
              <w:jc w:val="center"/>
              <w:rPr>
                <w:rFonts w:hint="default" w:ascii="Times New Roman" w:hAnsi="Times New Roman" w:eastAsia="宋体" w:cs="Times New Roman"/>
                <w:color w:val="auto"/>
                <w:highlight w:val="none"/>
              </w:rPr>
            </w:pPr>
          </w:p>
        </w:tc>
        <w:tc>
          <w:tcPr>
            <w:tcW w:w="2048" w:type="dxa"/>
            <w:vMerge w:val="continue"/>
            <w:vAlign w:val="center"/>
          </w:tcPr>
          <w:p>
            <w:pPr>
              <w:pStyle w:val="104"/>
              <w:jc w:val="center"/>
              <w:rPr>
                <w:rFonts w:hint="default" w:ascii="Times New Roman" w:hAnsi="Times New Roman" w:eastAsia="宋体" w:cs="Times New Roman"/>
                <w:color w:val="auto"/>
                <w:highlight w:val="none"/>
              </w:rPr>
            </w:pPr>
          </w:p>
        </w:tc>
        <w:tc>
          <w:tcPr>
            <w:tcW w:w="1174"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6"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项目所在地</w:t>
            </w:r>
          </w:p>
        </w:tc>
        <w:tc>
          <w:tcPr>
            <w:tcW w:w="1528" w:type="dxa"/>
            <w:tcBorders>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123.370298°</w:t>
            </w:r>
          </w:p>
        </w:tc>
        <w:tc>
          <w:tcPr>
            <w:tcW w:w="1625" w:type="dxa"/>
            <w:tcBorders>
              <w:bottom w:val="single" w:color="auto" w:sz="4" w:space="0"/>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r>
              <w:rPr>
                <w:rFonts w:hint="default" w:ascii="Times New Roman" w:hAnsi="Times New Roman" w:eastAsia="宋体" w:cs="Times New Roman"/>
                <w:color w:val="auto"/>
                <w:highlight w:val="none"/>
                <w:lang w:val="en-US" w:eastAsia="zh-CN"/>
              </w:rPr>
              <w:t>450396</w:t>
            </w:r>
            <w:r>
              <w:rPr>
                <w:rFonts w:hint="default" w:ascii="Times New Roman" w:hAnsi="Times New Roman" w:eastAsia="宋体" w:cs="Times New Roman"/>
                <w:color w:val="auto"/>
                <w:sz w:val="21"/>
                <w:szCs w:val="21"/>
                <w:highlight w:val="none"/>
                <w:lang w:eastAsia="zh-CN"/>
              </w:rPr>
              <w:t>°</w:t>
            </w:r>
          </w:p>
        </w:tc>
        <w:tc>
          <w:tcPr>
            <w:tcW w:w="1255" w:type="dxa"/>
            <w:vMerge w:val="restart"/>
            <w:tcBorders>
              <w:bottom w:val="single" w:color="auto" w:sz="4" w:space="0"/>
            </w:tcBorders>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TSP</w:t>
            </w:r>
          </w:p>
        </w:tc>
        <w:tc>
          <w:tcPr>
            <w:tcW w:w="2048"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日均值：1次/天，共7天；每次采样24小时</w:t>
            </w:r>
          </w:p>
        </w:tc>
        <w:tc>
          <w:tcPr>
            <w:tcW w:w="1174" w:type="dxa"/>
            <w:tcBorders>
              <w:bottom w:val="single" w:color="auto" w:sz="4" w:space="0"/>
            </w:tcBorders>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56" w:type="dxa"/>
            <w:tcBorders>
              <w:bottom w:val="single" w:color="auto" w:sz="12"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项目南侧胡家沟</w:t>
            </w:r>
            <w:r>
              <w:rPr>
                <w:rFonts w:hint="eastAsia" w:cs="Times New Roman"/>
                <w:color w:val="auto"/>
                <w:kern w:val="2"/>
                <w:sz w:val="21"/>
                <w:szCs w:val="21"/>
                <w:highlight w:val="none"/>
                <w:lang w:val="en-US" w:eastAsia="zh-CN" w:bidi="ar-SA"/>
              </w:rPr>
              <w:t>（贾家堡）</w:t>
            </w:r>
          </w:p>
        </w:tc>
        <w:tc>
          <w:tcPr>
            <w:tcW w:w="1528" w:type="dxa"/>
            <w:tcBorders>
              <w:bottom w:val="single" w:color="auto" w:sz="12" w:space="0"/>
            </w:tcBorders>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123.</w:t>
            </w:r>
            <w:r>
              <w:rPr>
                <w:rFonts w:hint="default" w:ascii="Times New Roman" w:hAnsi="Times New Roman" w:eastAsia="宋体" w:cs="Times New Roman"/>
                <w:color w:val="auto"/>
                <w:highlight w:val="none"/>
                <w:lang w:val="en-US" w:eastAsia="zh-CN"/>
              </w:rPr>
              <w:t>361774</w:t>
            </w:r>
            <w:r>
              <w:rPr>
                <w:rFonts w:hint="default" w:ascii="Times New Roman" w:hAnsi="Times New Roman" w:eastAsia="宋体" w:cs="Times New Roman"/>
                <w:color w:val="auto"/>
                <w:kern w:val="2"/>
                <w:sz w:val="21"/>
                <w:szCs w:val="20"/>
                <w:highlight w:val="none"/>
                <w:lang w:val="en-US" w:eastAsia="zh-CN" w:bidi="ar-SA"/>
              </w:rPr>
              <w:t>°</w:t>
            </w:r>
          </w:p>
        </w:tc>
        <w:tc>
          <w:tcPr>
            <w:tcW w:w="1625" w:type="dxa"/>
            <w:tcBorders>
              <w:bottom w:val="single" w:color="auto" w:sz="12" w:space="0"/>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r>
              <w:rPr>
                <w:rFonts w:hint="default" w:ascii="Times New Roman" w:hAnsi="Times New Roman" w:eastAsia="宋体" w:cs="Times New Roman"/>
                <w:color w:val="auto"/>
                <w:highlight w:val="none"/>
                <w:lang w:val="en-US" w:eastAsia="zh-CN"/>
              </w:rPr>
              <w:t>0.433549</w:t>
            </w:r>
            <w:r>
              <w:rPr>
                <w:rFonts w:hint="default" w:ascii="Times New Roman" w:hAnsi="Times New Roman" w:eastAsia="宋体" w:cs="Times New Roman"/>
                <w:color w:val="auto"/>
                <w:sz w:val="21"/>
                <w:szCs w:val="21"/>
                <w:highlight w:val="none"/>
                <w:lang w:eastAsia="zh-CN"/>
              </w:rPr>
              <w:t>°</w:t>
            </w:r>
          </w:p>
        </w:tc>
        <w:tc>
          <w:tcPr>
            <w:tcW w:w="1255" w:type="dxa"/>
            <w:vMerge w:val="continue"/>
            <w:tcBorders>
              <w:bottom w:val="single" w:color="auto" w:sz="12" w:space="0"/>
            </w:tcBorders>
            <w:vAlign w:val="center"/>
          </w:tcPr>
          <w:p>
            <w:pPr>
              <w:pStyle w:val="104"/>
              <w:jc w:val="center"/>
              <w:rPr>
                <w:rFonts w:hint="default" w:ascii="Times New Roman" w:hAnsi="Times New Roman" w:eastAsia="宋体" w:cs="Times New Roman"/>
                <w:color w:val="auto"/>
                <w:kern w:val="0"/>
                <w:highlight w:val="none"/>
              </w:rPr>
            </w:pPr>
          </w:p>
        </w:tc>
        <w:tc>
          <w:tcPr>
            <w:tcW w:w="2048" w:type="dxa"/>
            <w:vMerge w:val="continue"/>
            <w:tcBorders>
              <w:bottom w:val="single" w:color="auto" w:sz="12" w:space="0"/>
            </w:tcBorders>
            <w:vAlign w:val="center"/>
          </w:tcPr>
          <w:p>
            <w:pPr>
              <w:pStyle w:val="104"/>
              <w:jc w:val="center"/>
              <w:rPr>
                <w:rFonts w:hint="default" w:ascii="Times New Roman" w:hAnsi="Times New Roman" w:eastAsia="宋体" w:cs="Times New Roman"/>
                <w:color w:val="auto"/>
                <w:kern w:val="0"/>
                <w:highlight w:val="none"/>
              </w:rPr>
            </w:pPr>
          </w:p>
        </w:tc>
        <w:tc>
          <w:tcPr>
            <w:tcW w:w="1174" w:type="dxa"/>
            <w:tcBorders>
              <w:bottom w:val="single" w:color="auto" w:sz="12" w:space="0"/>
            </w:tcBorders>
            <w:vAlign w:val="center"/>
          </w:tcPr>
          <w:p>
            <w:pPr>
              <w:pStyle w:val="104"/>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1767</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（2）评价方法</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用单因子指数法进行大气环境质量现状评价，其计算公式为：</w:t>
      </w:r>
    </w:p>
    <w:p>
      <w:pPr>
        <w:ind w:firstLine="480"/>
        <w:rPr>
          <w:rFonts w:hint="default" w:ascii="Times New Roman" w:hAnsi="Times New Roman" w:eastAsia="宋体" w:cs="Times New Roman"/>
          <w:color w:val="auto"/>
          <w:highlight w:val="none"/>
        </w:rPr>
      </w:pPr>
      <m:oMathPara>
        <m:oMath>
          <m:sSub>
            <m:sSubPr>
              <m:ctrlPr>
                <w:rPr>
                  <w:rFonts w:hint="default" w:ascii="Cambria Math" w:hAnsi="Cambria Math" w:eastAsia="宋体" w:cs="Times New Roman"/>
                  <w:color w:val="auto"/>
                  <w:highlight w:val="none"/>
                </w:rPr>
              </m:ctrlPr>
            </m:sSubPr>
            <m:e>
              <m:r>
                <m:rPr>
                  <m:sty m:val="p"/>
                </m:rPr>
                <w:rPr>
                  <w:rFonts w:hint="default" w:ascii="Cambria Math" w:hAnsi="Cambria Math" w:eastAsia="宋体" w:cs="Times New Roman"/>
                  <w:color w:val="auto"/>
                  <w:highlight w:val="none"/>
                </w:rPr>
                <m:t>I</m:t>
              </m:r>
              <m:ctrlPr>
                <w:rPr>
                  <w:rFonts w:hint="default" w:ascii="Cambria Math" w:hAnsi="Cambria Math" w:eastAsia="宋体" w:cs="Times New Roman"/>
                  <w:color w:val="auto"/>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color w:val="auto"/>
                  <w:highlight w:val="none"/>
                </w:rPr>
              </m:ctrlPr>
            </m:sub>
          </m:sSub>
          <m:r>
            <m:rPr/>
            <w:rPr>
              <w:rFonts w:hint="default" w:ascii="Cambria Math" w:hAnsi="Cambria Math" w:eastAsia="宋体" w:cs="Times New Roman"/>
              <w:color w:val="auto"/>
              <w:highlight w:val="none"/>
            </w:rPr>
            <m:t>=</m:t>
          </m:r>
          <m:f>
            <m:fPr>
              <m:ctrlPr>
                <w:rPr>
                  <w:rFonts w:hint="default" w:ascii="Cambria Math" w:hAnsi="Cambria Math" w:eastAsia="宋体" w:cs="Times New Roman"/>
                  <w:i/>
                  <w:color w:val="auto"/>
                  <w:highlight w:val="none"/>
                </w:rPr>
              </m:ctrlPr>
            </m:fPr>
            <m:num>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i/>
                      <w:color w:val="auto"/>
                      <w:highlight w:val="none"/>
                    </w:rPr>
                  </m:ctrlPr>
                </m:sub>
              </m:sSub>
              <m:ctrlPr>
                <w:rPr>
                  <w:rFonts w:hint="default" w:ascii="Cambria Math" w:hAnsi="Cambria Math" w:eastAsia="宋体" w:cs="Times New Roman"/>
                  <w:i/>
                  <w:color w:val="auto"/>
                  <w:highlight w:val="none"/>
                </w:rPr>
              </m:ctrlPr>
            </m:num>
            <m:den>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oi</m:t>
                  </m:r>
                  <m:ctrlPr>
                    <w:rPr>
                      <w:rFonts w:hint="default" w:ascii="Cambria Math" w:hAnsi="Cambria Math" w:eastAsia="宋体" w:cs="Times New Roman"/>
                      <w:i/>
                      <w:color w:val="auto"/>
                      <w:highlight w:val="none"/>
                    </w:rPr>
                  </m:ctrlPr>
                </m:sub>
              </m:sSub>
              <m:ctrlPr>
                <w:rPr>
                  <w:rFonts w:hint="default" w:ascii="Cambria Math" w:hAnsi="Cambria Math" w:eastAsia="宋体" w:cs="Times New Roman"/>
                  <w:i/>
                  <w:color w:val="auto"/>
                  <w:highlight w:val="none"/>
                </w:rPr>
              </m:ctrlPr>
            </m:den>
          </m:f>
        </m:oMath>
      </m:oMathPara>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式中：I—第i项污染物的大气质量指数</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—第i项污染物的实测值，mg/Nm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oi</w:t>
      </w:r>
      <w:r>
        <w:rPr>
          <w:rFonts w:hint="default" w:ascii="Times New Roman" w:hAnsi="Times New Roman" w:eastAsia="宋体" w:cs="Times New Roman"/>
          <w:color w:val="auto"/>
          <w:highlight w:val="none"/>
        </w:rPr>
        <w:t>—第i项污染物的标准值，mg/Nm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若指数&gt;100%，表明该大气指标超过了规定的大气环境质量标准限值，占标率越大，说明该大气指标超标越严重。</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（3）监测和分析方法</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分析方法详见表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3。</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3环境空气监测分析方法与检出限</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77"/>
        <w:gridCol w:w="1034"/>
        <w:gridCol w:w="3116"/>
        <w:gridCol w:w="2814"/>
        <w:gridCol w:w="154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7"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034"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311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检测依据</w:t>
            </w:r>
          </w:p>
        </w:tc>
        <w:tc>
          <w:tcPr>
            <w:tcW w:w="2814"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主要检测仪器/型号</w:t>
            </w:r>
          </w:p>
        </w:tc>
        <w:tc>
          <w:tcPr>
            <w:tcW w:w="15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检出限/精度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77"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034"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TSP</w:t>
            </w:r>
          </w:p>
        </w:tc>
        <w:tc>
          <w:tcPr>
            <w:tcW w:w="311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环境空气总悬浮颗粒物的测定</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重量法GB/T15432-1995</w:t>
            </w:r>
          </w:p>
        </w:tc>
        <w:tc>
          <w:tcPr>
            <w:tcW w:w="2814"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综合大气采样器HY-1201</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LNZTLH-YQ-011</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0.001mg/m3</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（4）补充监测结果</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监测结果见表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4。</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4环境空气质量监测点位</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1134"/>
        <w:gridCol w:w="1134"/>
        <w:gridCol w:w="1134"/>
        <w:gridCol w:w="1134"/>
        <w:gridCol w:w="1142"/>
        <w:gridCol w:w="1126"/>
        <w:gridCol w:w="8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8" w:type="dxa"/>
            <w:vMerge w:val="restart"/>
            <w:vAlign w:val="center"/>
          </w:tcPr>
          <w:p>
            <w:pPr>
              <w:pStyle w:val="104"/>
              <w:jc w:val="center"/>
              <w:rPr>
                <w:rFonts w:hint="default" w:ascii="Times New Roman" w:hAnsi="Times New Roman" w:eastAsia="宋体" w:cs="Times New Roman"/>
                <w:color w:val="auto"/>
                <w:kern w:val="0"/>
                <w:highlight w:val="none"/>
                <w:lang w:bidi="ar"/>
              </w:rPr>
            </w:pPr>
            <w:r>
              <w:rPr>
                <w:rFonts w:hint="default" w:ascii="Times New Roman" w:hAnsi="Times New Roman" w:eastAsia="宋体" w:cs="Times New Roman"/>
                <w:color w:val="auto"/>
                <w:highlight w:val="none"/>
              </w:rPr>
              <w:t>监测名称</w:t>
            </w:r>
          </w:p>
        </w:tc>
        <w:tc>
          <w:tcPr>
            <w:tcW w:w="1134"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评价因子</w:t>
            </w:r>
          </w:p>
        </w:tc>
        <w:tc>
          <w:tcPr>
            <w:tcW w:w="1134"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平均时间</w:t>
            </w:r>
          </w:p>
        </w:tc>
        <w:tc>
          <w:tcPr>
            <w:tcW w:w="113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bidi="ar"/>
              </w:rPr>
              <w:t>评价标准</w:t>
            </w:r>
          </w:p>
        </w:tc>
        <w:tc>
          <w:tcPr>
            <w:tcW w:w="113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bidi="ar"/>
              </w:rPr>
              <w:t>浓度范围</w:t>
            </w:r>
          </w:p>
        </w:tc>
        <w:tc>
          <w:tcPr>
            <w:tcW w:w="114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bidi="ar"/>
              </w:rPr>
              <w:t>最大浓度占标率/%</w:t>
            </w:r>
          </w:p>
        </w:tc>
        <w:tc>
          <w:tcPr>
            <w:tcW w:w="1126"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bidi="ar"/>
              </w:rPr>
              <w:t>超标率/%</w:t>
            </w:r>
          </w:p>
        </w:tc>
        <w:tc>
          <w:tcPr>
            <w:tcW w:w="814" w:type="dxa"/>
            <w:vMerge w:val="restart"/>
            <w:vAlign w:val="center"/>
          </w:tcPr>
          <w:p>
            <w:pPr>
              <w:pStyle w:val="104"/>
              <w:jc w:val="center"/>
              <w:rPr>
                <w:rFonts w:hint="default" w:ascii="Times New Roman" w:hAnsi="Times New Roman" w:eastAsia="宋体" w:cs="Times New Roman"/>
                <w:color w:val="auto"/>
                <w:kern w:val="0"/>
                <w:highlight w:val="none"/>
                <w:lang w:bidi="ar"/>
              </w:rPr>
            </w:pPr>
            <w:r>
              <w:rPr>
                <w:rFonts w:hint="default" w:ascii="Times New Roman" w:hAnsi="Times New Roman" w:eastAsia="宋体" w:cs="Times New Roman"/>
                <w:color w:val="auto"/>
                <w:kern w:val="0"/>
                <w:highlight w:val="none"/>
                <w:lang w:bidi="ar"/>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8" w:type="dxa"/>
            <w:vMerge w:val="continue"/>
            <w:vAlign w:val="center"/>
          </w:tcPr>
          <w:p>
            <w:pPr>
              <w:pStyle w:val="104"/>
              <w:jc w:val="center"/>
              <w:rPr>
                <w:rFonts w:hint="default" w:ascii="Times New Roman" w:hAnsi="Times New Roman" w:eastAsia="宋体" w:cs="Times New Roman"/>
                <w:color w:val="auto"/>
                <w:highlight w:val="none"/>
              </w:rPr>
            </w:pPr>
          </w:p>
        </w:tc>
        <w:tc>
          <w:tcPr>
            <w:tcW w:w="1134" w:type="dxa"/>
            <w:vMerge w:val="continue"/>
            <w:vAlign w:val="center"/>
          </w:tcPr>
          <w:p>
            <w:pPr>
              <w:pStyle w:val="104"/>
              <w:jc w:val="center"/>
              <w:rPr>
                <w:rFonts w:hint="default" w:ascii="Times New Roman" w:hAnsi="Times New Roman" w:eastAsia="宋体" w:cs="Times New Roman"/>
                <w:color w:val="auto"/>
                <w:highlight w:val="none"/>
              </w:rPr>
            </w:pPr>
          </w:p>
        </w:tc>
        <w:tc>
          <w:tcPr>
            <w:tcW w:w="1134" w:type="dxa"/>
            <w:vMerge w:val="continue"/>
            <w:vAlign w:val="center"/>
          </w:tcPr>
          <w:p>
            <w:pPr>
              <w:pStyle w:val="104"/>
              <w:jc w:val="center"/>
              <w:rPr>
                <w:rFonts w:hint="default" w:ascii="Times New Roman" w:hAnsi="Times New Roman" w:eastAsia="宋体" w:cs="Times New Roman"/>
                <w:color w:val="auto"/>
                <w:highlight w:val="none"/>
              </w:rPr>
            </w:pPr>
          </w:p>
        </w:tc>
        <w:tc>
          <w:tcPr>
            <w:tcW w:w="113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（μg/m</w:t>
            </w:r>
            <w:r>
              <w:rPr>
                <w:rFonts w:hint="default" w:ascii="Times New Roman" w:hAnsi="Times New Roman" w:eastAsia="宋体" w:cs="Times New Roman"/>
                <w:color w:val="auto"/>
                <w:kern w:val="0"/>
                <w:highlight w:val="none"/>
                <w:vertAlign w:val="superscript"/>
              </w:rPr>
              <w:t>3</w:t>
            </w:r>
            <w:r>
              <w:rPr>
                <w:rFonts w:hint="default" w:ascii="Times New Roman" w:hAnsi="Times New Roman" w:eastAsia="宋体" w:cs="Times New Roman"/>
                <w:color w:val="auto"/>
                <w:kern w:val="0"/>
                <w:highlight w:val="none"/>
              </w:rPr>
              <w:t>）</w:t>
            </w:r>
          </w:p>
        </w:tc>
        <w:tc>
          <w:tcPr>
            <w:tcW w:w="113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（μg/m</w:t>
            </w:r>
            <w:r>
              <w:rPr>
                <w:rFonts w:hint="default" w:ascii="Times New Roman" w:hAnsi="Times New Roman" w:eastAsia="宋体" w:cs="Times New Roman"/>
                <w:color w:val="auto"/>
                <w:kern w:val="0"/>
                <w:highlight w:val="none"/>
                <w:vertAlign w:val="superscript"/>
              </w:rPr>
              <w:t>3</w:t>
            </w:r>
            <w:r>
              <w:rPr>
                <w:rFonts w:hint="default" w:ascii="Times New Roman" w:hAnsi="Times New Roman" w:eastAsia="宋体" w:cs="Times New Roman"/>
                <w:color w:val="auto"/>
                <w:kern w:val="0"/>
                <w:highlight w:val="none"/>
              </w:rPr>
              <w:t>）</w:t>
            </w:r>
          </w:p>
        </w:tc>
        <w:tc>
          <w:tcPr>
            <w:tcW w:w="1142" w:type="dxa"/>
            <w:vMerge w:val="continue"/>
            <w:vAlign w:val="center"/>
          </w:tcPr>
          <w:p>
            <w:pPr>
              <w:pStyle w:val="104"/>
              <w:jc w:val="center"/>
              <w:rPr>
                <w:rFonts w:hint="default" w:ascii="Times New Roman" w:hAnsi="Times New Roman" w:eastAsia="宋体" w:cs="Times New Roman"/>
                <w:color w:val="auto"/>
                <w:highlight w:val="none"/>
              </w:rPr>
            </w:pPr>
          </w:p>
        </w:tc>
        <w:tc>
          <w:tcPr>
            <w:tcW w:w="1126" w:type="dxa"/>
            <w:vMerge w:val="continue"/>
            <w:vAlign w:val="center"/>
          </w:tcPr>
          <w:p>
            <w:pPr>
              <w:pStyle w:val="104"/>
              <w:jc w:val="center"/>
              <w:rPr>
                <w:rFonts w:hint="default" w:ascii="Times New Roman" w:hAnsi="Times New Roman" w:eastAsia="宋体" w:cs="Times New Roman"/>
                <w:color w:val="auto"/>
                <w:highlight w:val="none"/>
              </w:rPr>
            </w:pPr>
          </w:p>
        </w:tc>
        <w:tc>
          <w:tcPr>
            <w:tcW w:w="814" w:type="dxa"/>
            <w:vMerge w:val="continue"/>
            <w:vAlign w:val="center"/>
          </w:tcPr>
          <w:p>
            <w:pPr>
              <w:pStyle w:val="104"/>
              <w:jc w:val="center"/>
              <w:rPr>
                <w:rFonts w:hint="default" w:ascii="Times New Roman" w:hAnsi="Times New Roman" w:eastAsia="宋体" w:cs="Times New Roman"/>
                <w:color w:val="auto"/>
                <w:kern w:val="0"/>
                <w:highlight w:val="none"/>
                <w:lang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项目所在地A1</w:t>
            </w:r>
          </w:p>
        </w:tc>
        <w:tc>
          <w:tcPr>
            <w:tcW w:w="1134" w:type="dxa"/>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highlight w:val="none"/>
              </w:rPr>
              <w:t>TSP</w:t>
            </w:r>
          </w:p>
        </w:tc>
        <w:tc>
          <w:tcPr>
            <w:tcW w:w="1134" w:type="dxa"/>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日均值</w:t>
            </w:r>
          </w:p>
        </w:tc>
        <w:tc>
          <w:tcPr>
            <w:tcW w:w="1134" w:type="dxa"/>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300</w:t>
            </w:r>
          </w:p>
        </w:tc>
        <w:tc>
          <w:tcPr>
            <w:tcW w:w="1134"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157</w:t>
            </w:r>
          </w:p>
        </w:tc>
        <w:tc>
          <w:tcPr>
            <w:tcW w:w="1142" w:type="dxa"/>
            <w:vAlign w:val="center"/>
          </w:tcPr>
          <w:p>
            <w:pPr>
              <w:pStyle w:val="104"/>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0.</w:t>
            </w:r>
            <w:r>
              <w:rPr>
                <w:rFonts w:hint="default" w:ascii="Times New Roman" w:hAnsi="Times New Roman" w:eastAsia="宋体" w:cs="Times New Roman"/>
                <w:color w:val="auto"/>
                <w:szCs w:val="21"/>
                <w:highlight w:val="none"/>
                <w:lang w:val="en-US" w:eastAsia="zh-CN"/>
              </w:rPr>
              <w:t>52</w:t>
            </w:r>
          </w:p>
        </w:tc>
        <w:tc>
          <w:tcPr>
            <w:tcW w:w="1126"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c>
          <w:tcPr>
            <w:tcW w:w="814" w:type="dxa"/>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1"/>
                <w:highlight w:val="none"/>
                <w:lang w:val="en-US" w:eastAsia="zh-CN" w:bidi="ar-SA"/>
              </w:rPr>
              <w:t>项目南侧胡家沟</w:t>
            </w:r>
            <w:r>
              <w:rPr>
                <w:rFonts w:hint="eastAsia" w:cs="Times New Roman"/>
                <w:color w:val="auto"/>
                <w:kern w:val="2"/>
                <w:sz w:val="21"/>
                <w:szCs w:val="21"/>
                <w:highlight w:val="none"/>
                <w:lang w:val="en-US" w:eastAsia="zh-CN" w:bidi="ar-SA"/>
              </w:rPr>
              <w:t>（贾家堡）</w:t>
            </w:r>
            <w:r>
              <w:rPr>
                <w:rFonts w:hint="default" w:ascii="Times New Roman" w:hAnsi="Times New Roman" w:eastAsia="宋体" w:cs="Times New Roman"/>
                <w:bCs/>
                <w:color w:val="auto"/>
                <w:highlight w:val="none"/>
              </w:rPr>
              <w:t>A2</w:t>
            </w:r>
          </w:p>
        </w:tc>
        <w:tc>
          <w:tcPr>
            <w:tcW w:w="1134" w:type="dxa"/>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highlight w:val="none"/>
              </w:rPr>
              <w:t>TSP</w:t>
            </w:r>
          </w:p>
        </w:tc>
        <w:tc>
          <w:tcPr>
            <w:tcW w:w="1134" w:type="dxa"/>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日均值</w:t>
            </w:r>
          </w:p>
        </w:tc>
        <w:tc>
          <w:tcPr>
            <w:tcW w:w="113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300</w:t>
            </w:r>
          </w:p>
        </w:tc>
        <w:tc>
          <w:tcPr>
            <w:tcW w:w="1134"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129</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151</w:t>
            </w:r>
          </w:p>
        </w:tc>
        <w:tc>
          <w:tcPr>
            <w:tcW w:w="1142" w:type="dxa"/>
            <w:vAlign w:val="center"/>
          </w:tcPr>
          <w:p>
            <w:pPr>
              <w:pStyle w:val="104"/>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0.</w:t>
            </w:r>
            <w:r>
              <w:rPr>
                <w:rFonts w:hint="default" w:ascii="Times New Roman" w:hAnsi="Times New Roman" w:eastAsia="宋体" w:cs="Times New Roman"/>
                <w:color w:val="auto"/>
                <w:szCs w:val="21"/>
                <w:highlight w:val="none"/>
                <w:lang w:val="en-US" w:eastAsia="zh-CN"/>
              </w:rPr>
              <w:t>50</w:t>
            </w:r>
          </w:p>
        </w:tc>
        <w:tc>
          <w:tcPr>
            <w:tcW w:w="1126"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c>
          <w:tcPr>
            <w:tcW w:w="814" w:type="dxa"/>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达标</w:t>
            </w:r>
          </w:p>
        </w:tc>
      </w:tr>
    </w:tbl>
    <w:p>
      <w:pPr>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4可见，项目评价范围内TSP满足《环境空气质量标准》（GB3095-2012）二级标准要求。</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4.2.2.</w:t>
      </w:r>
      <w:r>
        <w:rPr>
          <w:rFonts w:hint="default" w:ascii="Times New Roman" w:hAnsi="Times New Roman" w:eastAsia="宋体" w:cs="Times New Roman"/>
          <w:color w:val="auto"/>
          <w:sz w:val="24"/>
          <w:highlight w:val="none"/>
        </w:rPr>
        <w:t>2地表水环境质量现状调查与评价</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收集项目南侧岫岩满族自治县瑞泰矿业有限公司核桃沟铁矿项目对南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lang w:val="en-US" w:eastAsia="zh-CN"/>
        </w:rPr>
        <w:t>的</w:t>
      </w:r>
      <w:r>
        <w:rPr>
          <w:rFonts w:hint="default" w:ascii="Times New Roman" w:hAnsi="Times New Roman" w:eastAsia="宋体" w:cs="Times New Roman"/>
          <w:color w:val="auto"/>
          <w:highlight w:val="none"/>
        </w:rPr>
        <w:t>地表水环境质量现状监测</w:t>
      </w:r>
      <w:r>
        <w:rPr>
          <w:rFonts w:hint="default" w:ascii="Times New Roman" w:hAnsi="Times New Roman" w:eastAsia="宋体" w:cs="Times New Roman"/>
          <w:color w:val="auto"/>
          <w:highlight w:val="none"/>
          <w:lang w:val="en-US" w:eastAsia="zh-CN"/>
        </w:rPr>
        <w:t>数据</w:t>
      </w:r>
      <w:r>
        <w:rPr>
          <w:rFonts w:hint="default" w:ascii="Times New Roman" w:hAnsi="Times New Roman" w:eastAsia="宋体" w:cs="Times New Roman"/>
          <w:color w:val="auto"/>
          <w:highlight w:val="none"/>
        </w:rPr>
        <w:t>，监测结果如下。</w:t>
      </w:r>
    </w:p>
    <w:p>
      <w:pPr>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（1）监测点位布设</w:t>
      </w:r>
    </w:p>
    <w:p>
      <w:pPr>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在评价区内</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流域设置2个监测点位，具体点位布设见表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5，建设项目监测布点见图</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2。</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5</w:t>
      </w:r>
      <w:r>
        <w:rPr>
          <w:rFonts w:hint="default" w:ascii="Times New Roman" w:hAnsi="Times New Roman" w:eastAsia="宋体" w:cs="Times New Roman"/>
          <w:b/>
          <w:color w:val="auto"/>
          <w:sz w:val="21"/>
          <w:szCs w:val="21"/>
          <w:highlight w:val="none"/>
          <w:lang w:eastAsia="zh-CN"/>
        </w:rPr>
        <w:t>牤牛河</w:t>
      </w:r>
      <w:r>
        <w:rPr>
          <w:rFonts w:hint="default" w:ascii="Times New Roman" w:hAnsi="Times New Roman" w:eastAsia="宋体" w:cs="Times New Roman"/>
          <w:b/>
          <w:color w:val="auto"/>
          <w:sz w:val="21"/>
          <w:szCs w:val="21"/>
          <w:highlight w:val="none"/>
        </w:rPr>
        <w:t>地表水环境质量监测点位</w:t>
      </w:r>
    </w:p>
    <w:tbl>
      <w:tblPr>
        <w:tblStyle w:val="45"/>
        <w:tblW w:w="9286" w:type="dxa"/>
        <w:jc w:val="center"/>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162"/>
        <w:gridCol w:w="1582"/>
        <w:gridCol w:w="1237"/>
        <w:gridCol w:w="1658"/>
        <w:gridCol w:w="1892"/>
        <w:gridCol w:w="1755"/>
      </w:tblGrid>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PrEx>
        <w:trPr>
          <w:jc w:val="center"/>
        </w:trPr>
        <w:tc>
          <w:tcPr>
            <w:tcW w:w="1162" w:type="dxa"/>
            <w:vMerge w:val="restart"/>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编号</w:t>
            </w:r>
          </w:p>
        </w:tc>
        <w:tc>
          <w:tcPr>
            <w:tcW w:w="1582" w:type="dxa"/>
            <w:vMerge w:val="restart"/>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监测断面</w:t>
            </w:r>
          </w:p>
        </w:tc>
        <w:tc>
          <w:tcPr>
            <w:tcW w:w="1237" w:type="dxa"/>
            <w:vMerge w:val="restart"/>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功能区划</w:t>
            </w:r>
          </w:p>
        </w:tc>
        <w:tc>
          <w:tcPr>
            <w:tcW w:w="1658" w:type="dxa"/>
            <w:vMerge w:val="restart"/>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与项目位置</w:t>
            </w:r>
          </w:p>
        </w:tc>
        <w:tc>
          <w:tcPr>
            <w:tcW w:w="3647" w:type="dxa"/>
            <w:gridSpan w:val="2"/>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地理位置</w:t>
            </w:r>
            <w:r>
              <w:rPr>
                <w:rFonts w:hint="default" w:ascii="Times New Roman" w:hAnsi="Times New Roman" w:eastAsia="宋体" w:cs="Times New Roman"/>
                <w:color w:val="auto"/>
                <w:kern w:val="0"/>
                <w:szCs w:val="21"/>
                <w:highlight w:val="none"/>
                <w:lang w:bidi="ar"/>
              </w:rPr>
              <w:t>/m</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62" w:type="dxa"/>
            <w:vMerge w:val="continue"/>
            <w:tcBorders>
              <w:tl2br w:val="nil"/>
              <w:tr2bl w:val="nil"/>
            </w:tcBorders>
            <w:vAlign w:val="center"/>
          </w:tcPr>
          <w:p>
            <w:pPr>
              <w:pStyle w:val="104"/>
              <w:jc w:val="center"/>
              <w:rPr>
                <w:rFonts w:hint="default" w:ascii="Times New Roman" w:hAnsi="Times New Roman" w:eastAsia="宋体" w:cs="Times New Roman"/>
                <w:color w:val="auto"/>
                <w:highlight w:val="none"/>
              </w:rPr>
            </w:pPr>
          </w:p>
        </w:tc>
        <w:tc>
          <w:tcPr>
            <w:tcW w:w="1582" w:type="dxa"/>
            <w:vMerge w:val="continue"/>
            <w:tcBorders>
              <w:tl2br w:val="nil"/>
              <w:tr2bl w:val="nil"/>
            </w:tcBorders>
            <w:vAlign w:val="center"/>
          </w:tcPr>
          <w:p>
            <w:pPr>
              <w:pStyle w:val="104"/>
              <w:jc w:val="center"/>
              <w:rPr>
                <w:rFonts w:hint="default" w:ascii="Times New Roman" w:hAnsi="Times New Roman" w:eastAsia="宋体" w:cs="Times New Roman"/>
                <w:color w:val="auto"/>
                <w:highlight w:val="none"/>
              </w:rPr>
            </w:pPr>
          </w:p>
        </w:tc>
        <w:tc>
          <w:tcPr>
            <w:tcW w:w="1237" w:type="dxa"/>
            <w:vMerge w:val="continue"/>
            <w:tcBorders>
              <w:tl2br w:val="nil"/>
              <w:tr2bl w:val="nil"/>
            </w:tcBorders>
            <w:vAlign w:val="center"/>
          </w:tcPr>
          <w:p>
            <w:pPr>
              <w:pStyle w:val="104"/>
              <w:jc w:val="center"/>
              <w:rPr>
                <w:rFonts w:hint="default" w:ascii="Times New Roman" w:hAnsi="Times New Roman" w:eastAsia="宋体" w:cs="Times New Roman"/>
                <w:color w:val="auto"/>
                <w:highlight w:val="none"/>
              </w:rPr>
            </w:pPr>
          </w:p>
        </w:tc>
        <w:tc>
          <w:tcPr>
            <w:tcW w:w="1658" w:type="dxa"/>
            <w:vMerge w:val="continue"/>
            <w:tcBorders>
              <w:tl2br w:val="nil"/>
              <w:tr2bl w:val="nil"/>
            </w:tcBorders>
            <w:vAlign w:val="center"/>
          </w:tcPr>
          <w:p>
            <w:pPr>
              <w:pStyle w:val="104"/>
              <w:jc w:val="center"/>
              <w:rPr>
                <w:rFonts w:hint="default" w:ascii="Times New Roman" w:hAnsi="Times New Roman" w:eastAsia="宋体" w:cs="Times New Roman"/>
                <w:color w:val="auto"/>
                <w:highlight w:val="none"/>
              </w:rPr>
            </w:pPr>
          </w:p>
        </w:tc>
        <w:tc>
          <w:tcPr>
            <w:tcW w:w="1892"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w:t>
            </w:r>
          </w:p>
        </w:tc>
        <w:tc>
          <w:tcPr>
            <w:tcW w:w="1755"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 xml:space="preserve"> N</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62"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W1#</w:t>
            </w:r>
          </w:p>
        </w:tc>
        <w:tc>
          <w:tcPr>
            <w:tcW w:w="1582"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上游</w:t>
            </w:r>
          </w:p>
        </w:tc>
        <w:tc>
          <w:tcPr>
            <w:tcW w:w="123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Ⅱ类</w:t>
            </w:r>
          </w:p>
        </w:tc>
        <w:tc>
          <w:tcPr>
            <w:tcW w:w="1658"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w:t>
            </w:r>
          </w:p>
        </w:tc>
        <w:tc>
          <w:tcPr>
            <w:tcW w:w="1892" w:type="dxa"/>
            <w:tcBorders>
              <w:tl2br w:val="nil"/>
              <w:tr2bl w:val="nil"/>
            </w:tcBorders>
            <w:vAlign w:val="center"/>
          </w:tcPr>
          <w:p>
            <w:pPr>
              <w:pStyle w:val="104"/>
              <w:jc w:val="center"/>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123°20’9</w:t>
            </w:r>
            <w:r>
              <w:rPr>
                <w:rFonts w:hint="eastAsia" w:cs="Times New Roman"/>
                <w:color w:val="auto"/>
                <w:highlight w:val="none"/>
                <w:lang w:eastAsia="zh-CN"/>
              </w:rPr>
              <w:t>”</w:t>
            </w:r>
          </w:p>
        </w:tc>
        <w:tc>
          <w:tcPr>
            <w:tcW w:w="1755" w:type="dxa"/>
            <w:tcBorders>
              <w:tl2br w:val="nil"/>
              <w:tr2bl w:val="nil"/>
            </w:tcBorders>
            <w:vAlign w:val="center"/>
          </w:tcPr>
          <w:p>
            <w:pPr>
              <w:pStyle w:val="104"/>
              <w:jc w:val="center"/>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40°26’30</w:t>
            </w:r>
            <w:r>
              <w:rPr>
                <w:rFonts w:hint="eastAsia" w:cs="Times New Roman"/>
                <w:color w:val="auto"/>
                <w:highlight w:val="none"/>
                <w:lang w:eastAsia="zh-CN"/>
              </w:rPr>
              <w:t>”</w:t>
            </w:r>
          </w:p>
        </w:tc>
      </w:tr>
      <w:tr>
        <w:tblPrEx>
          <w:tblBorders>
            <w:top w:val="single" w:color="000000" w:themeColor="text1" w:sz="12" w:space="0"/>
            <w:left w:val="none" w:color="auto" w:sz="0" w:space="0"/>
            <w:bottom w:val="single" w:color="000000" w:themeColor="text1" w:sz="12" w:space="0"/>
            <w:right w:val="none" w:color="auto" w:sz="0"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1162"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W2#</w:t>
            </w:r>
          </w:p>
        </w:tc>
        <w:tc>
          <w:tcPr>
            <w:tcW w:w="1582"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下游</w:t>
            </w:r>
          </w:p>
        </w:tc>
        <w:tc>
          <w:tcPr>
            <w:tcW w:w="123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Ⅱ类</w:t>
            </w:r>
          </w:p>
        </w:tc>
        <w:tc>
          <w:tcPr>
            <w:tcW w:w="1658"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w:t>
            </w:r>
          </w:p>
        </w:tc>
        <w:tc>
          <w:tcPr>
            <w:tcW w:w="1892" w:type="dxa"/>
            <w:tcBorders>
              <w:tl2br w:val="nil"/>
              <w:tr2bl w:val="nil"/>
            </w:tcBorders>
            <w:vAlign w:val="center"/>
          </w:tcPr>
          <w:p>
            <w:pPr>
              <w:pStyle w:val="104"/>
              <w:jc w:val="center"/>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123°21’17</w:t>
            </w:r>
            <w:r>
              <w:rPr>
                <w:rFonts w:hint="eastAsia" w:cs="Times New Roman"/>
                <w:color w:val="auto"/>
                <w:highlight w:val="none"/>
                <w:lang w:eastAsia="zh-CN"/>
              </w:rPr>
              <w:t>”</w:t>
            </w:r>
          </w:p>
        </w:tc>
        <w:tc>
          <w:tcPr>
            <w:tcW w:w="1755" w:type="dxa"/>
            <w:tcBorders>
              <w:tl2br w:val="nil"/>
              <w:tr2bl w:val="nil"/>
            </w:tcBorders>
            <w:vAlign w:val="center"/>
          </w:tcPr>
          <w:p>
            <w:pPr>
              <w:pStyle w:val="104"/>
              <w:jc w:val="center"/>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40°26’15</w:t>
            </w:r>
            <w:r>
              <w:rPr>
                <w:rFonts w:hint="eastAsia" w:cs="Times New Roman"/>
                <w:color w:val="auto"/>
                <w:highlight w:val="none"/>
                <w:lang w:eastAsia="zh-CN"/>
              </w:rPr>
              <w:t>”</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（2）监测项目</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监测项目：悬浮物、pH、硫化物、氯化物、石油类、氨氮、CODcr、BOD5、铁、铜、铅、锌、镉、汞、砷、氟化物、硝酸盐氮、亚硝酸盐氮、六价铬共19项。</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（3）监测时间及频次</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监测时间为20</w:t>
      </w:r>
      <w:r>
        <w:rPr>
          <w:rFonts w:hint="default"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rPr>
        <w:t>日-</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24</w:t>
      </w:r>
      <w:r>
        <w:rPr>
          <w:rFonts w:hint="default" w:ascii="Times New Roman" w:hAnsi="Times New Roman" w:eastAsia="宋体" w:cs="Times New Roman"/>
          <w:color w:val="auto"/>
          <w:highlight w:val="none"/>
        </w:rPr>
        <w:t>日，连续监测3天，每天1次。</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（4）监测和分析方法</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分析方法详见表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6。</w:t>
      </w:r>
    </w:p>
    <w:p>
      <w:pPr>
        <w:spacing w:line="240" w:lineRule="auto"/>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6地表水监测分析方法与检出限</w:t>
      </w:r>
    </w:p>
    <w:tbl>
      <w:tblPr>
        <w:tblStyle w:val="45"/>
        <w:tblW w:w="9286" w:type="dxa"/>
        <w:jc w:val="center"/>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391"/>
        <w:gridCol w:w="3729"/>
        <w:gridCol w:w="1985"/>
        <w:gridCol w:w="1445"/>
      </w:tblGrid>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分析项目</w:t>
            </w:r>
          </w:p>
        </w:tc>
        <w:tc>
          <w:tcPr>
            <w:tcW w:w="372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分析方法及依据</w:t>
            </w:r>
          </w:p>
        </w:tc>
        <w:tc>
          <w:tcPr>
            <w:tcW w:w="1985"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仪器名称及型号</w:t>
            </w:r>
          </w:p>
        </w:tc>
        <w:tc>
          <w:tcPr>
            <w:tcW w:w="1445"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检出限/精度</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pH值</w:t>
            </w:r>
          </w:p>
        </w:tc>
        <w:tc>
          <w:tcPr>
            <w:tcW w:w="372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pt-BR"/>
              </w:rPr>
            </w:pPr>
            <w:r>
              <w:rPr>
                <w:rFonts w:hint="default" w:ascii="Times New Roman" w:hAnsi="Times New Roman" w:eastAsia="宋体" w:cs="Times New Roman"/>
                <w:color w:val="auto"/>
                <w:sz w:val="21"/>
                <w:szCs w:val="21"/>
                <w:highlight w:val="none"/>
                <w:lang w:val="pt-BR"/>
              </w:rPr>
              <w:t>水质pH值的测定玻璃电极法</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pt-BR"/>
              </w:rPr>
              <w:t>GB6920-86</w:t>
            </w:r>
          </w:p>
        </w:tc>
        <w:tc>
          <w:tcPr>
            <w:tcW w:w="1985"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pH计</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PHS-25</w:t>
            </w:r>
          </w:p>
        </w:tc>
        <w:tc>
          <w:tcPr>
            <w:tcW w:w="1445"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2"/>
                <w:szCs w:val="22"/>
                <w:highlight w:val="none"/>
              </w:rPr>
              <w:t>—</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化学需氧量</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水质化学需氧量的测定重铬酸盐法HJ828-2017</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回流消解仪6B-6C</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生化需氧量</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水质五日生化需氧量（BOD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）的测定稀释与接种法HJ505-2009</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电热生化培养箱SPX-80B便携式溶解氧测定仪JPB-607A</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0.5mg/L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石油类</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水质石油类的测定紫外分光光度法（试行）HJ970-2018</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紫外可见分光光度计756S</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氯化物</w:t>
            </w:r>
          </w:p>
        </w:tc>
        <w:tc>
          <w:tcPr>
            <w:tcW w:w="3729"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 xml:space="preserve">水质氯化物的测定硝酸银滴定法 GB/T 11896-1989 </w:t>
            </w:r>
          </w:p>
        </w:tc>
        <w:tc>
          <w:tcPr>
            <w:tcW w:w="1985"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50ml滴定管</w:t>
            </w:r>
          </w:p>
        </w:tc>
        <w:tc>
          <w:tcPr>
            <w:tcW w:w="1445"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2"/>
                <w:szCs w:val="22"/>
                <w:highlight w:val="none"/>
              </w:rPr>
              <w:t>—</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氟化物</w:t>
            </w:r>
          </w:p>
        </w:tc>
        <w:tc>
          <w:tcPr>
            <w:tcW w:w="3729"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 xml:space="preserve">水质氟化物的测定 氟试剂分光光度法HJ 488-2009 </w:t>
            </w:r>
          </w:p>
        </w:tc>
        <w:tc>
          <w:tcPr>
            <w:tcW w:w="1985" w:type="dxa"/>
            <w:vAlign w:val="center"/>
          </w:tcPr>
          <w:p>
            <w:pPr>
              <w:pStyle w:val="104"/>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 xml:space="preserve">紫外可见分光光度计 UV1750 </w:t>
            </w:r>
          </w:p>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 xml:space="preserve">SYY C-SB-03 6-00 </w:t>
            </w:r>
          </w:p>
        </w:tc>
        <w:tc>
          <w:tcPr>
            <w:tcW w:w="1445"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0.</w:t>
            </w:r>
            <w:r>
              <w:rPr>
                <w:rFonts w:hint="default"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rPr>
              <w:t>2mg/L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总铅</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水质铜、锌、铅、镉的测定</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原子吸收分光光度法GB7475-1987</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原子吸收分光光度计AA-7001</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总镉</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水质铜、锌、铅、镉的测定</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原子吸收分光光度法GB7475-1987</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原子吸收分光光度计AA-7001</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0.05mg/L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铬（六价）</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水质六价铬的测定二苯碳酰二肼分光光度法GB7467-1987</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紫外可见分光光度计756S</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0.004mg/L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水质汞、砷、硒、铋和锑的测定原子荧光法HJ694-2014</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原子荧光分光光度计AF-7500B</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0.04µg/L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总砷</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水质汞、砷、硒、铋和锑的测定原子荧光法HJ694-2014</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原子荧光分光光度计AF-7500B</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0.04µg/L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铁</w:t>
            </w:r>
          </w:p>
        </w:tc>
        <w:tc>
          <w:tcPr>
            <w:tcW w:w="3729"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水质铁、 锚的测定火焰原子吸收分光光度法GB/T 11911-1989</w:t>
            </w:r>
          </w:p>
        </w:tc>
        <w:tc>
          <w:tcPr>
            <w:tcW w:w="1985" w:type="dxa"/>
            <w:vAlign w:val="center"/>
          </w:tcPr>
          <w:p>
            <w:pPr>
              <w:pStyle w:val="104"/>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火焰原子吸收分光光度i十AA-6300C</w:t>
            </w:r>
          </w:p>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SYYC-SB-034 00</w:t>
            </w:r>
          </w:p>
        </w:tc>
        <w:tc>
          <w:tcPr>
            <w:tcW w:w="1445"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0.</w:t>
            </w:r>
            <w:r>
              <w:rPr>
                <w:rFonts w:hint="default" w:ascii="Times New Roman" w:hAnsi="Times New Roman" w:eastAsia="宋体" w:cs="Times New Roman"/>
                <w:color w:val="auto"/>
                <w:szCs w:val="21"/>
                <w:highlight w:val="none"/>
                <w:lang w:val="en-US" w:eastAsia="zh-CN"/>
              </w:rPr>
              <w:t>0</w:t>
            </w:r>
            <w:r>
              <w:rPr>
                <w:rFonts w:hint="default" w:ascii="Times New Roman" w:hAnsi="Times New Roman" w:eastAsia="宋体" w:cs="Times New Roman"/>
                <w:color w:val="auto"/>
                <w:szCs w:val="21"/>
                <w:highlight w:val="none"/>
              </w:rPr>
              <w:t>3mg/L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水质氨氮的测定纳氏试剂分光光度法HJ535-2009</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紫外可见分光光度计756S</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0.025mg/L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悬浮物</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水质悬浮物的测定重量法</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GB11901-1989</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电子天平JJ224BC</w:t>
            </w:r>
          </w:p>
        </w:tc>
        <w:tc>
          <w:tcPr>
            <w:tcW w:w="1445" w:type="dxa"/>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硫化物</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水质硫化物的测定亚甲基蓝分光光度法GB/T16489-1996</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紫外可见分光光度计756S</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0.005mg/L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铜</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水质铜、锌、铅、镉的测定</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原子吸收分光光度法GB7475-1987</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原子吸收分光光度计AA-7001</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0.05mg/L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锌</w:t>
            </w:r>
          </w:p>
        </w:tc>
        <w:tc>
          <w:tcPr>
            <w:tcW w:w="37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水质铜、锌、铅、镉的测定原子吸收分光光度法GB7475-1987</w:t>
            </w:r>
          </w:p>
        </w:tc>
        <w:tc>
          <w:tcPr>
            <w:tcW w:w="19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原子吸收分光光度计AA-7001</w:t>
            </w:r>
          </w:p>
        </w:tc>
        <w:tc>
          <w:tcPr>
            <w:tcW w:w="14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0.05mg/L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硝酸盐氮</w:t>
            </w:r>
          </w:p>
        </w:tc>
        <w:tc>
          <w:tcPr>
            <w:tcW w:w="3729"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 xml:space="preserve">水质硝酸盐氮的测定紫外分光光度法（试行〉 HJ/T 346-2007 </w:t>
            </w:r>
          </w:p>
        </w:tc>
        <w:tc>
          <w:tcPr>
            <w:tcW w:w="1985" w:type="dxa"/>
            <w:vAlign w:val="center"/>
          </w:tcPr>
          <w:p>
            <w:pPr>
              <w:pStyle w:val="104"/>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 xml:space="preserve">紫外可见分光光度计 UV1750 </w:t>
            </w:r>
          </w:p>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 xml:space="preserve">SYYC-SB-03 6-00 </w:t>
            </w:r>
          </w:p>
        </w:tc>
        <w:tc>
          <w:tcPr>
            <w:tcW w:w="1445"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0.0</w:t>
            </w:r>
            <w:r>
              <w:rPr>
                <w:rFonts w:hint="default"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rPr>
              <w:t>mg/L</w:t>
            </w:r>
          </w:p>
        </w:tc>
      </w:tr>
      <w:tr>
        <w:tblPrEx>
          <w:tblBorders>
            <w:top w:val="single" w:color="auto" w:sz="12" w:space="0"/>
            <w:left w:val="single" w:color="FFFFFF" w:sz="12" w:space="0"/>
            <w:bottom w:val="single" w:color="auto" w:sz="12" w:space="0"/>
            <w:right w:val="single" w:color="FFFFFF"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w:t>
            </w:r>
          </w:p>
        </w:tc>
        <w:tc>
          <w:tcPr>
            <w:tcW w:w="139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亚硝酸盐氮</w:t>
            </w:r>
          </w:p>
        </w:tc>
        <w:tc>
          <w:tcPr>
            <w:tcW w:w="3729" w:type="dxa"/>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水质亚硝酸盐氮的测定分光光度法</w:t>
            </w:r>
          </w:p>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GB7493-1987</w:t>
            </w:r>
          </w:p>
        </w:tc>
        <w:tc>
          <w:tcPr>
            <w:tcW w:w="1985"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紫外可见分光光度计756S</w:t>
            </w:r>
          </w:p>
        </w:tc>
        <w:tc>
          <w:tcPr>
            <w:tcW w:w="1445"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0.003mg/L</w:t>
            </w:r>
          </w:p>
        </w:tc>
      </w:tr>
    </w:tbl>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（5）地表水环境质量评价</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1）评价方法</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利用《环境影响评价技术导则地表水》（HJ2.3-2018）附录D所推荐的单项水质参数对水体环境质量进行评价。</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一般水质因子的指数的计算采用下式：</w:t>
      </w:r>
    </w:p>
    <w:p>
      <w:pPr>
        <w:ind w:firstLine="480"/>
        <w:rPr>
          <w:rFonts w:hint="default" w:ascii="Times New Roman" w:hAnsi="Times New Roman" w:eastAsia="宋体" w:cs="Times New Roman"/>
          <w:color w:val="auto"/>
          <w:highlight w:val="none"/>
        </w:rPr>
      </w:pPr>
      <m:oMathPara>
        <m:oMath>
          <m:sSub>
            <m:sSubPr>
              <m:ctrlPr>
                <w:rPr>
                  <w:rFonts w:hint="default" w:ascii="Cambria Math" w:hAnsi="Cambria Math" w:eastAsia="宋体" w:cs="Times New Roman"/>
                  <w:color w:val="auto"/>
                  <w:highlight w:val="none"/>
                </w:rPr>
              </m:ctrlPr>
            </m:sSubPr>
            <m:e>
              <m:r>
                <m:rPr/>
                <w:rPr>
                  <w:rFonts w:hint="default" w:ascii="Cambria Math" w:hAnsi="Cambria Math" w:eastAsia="宋体" w:cs="Times New Roman"/>
                  <w:color w:val="auto"/>
                  <w:highlight w:val="none"/>
                </w:rPr>
                <m:t>S</m:t>
              </m:r>
              <m:ctrlPr>
                <w:rPr>
                  <w:rFonts w:hint="default" w:ascii="Cambria Math" w:hAnsi="Cambria Math" w:eastAsia="宋体" w:cs="Times New Roman"/>
                  <w:color w:val="auto"/>
                  <w:highlight w:val="none"/>
                </w:rPr>
              </m:ctrlPr>
            </m:e>
            <m:sub>
              <m:r>
                <m:rPr/>
                <w:rPr>
                  <w:rFonts w:hint="default" w:ascii="Cambria Math" w:hAnsi="Cambria Math" w:eastAsia="宋体" w:cs="Times New Roman"/>
                  <w:color w:val="auto"/>
                  <w:highlight w:val="none"/>
                </w:rPr>
                <m:t>i，j</m:t>
              </m:r>
              <m:ctrlPr>
                <w:rPr>
                  <w:rFonts w:hint="default" w:ascii="Cambria Math" w:hAnsi="Cambria Math" w:eastAsia="宋体" w:cs="Times New Roman"/>
                  <w:color w:val="auto"/>
                  <w:highlight w:val="none"/>
                </w:rPr>
              </m:ctrlPr>
            </m:sub>
          </m:sSub>
          <m:r>
            <m:rPr/>
            <w:rPr>
              <w:rFonts w:hint="default" w:ascii="Cambria Math" w:hAnsi="Cambria Math" w:eastAsia="宋体" w:cs="Times New Roman"/>
              <w:color w:val="auto"/>
              <w:highlight w:val="none"/>
            </w:rPr>
            <m:t>=</m:t>
          </m:r>
          <m:f>
            <m:fPr>
              <m:ctrlPr>
                <w:rPr>
                  <w:rFonts w:hint="default" w:ascii="Cambria Math" w:hAnsi="Cambria Math" w:eastAsia="宋体" w:cs="Times New Roman"/>
                  <w:i/>
                  <w:color w:val="auto"/>
                  <w:highlight w:val="none"/>
                </w:rPr>
              </m:ctrlPr>
            </m:fPr>
            <m:num>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i,j</m:t>
                  </m:r>
                  <m:ctrlPr>
                    <w:rPr>
                      <w:rFonts w:hint="default" w:ascii="Cambria Math" w:hAnsi="Cambria Math" w:eastAsia="宋体" w:cs="Times New Roman"/>
                      <w:i/>
                      <w:color w:val="auto"/>
                      <w:highlight w:val="none"/>
                    </w:rPr>
                  </m:ctrlPr>
                </m:sub>
              </m:sSub>
              <m:ctrlPr>
                <w:rPr>
                  <w:rFonts w:hint="default" w:ascii="Cambria Math" w:hAnsi="Cambria Math" w:eastAsia="宋体" w:cs="Times New Roman"/>
                  <w:i/>
                  <w:color w:val="auto"/>
                  <w:highlight w:val="none"/>
                </w:rPr>
              </m:ctrlPr>
            </m:num>
            <m:den>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si</m:t>
                  </m:r>
                  <m:ctrlPr>
                    <w:rPr>
                      <w:rFonts w:hint="default" w:ascii="Cambria Math" w:hAnsi="Cambria Math" w:eastAsia="宋体" w:cs="Times New Roman"/>
                      <w:i/>
                      <w:color w:val="auto"/>
                      <w:highlight w:val="none"/>
                    </w:rPr>
                  </m:ctrlPr>
                </m:sub>
              </m:sSub>
              <m:ctrlPr>
                <w:rPr>
                  <w:rFonts w:hint="default" w:ascii="Cambria Math" w:hAnsi="Cambria Math" w:eastAsia="宋体" w:cs="Times New Roman"/>
                  <w:i/>
                  <w:color w:val="auto"/>
                  <w:highlight w:val="none"/>
                </w:rPr>
              </m:ctrlPr>
            </m:den>
          </m:f>
        </m:oMath>
      </m:oMathPara>
    </w:p>
    <w:p>
      <w:pPr>
        <w:ind w:firstLine="120" w:firstLineChars="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式中：S</w:t>
      </w:r>
      <w:r>
        <w:rPr>
          <w:rFonts w:hint="default" w:ascii="Times New Roman" w:hAnsi="Times New Roman" w:eastAsia="宋体" w:cs="Times New Roman"/>
          <w:color w:val="auto"/>
          <w:highlight w:val="none"/>
          <w:vertAlign w:val="subscript"/>
        </w:rPr>
        <w:t>i,j</w:t>
      </w:r>
      <w:r>
        <w:rPr>
          <w:rFonts w:hint="default" w:ascii="Times New Roman" w:hAnsi="Times New Roman" w:eastAsia="宋体" w:cs="Times New Roman"/>
          <w:color w:val="auto"/>
          <w:highlight w:val="none"/>
        </w:rPr>
        <w:t>—评价因子i的水质指数，大于1表明该水质因子超标；</w:t>
      </w:r>
    </w:p>
    <w:p>
      <w:pPr>
        <w:ind w:firstLine="1080" w:firstLineChars="4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i,j</w:t>
      </w:r>
      <w:r>
        <w:rPr>
          <w:rFonts w:hint="default" w:ascii="Times New Roman" w:hAnsi="Times New Roman" w:eastAsia="宋体" w:cs="Times New Roman"/>
          <w:color w:val="auto"/>
          <w:highlight w:val="none"/>
        </w:rPr>
        <w:t>—评价因子i在j点的实测统计代表值，mg/L；</w:t>
      </w:r>
    </w:p>
    <w:p>
      <w:pPr>
        <w:ind w:firstLine="1080" w:firstLineChars="4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si</w:t>
      </w:r>
      <w:r>
        <w:rPr>
          <w:rFonts w:hint="default" w:ascii="Times New Roman" w:hAnsi="Times New Roman" w:eastAsia="宋体" w:cs="Times New Roman"/>
          <w:color w:val="auto"/>
          <w:highlight w:val="none"/>
        </w:rPr>
        <w:t>—评价因子i的水质评价标准值，mg/Nm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pPr>
        <w:ind w:firstLine="1080" w:firstLineChars="4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pH值指数的计算采用下式：</w:t>
      </w:r>
    </w:p>
    <w:p>
      <w:pPr>
        <w:ind w:firstLine="1200" w:firstLineChars="50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w:t>
      </w:r>
      <w:r>
        <w:rPr>
          <w:rFonts w:hint="default" w:ascii="Times New Roman" w:hAnsi="Times New Roman" w:eastAsia="宋体" w:cs="Times New Roman"/>
          <w:color w:val="auto"/>
          <w:szCs w:val="21"/>
          <w:highlight w:val="none"/>
          <w:vertAlign w:val="subscript"/>
        </w:rPr>
        <w:t>pHj</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position w:val="-30"/>
          <w:szCs w:val="21"/>
          <w:highlight w:val="none"/>
        </w:rPr>
        <w:object>
          <v:shape id="_x0000_i1028" o:spt="75" type="#_x0000_t75" style="height:36pt;width:57pt;" o:ole="t" filled="f" o:preferrelative="t" stroked="f" coordsize="21600,21600">
            <v:path/>
            <v:fill on="f" focussize="0,0"/>
            <v:stroke on="f"/>
            <v:imagedata r:id="rId70" o:title=""/>
            <o:lock v:ext="edit" aspectratio="t"/>
            <w10:wrap type="none"/>
            <w10:anchorlock/>
          </v:shape>
          <o:OLEObject Type="Embed" ProgID="Equation.3" ShapeID="_x0000_i1028" DrawAspect="Content" ObjectID="_1468075728" r:id="rId69">
            <o:LockedField>false</o:LockedField>
          </o:OLEObject>
        </w:object>
      </w:r>
      <w:r>
        <w:rPr>
          <w:rFonts w:hint="default" w:ascii="Times New Roman" w:hAnsi="Times New Roman" w:eastAsia="宋体" w:cs="Times New Roman"/>
          <w:color w:val="auto"/>
          <w:position w:val="-14"/>
          <w:szCs w:val="21"/>
          <w:highlight w:val="none"/>
        </w:rPr>
        <w:object>
          <v:shape id="_x0000_i1029" o:spt="75" type="#_x0000_t75" style="height:18.75pt;width:24.75pt;" o:ole="t" filled="f" o:preferrelative="t" stroked="f" coordsize="21600,21600">
            <v:path/>
            <v:fill on="f" focussize="0,0"/>
            <v:stroke on="f" joinstyle="miter"/>
            <v:imagedata r:id="rId72" o:title=""/>
            <o:lock v:ext="edit" aspectratio="t"/>
            <w10:wrap type="none"/>
            <w10:anchorlock/>
          </v:shape>
          <o:OLEObject Type="Embed" ProgID="Equation.3" ShapeID="_x0000_i1029" DrawAspect="Content" ObjectID="_1468075729" r:id="rId71">
            <o:LockedField>false</o:LockedField>
          </o:OLEObject>
        </w:object>
      </w:r>
      <w:r>
        <w:rPr>
          <w:rFonts w:hint="default" w:ascii="Times New Roman" w:hAnsi="Times New Roman" w:eastAsia="宋体" w:cs="Times New Roman"/>
          <w:color w:val="auto"/>
          <w:szCs w:val="21"/>
          <w:highlight w:val="none"/>
        </w:rPr>
        <w:t>≤7.0；</w:t>
      </w:r>
    </w:p>
    <w:p>
      <w:pPr>
        <w:ind w:firstLine="1200" w:firstLineChars="50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w:t>
      </w:r>
      <w:r>
        <w:rPr>
          <w:rFonts w:hint="default" w:ascii="Times New Roman" w:hAnsi="Times New Roman" w:eastAsia="宋体" w:cs="Times New Roman"/>
          <w:color w:val="auto"/>
          <w:szCs w:val="21"/>
          <w:highlight w:val="none"/>
          <w:vertAlign w:val="subscript"/>
        </w:rPr>
        <w:t>pHj</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position w:val="-30"/>
          <w:szCs w:val="21"/>
          <w:highlight w:val="none"/>
        </w:rPr>
        <w:object>
          <v:shape id="_x0000_i1030" o:spt="75" type="#_x0000_t75" style="height:36pt;width:57pt;" o:ole="t" filled="f" o:preferrelative="t" stroked="f" coordsize="21600,21600">
            <v:path/>
            <v:fill on="f" focussize="0,0"/>
            <v:stroke on="f" joinstyle="miter"/>
            <v:imagedata r:id="rId74" o:title=""/>
            <o:lock v:ext="edit" aspectratio="t"/>
            <w10:wrap type="none"/>
            <w10:anchorlock/>
          </v:shape>
          <o:OLEObject Type="Embed" ProgID="Equation.3" ShapeID="_x0000_i1030" DrawAspect="Content" ObjectID="_1468075730" r:id="rId73">
            <o:LockedField>false</o:LockedField>
          </o:OLEObject>
        </w:object>
      </w:r>
      <w:r>
        <w:rPr>
          <w:rFonts w:hint="default" w:ascii="Times New Roman" w:hAnsi="Times New Roman" w:eastAsia="宋体" w:cs="Times New Roman"/>
          <w:color w:val="auto"/>
          <w:position w:val="-14"/>
          <w:szCs w:val="21"/>
          <w:highlight w:val="none"/>
        </w:rPr>
        <w:object>
          <v:shape id="_x0000_i1031" o:spt="75" type="#_x0000_t75" style="height:18.75pt;width:24.75pt;" o:ole="t" filled="f" o:preferrelative="t" stroked="f" coordsize="21600,21600">
            <v:path/>
            <v:fill on="f" focussize="0,0"/>
            <v:stroke on="f" joinstyle="miter"/>
            <v:imagedata r:id="rId72" o:title=""/>
            <o:lock v:ext="edit" aspectratio="t"/>
            <w10:wrap type="none"/>
            <w10:anchorlock/>
          </v:shape>
          <o:OLEObject Type="Embed" ProgID="Equation.3" ShapeID="_x0000_i1031" DrawAspect="Content" ObjectID="_1468075731" r:id="rId75">
            <o:LockedField>false</o:LockedField>
          </o:OLEObject>
        </w:object>
      </w:r>
      <w:r>
        <w:rPr>
          <w:rFonts w:hint="default" w:ascii="Times New Roman" w:hAnsi="Times New Roman" w:eastAsia="宋体" w:cs="Times New Roman"/>
          <w:color w:val="auto"/>
          <w:szCs w:val="21"/>
          <w:highlight w:val="none"/>
        </w:rPr>
        <w:t>＞7.0</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式中:S</w:t>
      </w:r>
      <w:r>
        <w:rPr>
          <w:rFonts w:hint="default" w:ascii="Times New Roman" w:hAnsi="Times New Roman" w:eastAsia="宋体" w:cs="Times New Roman"/>
          <w:color w:val="auto"/>
          <w:highlight w:val="none"/>
          <w:vertAlign w:val="subscript"/>
        </w:rPr>
        <w:t>pHj</w:t>
      </w:r>
      <w:r>
        <w:rPr>
          <w:rFonts w:hint="default" w:ascii="Times New Roman" w:hAnsi="Times New Roman" w:eastAsia="宋体" w:cs="Times New Roman"/>
          <w:color w:val="auto"/>
          <w:highlight w:val="none"/>
        </w:rPr>
        <w:t>—pH值的指数，大于1表明该水质因子超标；</w:t>
      </w:r>
    </w:p>
    <w:p>
      <w:pPr>
        <w:ind w:firstLine="1080" w:firstLineChars="4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—pH值实测统计代表值；</w:t>
      </w:r>
    </w:p>
    <w:p>
      <w:pPr>
        <w:ind w:firstLine="1080" w:firstLineChars="4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w:t>
      </w:r>
      <w:r>
        <w:rPr>
          <w:rFonts w:hint="default" w:ascii="Times New Roman" w:hAnsi="Times New Roman" w:eastAsia="宋体" w:cs="Times New Roman"/>
          <w:color w:val="auto"/>
          <w:highlight w:val="none"/>
          <w:vertAlign w:val="subscript"/>
        </w:rPr>
        <w:t>sd</w:t>
      </w:r>
      <w:r>
        <w:rPr>
          <w:rFonts w:hint="default" w:ascii="Times New Roman" w:hAnsi="Times New Roman" w:eastAsia="宋体" w:cs="Times New Roman"/>
          <w:color w:val="auto"/>
          <w:highlight w:val="none"/>
        </w:rPr>
        <w:t>—地表水水质标准中规定的PH值下限；</w:t>
      </w:r>
    </w:p>
    <w:p>
      <w:pPr>
        <w:ind w:firstLine="1080" w:firstLineChars="4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w:t>
      </w:r>
      <w:r>
        <w:rPr>
          <w:rFonts w:hint="default" w:ascii="Times New Roman" w:hAnsi="Times New Roman" w:eastAsia="宋体" w:cs="Times New Roman"/>
          <w:color w:val="auto"/>
          <w:highlight w:val="none"/>
          <w:vertAlign w:val="subscript"/>
        </w:rPr>
        <w:t>su</w:t>
      </w:r>
      <w:r>
        <w:rPr>
          <w:rFonts w:hint="default" w:ascii="Times New Roman" w:hAnsi="Times New Roman" w:eastAsia="宋体" w:cs="Times New Roman"/>
          <w:color w:val="auto"/>
          <w:highlight w:val="none"/>
        </w:rPr>
        <w:t>—地表水水质标准中规定的PH值上限。</w:t>
      </w:r>
    </w:p>
    <w:p>
      <w:pPr>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2）评价标准</w:t>
      </w:r>
    </w:p>
    <w:p>
      <w:pPr>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执行《地表水环境质量标准》（GB3838-2002）中Ⅱ类水质标准。</w:t>
      </w:r>
    </w:p>
    <w:p>
      <w:pPr>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6）现状评价结果</w:t>
      </w:r>
    </w:p>
    <w:p>
      <w:pPr>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标准指数评价结果见表</w:t>
      </w:r>
    </w:p>
    <w:p>
      <w:pPr>
        <w:spacing w:line="480" w:lineRule="exact"/>
        <w:ind w:firstLine="480"/>
        <w:rPr>
          <w:rFonts w:hint="default" w:ascii="Times New Roman" w:hAnsi="Times New Roman" w:eastAsia="宋体" w:cs="Times New Roman"/>
          <w:color w:val="auto"/>
          <w:highlight w:val="none"/>
        </w:rPr>
        <w:sectPr>
          <w:footerReference r:id="rId21" w:type="default"/>
          <w:pgSz w:w="11906" w:h="16838"/>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26" w:charSpace="0"/>
        </w:sectPr>
      </w:pPr>
    </w:p>
    <w:p>
      <w:pPr>
        <w:spacing w:line="240" w:lineRule="auto"/>
        <w:ind w:firstLine="422"/>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7</w:t>
      </w:r>
      <w:r>
        <w:rPr>
          <w:rFonts w:hint="default" w:ascii="Times New Roman" w:hAnsi="Times New Roman" w:eastAsia="宋体" w:cs="Times New Roman"/>
          <w:b/>
          <w:color w:val="auto"/>
          <w:sz w:val="21"/>
          <w:szCs w:val="21"/>
          <w:highlight w:val="none"/>
          <w:lang w:eastAsia="zh-CN"/>
        </w:rPr>
        <w:t>牤牛河</w:t>
      </w:r>
      <w:r>
        <w:rPr>
          <w:rFonts w:hint="default" w:ascii="Times New Roman" w:hAnsi="Times New Roman" w:eastAsia="宋体" w:cs="Times New Roman"/>
          <w:b/>
          <w:color w:val="auto"/>
          <w:sz w:val="21"/>
          <w:szCs w:val="21"/>
          <w:highlight w:val="none"/>
        </w:rPr>
        <w:t>地表水质监测结果</w:t>
      </w:r>
    </w:p>
    <w:tbl>
      <w:tblPr>
        <w:tblStyle w:val="45"/>
        <w:tblW w:w="1329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59"/>
        <w:gridCol w:w="1438"/>
        <w:gridCol w:w="1082"/>
        <w:gridCol w:w="1045"/>
        <w:gridCol w:w="1119"/>
        <w:gridCol w:w="1149"/>
        <w:gridCol w:w="1068"/>
        <w:gridCol w:w="1083"/>
        <w:gridCol w:w="884"/>
        <w:gridCol w:w="792"/>
        <w:gridCol w:w="992"/>
        <w:gridCol w:w="992"/>
        <w:gridCol w:w="108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序号</w:t>
            </w:r>
          </w:p>
        </w:tc>
        <w:tc>
          <w:tcPr>
            <w:tcW w:w="1438"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检测项目</w:t>
            </w:r>
          </w:p>
        </w:tc>
        <w:tc>
          <w:tcPr>
            <w:tcW w:w="2127" w:type="dxa"/>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单因子指数</w:t>
            </w:r>
          </w:p>
        </w:tc>
        <w:tc>
          <w:tcPr>
            <w:tcW w:w="2268" w:type="dxa"/>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单因子指数</w:t>
            </w:r>
          </w:p>
        </w:tc>
        <w:tc>
          <w:tcPr>
            <w:tcW w:w="2151" w:type="dxa"/>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单因子指数</w:t>
            </w:r>
          </w:p>
        </w:tc>
        <w:tc>
          <w:tcPr>
            <w:tcW w:w="884" w:type="dxa"/>
            <w:vMerge w:val="restart"/>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单位</w:t>
            </w:r>
          </w:p>
        </w:tc>
        <w:tc>
          <w:tcPr>
            <w:tcW w:w="792"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Ⅱ类标准</w:t>
            </w:r>
          </w:p>
        </w:tc>
        <w:tc>
          <w:tcPr>
            <w:tcW w:w="1984" w:type="dxa"/>
            <w:gridSpan w:val="2"/>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水质指数</w:t>
            </w:r>
          </w:p>
        </w:tc>
        <w:tc>
          <w:tcPr>
            <w:tcW w:w="1087" w:type="dxa"/>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438"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127" w:type="dxa"/>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2020.05.22</w:t>
            </w:r>
          </w:p>
        </w:tc>
        <w:tc>
          <w:tcPr>
            <w:tcW w:w="2268" w:type="dxa"/>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2020.05.23</w:t>
            </w:r>
          </w:p>
        </w:tc>
        <w:tc>
          <w:tcPr>
            <w:tcW w:w="2151" w:type="dxa"/>
            <w:gridSpan w:val="2"/>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2020.05.24</w:t>
            </w:r>
          </w:p>
        </w:tc>
        <w:tc>
          <w:tcPr>
            <w:tcW w:w="884"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sz w:val="22"/>
                <w:szCs w:val="22"/>
                <w:highlight w:val="none"/>
              </w:rPr>
            </w:pPr>
          </w:p>
        </w:tc>
        <w:tc>
          <w:tcPr>
            <w:tcW w:w="7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984" w:type="dxa"/>
            <w:gridSpan w:val="2"/>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08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438"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W1#</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W2#</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W1#</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W2#</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W1#</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W2#</w:t>
            </w:r>
          </w:p>
        </w:tc>
        <w:tc>
          <w:tcPr>
            <w:tcW w:w="884"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sz w:val="22"/>
                <w:szCs w:val="22"/>
                <w:highlight w:val="none"/>
              </w:rPr>
            </w:pPr>
          </w:p>
        </w:tc>
        <w:tc>
          <w:tcPr>
            <w:tcW w:w="792"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W1#</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W2#</w:t>
            </w:r>
          </w:p>
        </w:tc>
        <w:tc>
          <w:tcPr>
            <w:tcW w:w="1087" w:type="dxa"/>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悬浮物</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31</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pH值</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7.38</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7.63</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7.37</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7.63</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7.39</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7.62</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无量纲</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6~9</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0.32</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CODcr</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BOD5</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0.7</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0.7</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0.43</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氯化物</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5.30</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6.6</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5.50</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5.40</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0.03</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0.02</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石油类</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0.04（L）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0.4</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0.4</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氨氮</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0.025（L）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硫化物</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0.12</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0.19</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0.19</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0.19</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硝酸盐氮</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1.73</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1.52</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1.73</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1.53</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1.73</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1.53</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0.17</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0.15</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亚硝酸盐氮</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0.020</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0.006</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0.015</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铬（六价）</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0.08</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0.08</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砷</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0.007（L）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0.07</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0.07</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铁</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0.03（L）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铜</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0.03</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0.03</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锌</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0.03</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0.03</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铅</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0.5</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0.5</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镉</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0.1</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0.1</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5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143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汞</w:t>
            </w:r>
          </w:p>
        </w:tc>
        <w:tc>
          <w:tcPr>
            <w:tcW w:w="108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045"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11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149"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068"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083"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884"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μg/L</w:t>
            </w:r>
          </w:p>
        </w:tc>
        <w:tc>
          <w:tcPr>
            <w:tcW w:w="7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992" w:type="dxa"/>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0.2</w:t>
            </w:r>
          </w:p>
        </w:tc>
        <w:tc>
          <w:tcPr>
            <w:tcW w:w="992"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0.2</w:t>
            </w:r>
          </w:p>
        </w:tc>
        <w:tc>
          <w:tcPr>
            <w:tcW w:w="1087" w:type="dxa"/>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达标</w:t>
            </w:r>
          </w:p>
        </w:tc>
      </w:tr>
    </w:tbl>
    <w:p>
      <w:pPr>
        <w:spacing w:line="480" w:lineRule="exact"/>
        <w:ind w:firstLine="480"/>
        <w:rPr>
          <w:rFonts w:hint="default" w:ascii="Times New Roman" w:hAnsi="Times New Roman" w:eastAsia="宋体" w:cs="Times New Roman"/>
          <w:color w:val="auto"/>
          <w:highlight w:val="none"/>
        </w:rPr>
      </w:pPr>
    </w:p>
    <w:p>
      <w:pPr>
        <w:spacing w:line="480" w:lineRule="exact"/>
        <w:ind w:firstLine="480"/>
        <w:rPr>
          <w:rFonts w:hint="default" w:ascii="Times New Roman" w:hAnsi="Times New Roman" w:eastAsia="宋体" w:cs="Times New Roman"/>
          <w:color w:val="auto"/>
          <w:highlight w:val="none"/>
        </w:rPr>
        <w:sectPr>
          <w:pgSz w:w="16838" w:h="11906" w:orient="landscape"/>
          <w:pgMar w:top="1418" w:right="1418" w:bottom="1418" w:left="1588" w:header="851" w:footer="992" w:gutter="0"/>
          <w:pgBorders>
            <w:top w:val="none" w:sz="0" w:space="0"/>
            <w:left w:val="none" w:sz="0" w:space="0"/>
            <w:bottom w:val="none" w:sz="0" w:space="0"/>
            <w:right w:val="none" w:sz="0" w:space="0"/>
          </w:pgBorders>
          <w:pgNumType w:fmt="decimal"/>
          <w:cols w:space="720" w:num="1"/>
          <w:docGrid w:linePitch="326" w:charSpace="0"/>
        </w:sectPr>
      </w:pP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5可知，</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各点位监测因子均满足《地表水环境质量标准》（GB3838-2002）中Ⅱ标准要求。</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4.2.2.</w:t>
      </w:r>
      <w:r>
        <w:rPr>
          <w:rFonts w:hint="default" w:ascii="Times New Roman" w:hAnsi="Times New Roman" w:eastAsia="宋体" w:cs="Times New Roman"/>
          <w:color w:val="auto"/>
          <w:sz w:val="24"/>
          <w:highlight w:val="none"/>
        </w:rPr>
        <w:t>3地下水环境质量现状评价</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建设单位委托</w:t>
      </w:r>
      <w:r>
        <w:rPr>
          <w:rFonts w:hint="default" w:ascii="Times New Roman" w:hAnsi="Times New Roman" w:eastAsia="宋体" w:cs="Times New Roman"/>
          <w:color w:val="auto"/>
          <w:highlight w:val="none"/>
          <w:lang w:eastAsia="zh-CN"/>
        </w:rPr>
        <w:t>沈阳中正检测技术有限公司</w:t>
      </w:r>
      <w:r>
        <w:rPr>
          <w:rFonts w:hint="default" w:ascii="Times New Roman" w:hAnsi="Times New Roman" w:eastAsia="宋体" w:cs="Times New Roman"/>
          <w:color w:val="auto"/>
          <w:highlight w:val="none"/>
        </w:rPr>
        <w:t>于20</w:t>
      </w:r>
      <w:r>
        <w:rPr>
          <w:rFonts w:hint="default"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04日-05日</w:t>
      </w:r>
      <w:r>
        <w:rPr>
          <w:rFonts w:hint="default" w:ascii="Times New Roman" w:hAnsi="Times New Roman" w:eastAsia="宋体" w:cs="Times New Roman"/>
          <w:color w:val="auto"/>
          <w:highlight w:val="none"/>
        </w:rPr>
        <w:t>对项目地下水现状进行了监测。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（1）监测点位及监测频次</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本项目共布设</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个监测点，分别为：UW1#项目上游闹沟里、UW2#项目厂址、UW3#项目南侧胡家沟，具体点位布设见表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8，监测点位见图</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2。</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8地下水环境质量监测点位</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3"/>
        <w:gridCol w:w="2585"/>
        <w:gridCol w:w="2322"/>
        <w:gridCol w:w="1629"/>
        <w:gridCol w:w="16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w:t>
            </w:r>
          </w:p>
        </w:tc>
        <w:tc>
          <w:tcPr>
            <w:tcW w:w="2585"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位置</w:t>
            </w:r>
          </w:p>
        </w:tc>
        <w:tc>
          <w:tcPr>
            <w:tcW w:w="2322"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监测时间及频次</w:t>
            </w:r>
          </w:p>
        </w:tc>
        <w:tc>
          <w:tcPr>
            <w:tcW w:w="3286" w:type="dxa"/>
            <w:gridSpan w:val="2"/>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地理位置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2585"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2322"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9"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东经</w:t>
            </w:r>
          </w:p>
        </w:tc>
        <w:tc>
          <w:tcPr>
            <w:tcW w:w="1657"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rPr>
              <w:t>北纬</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UW1</w:t>
            </w:r>
          </w:p>
        </w:tc>
        <w:tc>
          <w:tcPr>
            <w:tcW w:w="25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0"/>
              <w:rPr>
                <w:rFonts w:hint="default" w:ascii="Times New Roman" w:hAnsi="Times New Roman" w:eastAsia="宋体" w:cs="Times New Roman"/>
                <w:color w:val="auto"/>
                <w:sz w:val="21"/>
                <w:szCs w:val="21"/>
                <w:highlight w:val="none"/>
              </w:rPr>
            </w:pPr>
            <w:bookmarkStart w:id="290" w:name="_Toc31450"/>
            <w:bookmarkStart w:id="291" w:name="_Toc16078"/>
            <w:bookmarkStart w:id="292" w:name="_Toc5824"/>
            <w:r>
              <w:rPr>
                <w:rFonts w:hint="default" w:ascii="Times New Roman" w:hAnsi="Times New Roman" w:eastAsia="宋体" w:cs="Times New Roman"/>
                <w:color w:val="auto"/>
                <w:sz w:val="21"/>
                <w:szCs w:val="21"/>
                <w:highlight w:val="none"/>
                <w:lang w:eastAsia="zh-CN"/>
              </w:rPr>
              <w:t>项目上游闹沟里</w:t>
            </w:r>
            <w:bookmarkEnd w:id="290"/>
            <w:bookmarkEnd w:id="291"/>
            <w:bookmarkEnd w:id="292"/>
          </w:p>
        </w:tc>
        <w:tc>
          <w:tcPr>
            <w:tcW w:w="2322"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rPr>
              <w:t>年0</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月</w:t>
            </w:r>
            <w:r>
              <w:rPr>
                <w:rFonts w:hint="default" w:ascii="Times New Roman" w:hAnsi="Times New Roman" w:eastAsia="宋体" w:cs="Times New Roman"/>
                <w:color w:val="auto"/>
                <w:sz w:val="21"/>
                <w:szCs w:val="21"/>
                <w:highlight w:val="none"/>
                <w:lang w:val="en-US" w:eastAsia="zh-CN"/>
              </w:rPr>
              <w:t>04</w:t>
            </w:r>
            <w:r>
              <w:rPr>
                <w:rFonts w:hint="default" w:ascii="Times New Roman" w:hAnsi="Times New Roman" w:eastAsia="宋体" w:cs="Times New Roman"/>
                <w:color w:val="auto"/>
                <w:sz w:val="21"/>
                <w:szCs w:val="21"/>
                <w:highlight w:val="none"/>
              </w:rPr>
              <w:t>日和20</w:t>
            </w:r>
            <w:r>
              <w:rPr>
                <w:rFonts w:hint="default" w:ascii="Times New Roman" w:hAnsi="Times New Roman" w:eastAsia="宋体"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rPr>
              <w:t>年0</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月</w:t>
            </w:r>
            <w:r>
              <w:rPr>
                <w:rFonts w:hint="default" w:ascii="Times New Roman" w:hAnsi="Times New Roman" w:eastAsia="宋体" w:cs="Times New Roman"/>
                <w:color w:val="auto"/>
                <w:sz w:val="21"/>
                <w:szCs w:val="21"/>
                <w:highlight w:val="none"/>
                <w:lang w:val="en-US" w:eastAsia="zh-CN"/>
              </w:rPr>
              <w:t>05</w:t>
            </w:r>
            <w:r>
              <w:rPr>
                <w:rFonts w:hint="default" w:ascii="Times New Roman" w:hAnsi="Times New Roman" w:eastAsia="宋体" w:cs="Times New Roman"/>
                <w:color w:val="auto"/>
                <w:sz w:val="21"/>
                <w:szCs w:val="21"/>
                <w:highlight w:val="none"/>
              </w:rPr>
              <w:t>日。连续监测2天，每天采样1次，每个监测点报1组有效数据</w:t>
            </w:r>
          </w:p>
        </w:tc>
        <w:tc>
          <w:tcPr>
            <w:tcW w:w="1629"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r>
              <w:rPr>
                <w:rFonts w:hint="default" w:ascii="Times New Roman" w:hAnsi="Times New Roman" w:eastAsia="宋体" w:cs="Times New Roman"/>
                <w:color w:val="auto"/>
                <w:sz w:val="21"/>
                <w:szCs w:val="21"/>
                <w:highlight w:val="none"/>
                <w:lang w:val="en-US" w:eastAsia="zh-CN"/>
              </w:rPr>
              <w:t>3.375990</w:t>
            </w:r>
            <w:r>
              <w:rPr>
                <w:rFonts w:hint="default" w:ascii="Times New Roman" w:hAnsi="Times New Roman" w:eastAsia="宋体" w:cs="Times New Roman"/>
                <w:color w:val="auto"/>
                <w:sz w:val="21"/>
                <w:szCs w:val="21"/>
                <w:highlight w:val="none"/>
                <w:lang w:eastAsia="zh-CN"/>
              </w:rPr>
              <w:t>°</w:t>
            </w:r>
          </w:p>
        </w:tc>
        <w:tc>
          <w:tcPr>
            <w:tcW w:w="1657"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r>
              <w:rPr>
                <w:rFonts w:hint="default" w:ascii="Times New Roman" w:hAnsi="Times New Roman" w:eastAsia="宋体" w:cs="Times New Roman"/>
                <w:color w:val="auto"/>
                <w:sz w:val="21"/>
                <w:szCs w:val="21"/>
                <w:highlight w:val="none"/>
                <w:lang w:val="en-US" w:eastAsia="zh-CN"/>
              </w:rPr>
              <w:t>463815</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UW2</w:t>
            </w:r>
          </w:p>
        </w:tc>
        <w:tc>
          <w:tcPr>
            <w:tcW w:w="25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0"/>
              <w:rPr>
                <w:rFonts w:hint="default" w:ascii="Times New Roman" w:hAnsi="Times New Roman" w:eastAsia="宋体" w:cs="Times New Roman"/>
                <w:color w:val="auto"/>
                <w:kern w:val="2"/>
                <w:sz w:val="21"/>
                <w:szCs w:val="21"/>
                <w:highlight w:val="none"/>
                <w:lang w:val="en-US" w:eastAsia="zh-CN" w:bidi="ar-SA"/>
              </w:rPr>
            </w:pPr>
            <w:bookmarkStart w:id="293" w:name="_Toc9493"/>
            <w:bookmarkStart w:id="294" w:name="_Toc9453"/>
            <w:bookmarkStart w:id="295" w:name="_Toc20882"/>
            <w:r>
              <w:rPr>
                <w:rFonts w:hint="default" w:ascii="Times New Roman" w:hAnsi="Times New Roman" w:eastAsia="宋体" w:cs="Times New Roman"/>
                <w:color w:val="auto"/>
                <w:sz w:val="21"/>
                <w:szCs w:val="21"/>
                <w:highlight w:val="none"/>
                <w:lang w:eastAsia="zh-CN"/>
              </w:rPr>
              <w:t>项目所在地</w:t>
            </w:r>
            <w:bookmarkEnd w:id="293"/>
            <w:bookmarkEnd w:id="294"/>
            <w:bookmarkEnd w:id="295"/>
          </w:p>
        </w:tc>
        <w:tc>
          <w:tcPr>
            <w:tcW w:w="2322"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9"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r>
              <w:rPr>
                <w:rFonts w:hint="default" w:ascii="Times New Roman" w:hAnsi="Times New Roman" w:eastAsia="宋体" w:cs="Times New Roman"/>
                <w:color w:val="auto"/>
                <w:sz w:val="21"/>
                <w:szCs w:val="21"/>
                <w:highlight w:val="none"/>
                <w:lang w:val="en-US" w:eastAsia="zh-CN"/>
              </w:rPr>
              <w:t>3.370298</w:t>
            </w:r>
            <w:r>
              <w:rPr>
                <w:rFonts w:hint="default" w:ascii="Times New Roman" w:hAnsi="Times New Roman" w:eastAsia="宋体" w:cs="Times New Roman"/>
                <w:color w:val="auto"/>
                <w:sz w:val="21"/>
                <w:szCs w:val="21"/>
                <w:highlight w:val="none"/>
                <w:lang w:eastAsia="zh-CN"/>
              </w:rPr>
              <w:t>°</w:t>
            </w:r>
          </w:p>
        </w:tc>
        <w:tc>
          <w:tcPr>
            <w:tcW w:w="1657"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0.450396</w:t>
            </w:r>
            <w:r>
              <w:rPr>
                <w:rFonts w:hint="default" w:ascii="Times New Roman" w:hAnsi="Times New Roman" w:eastAsia="宋体" w:cs="Times New Roman"/>
                <w:color w:val="auto"/>
                <w:sz w:val="21"/>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3"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UW3</w:t>
            </w:r>
          </w:p>
        </w:tc>
        <w:tc>
          <w:tcPr>
            <w:tcW w:w="258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0"/>
              <w:rPr>
                <w:rFonts w:hint="default" w:ascii="Times New Roman" w:hAnsi="Times New Roman" w:eastAsia="宋体" w:cs="Times New Roman"/>
                <w:color w:val="auto"/>
                <w:kern w:val="2"/>
                <w:sz w:val="21"/>
                <w:szCs w:val="21"/>
                <w:highlight w:val="none"/>
                <w:lang w:val="en-US" w:eastAsia="zh-CN" w:bidi="ar-SA"/>
              </w:rPr>
            </w:pPr>
            <w:bookmarkStart w:id="296" w:name="_Toc10369"/>
            <w:bookmarkStart w:id="297" w:name="_Toc7920"/>
            <w:bookmarkStart w:id="298" w:name="_Toc6585"/>
            <w:r>
              <w:rPr>
                <w:rFonts w:hint="default" w:ascii="Times New Roman" w:hAnsi="Times New Roman" w:eastAsia="宋体" w:cs="Times New Roman"/>
                <w:color w:val="auto"/>
                <w:sz w:val="21"/>
                <w:szCs w:val="21"/>
                <w:highlight w:val="none"/>
                <w:lang w:eastAsia="zh-CN"/>
              </w:rPr>
              <w:t>项目南侧胡家沟</w:t>
            </w:r>
            <w:bookmarkEnd w:id="296"/>
            <w:r>
              <w:rPr>
                <w:rFonts w:hint="eastAsia" w:cs="Times New Roman"/>
                <w:color w:val="auto"/>
                <w:kern w:val="2"/>
                <w:sz w:val="21"/>
                <w:szCs w:val="21"/>
                <w:highlight w:val="none"/>
                <w:lang w:val="en-US" w:eastAsia="zh-CN" w:bidi="ar-SA"/>
              </w:rPr>
              <w:t>（贾家堡）</w:t>
            </w:r>
            <w:bookmarkEnd w:id="297"/>
            <w:bookmarkEnd w:id="298"/>
          </w:p>
        </w:tc>
        <w:tc>
          <w:tcPr>
            <w:tcW w:w="2322"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9"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r>
              <w:rPr>
                <w:rFonts w:hint="default" w:ascii="Times New Roman" w:hAnsi="Times New Roman" w:eastAsia="宋体" w:cs="Times New Roman"/>
                <w:color w:val="auto"/>
                <w:sz w:val="21"/>
                <w:szCs w:val="21"/>
                <w:highlight w:val="none"/>
                <w:lang w:val="en-US" w:eastAsia="zh-CN"/>
              </w:rPr>
              <w:t>3.361774</w:t>
            </w:r>
            <w:r>
              <w:rPr>
                <w:rFonts w:hint="default" w:ascii="Times New Roman" w:hAnsi="Times New Roman" w:eastAsia="宋体" w:cs="Times New Roman"/>
                <w:color w:val="auto"/>
                <w:sz w:val="21"/>
                <w:szCs w:val="21"/>
                <w:highlight w:val="none"/>
                <w:lang w:eastAsia="zh-CN"/>
              </w:rPr>
              <w:t>°</w:t>
            </w:r>
          </w:p>
        </w:tc>
        <w:tc>
          <w:tcPr>
            <w:tcW w:w="1657"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r>
              <w:rPr>
                <w:rFonts w:hint="default" w:ascii="Times New Roman" w:hAnsi="Times New Roman" w:eastAsia="宋体" w:cs="Times New Roman"/>
                <w:color w:val="auto"/>
                <w:sz w:val="21"/>
                <w:szCs w:val="21"/>
                <w:highlight w:val="none"/>
                <w:lang w:val="en-US" w:eastAsia="zh-CN"/>
              </w:rPr>
              <w:t>433549</w:t>
            </w:r>
            <w:r>
              <w:rPr>
                <w:rFonts w:hint="default" w:ascii="Times New Roman" w:hAnsi="Times New Roman" w:eastAsia="宋体" w:cs="Times New Roman"/>
                <w:color w:val="auto"/>
                <w:sz w:val="21"/>
                <w:szCs w:val="21"/>
                <w:highlight w:val="none"/>
                <w:lang w:eastAsia="zh-CN"/>
              </w:rPr>
              <w:t>°</w:t>
            </w:r>
          </w:p>
        </w:tc>
      </w:tr>
    </w:tbl>
    <w:p>
      <w:pPr>
        <w:spacing w:line="48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（2）监测项目</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pH、氨氮、硝酸盐、亚硝酸盐、挥发性酚类、氰化物、砷、汞、铬（六价）、总硬度、铅、氟化物、镉、铁、锰、溶解性固体、硫酸盐、氯化物、总大肠杆菌、细菌总数、K</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、Na</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、Ca</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、Mg</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、Cl</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、锌、硫化物、悬浮物、耗氧量。</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（3）评价方法</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利用《环境影响评价技术导则地下水》（H610-2016）所推荐的单项水质参数对水体环境质量进行评价。</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一般水质因子的指数的计算采用下式：</w:t>
      </w:r>
    </w:p>
    <w:p>
      <w:pPr>
        <w:ind w:firstLine="480"/>
        <w:rPr>
          <w:rFonts w:hint="default" w:ascii="Times New Roman" w:hAnsi="Times New Roman" w:eastAsia="宋体" w:cs="Times New Roman"/>
          <w:color w:val="auto"/>
          <w:highlight w:val="none"/>
        </w:rPr>
      </w:pPr>
      <m:oMathPara>
        <m:oMath>
          <m:sSub>
            <m:sSubPr>
              <m:ctrlPr>
                <w:rPr>
                  <w:rFonts w:hint="default" w:ascii="Cambria Math" w:hAnsi="Cambria Math" w:eastAsia="宋体" w:cs="Times New Roman"/>
                  <w:color w:val="auto"/>
                  <w:highlight w:val="none"/>
                </w:rPr>
              </m:ctrlPr>
            </m:sSubPr>
            <m:e>
              <m:r>
                <m:rPr/>
                <w:rPr>
                  <w:rFonts w:hint="default" w:ascii="Cambria Math" w:hAnsi="Cambria Math" w:eastAsia="宋体" w:cs="Times New Roman"/>
                  <w:color w:val="auto"/>
                  <w:highlight w:val="none"/>
                </w:rPr>
                <m:t>P</m:t>
              </m:r>
              <m:ctrlPr>
                <w:rPr>
                  <w:rFonts w:hint="default" w:ascii="Cambria Math" w:hAnsi="Cambria Math" w:eastAsia="宋体" w:cs="Times New Roman"/>
                  <w:color w:val="auto"/>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color w:val="auto"/>
                  <w:highlight w:val="none"/>
                </w:rPr>
              </m:ctrlPr>
            </m:sub>
          </m:sSub>
          <m:r>
            <m:rPr/>
            <w:rPr>
              <w:rFonts w:hint="default" w:ascii="Cambria Math" w:hAnsi="Cambria Math" w:eastAsia="宋体" w:cs="Times New Roman"/>
              <w:color w:val="auto"/>
              <w:highlight w:val="none"/>
            </w:rPr>
            <m:t>=</m:t>
          </m:r>
          <m:f>
            <m:fPr>
              <m:ctrlPr>
                <w:rPr>
                  <w:rFonts w:hint="default" w:ascii="Cambria Math" w:hAnsi="Cambria Math" w:eastAsia="宋体" w:cs="Times New Roman"/>
                  <w:i/>
                  <w:color w:val="auto"/>
                  <w:highlight w:val="none"/>
                </w:rPr>
              </m:ctrlPr>
            </m:fPr>
            <m:num>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i/>
                      <w:color w:val="auto"/>
                      <w:highlight w:val="none"/>
                    </w:rPr>
                  </m:ctrlPr>
                </m:sub>
              </m:sSub>
              <m:ctrlPr>
                <w:rPr>
                  <w:rFonts w:hint="default" w:ascii="Cambria Math" w:hAnsi="Cambria Math" w:eastAsia="宋体" w:cs="Times New Roman"/>
                  <w:i/>
                  <w:color w:val="auto"/>
                  <w:highlight w:val="none"/>
                </w:rPr>
              </m:ctrlPr>
            </m:num>
            <m:den>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si</m:t>
                  </m:r>
                  <m:ctrlPr>
                    <w:rPr>
                      <w:rFonts w:hint="default" w:ascii="Cambria Math" w:hAnsi="Cambria Math" w:eastAsia="宋体" w:cs="Times New Roman"/>
                      <w:i/>
                      <w:color w:val="auto"/>
                      <w:highlight w:val="none"/>
                    </w:rPr>
                  </m:ctrlPr>
                </m:sub>
              </m:sSub>
              <m:ctrlPr>
                <w:rPr>
                  <w:rFonts w:hint="default" w:ascii="Cambria Math" w:hAnsi="Cambria Math" w:eastAsia="宋体" w:cs="Times New Roman"/>
                  <w:i/>
                  <w:color w:val="auto"/>
                  <w:highlight w:val="none"/>
                </w:rPr>
              </m:ctrlPr>
            </m:den>
          </m:f>
        </m:oMath>
      </m:oMathPara>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式中：S</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—评价因子i的水质指数，大于1表明该水质因子超标；</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—评价因子i的实测统计代表值，mg/L；</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si</w:t>
      </w:r>
      <w:r>
        <w:rPr>
          <w:rFonts w:hint="default" w:ascii="Times New Roman" w:hAnsi="Times New Roman" w:eastAsia="宋体" w:cs="Times New Roman"/>
          <w:color w:val="auto"/>
          <w:highlight w:val="none"/>
        </w:rPr>
        <w:t>—评价因子i的水质评价标准值，mg/Nm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pH值指数的计算采用下式：</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PpH=(7.0－pH)/（7.0－pHsd）(pH≤7.0)</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PpH=(pH－7.0)/（pHsu－7.0）(pH&gt;7.0)</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式中PpH—pH值的指数，大于1表明该水质因子超标；</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pH—pH值实测统计代表值；</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pHsd—水质标准中规定的pH值下限；</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pHsu—水质标准中规定的pH值上限。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（4）监测和分析方法</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分析方法详见表</w:t>
      </w:r>
      <w:r>
        <w:rPr>
          <w:rFonts w:hint="default" w:ascii="Times New Roman" w:hAnsi="Times New Roman" w:eastAsia="宋体" w:cs="Times New Roman"/>
          <w:color w:val="auto"/>
          <w:highlight w:val="none"/>
          <w:lang w:val="en-US" w:eastAsia="zh-CN"/>
        </w:rPr>
        <w:t>4.2-</w:t>
      </w:r>
      <w:r>
        <w:rPr>
          <w:rFonts w:hint="default" w:ascii="Times New Roman" w:hAnsi="Times New Roman" w:eastAsia="宋体" w:cs="Times New Roman"/>
          <w:color w:val="auto"/>
          <w:highlight w:val="none"/>
        </w:rPr>
        <w:t>9。</w:t>
      </w:r>
    </w:p>
    <w:p>
      <w:pPr>
        <w:spacing w:line="240" w:lineRule="auto"/>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4.2-</w:t>
      </w:r>
      <w:r>
        <w:rPr>
          <w:rFonts w:hint="default" w:ascii="Times New Roman" w:hAnsi="Times New Roman" w:eastAsia="宋体" w:cs="Times New Roman"/>
          <w:b/>
          <w:color w:val="auto"/>
          <w:sz w:val="21"/>
          <w:szCs w:val="21"/>
          <w:highlight w:val="none"/>
        </w:rPr>
        <w:t>9地下水监测分析方法与检出限</w:t>
      </w:r>
    </w:p>
    <w:tbl>
      <w:tblPr>
        <w:tblStyle w:val="45"/>
        <w:tblW w:w="9286"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91"/>
        <w:gridCol w:w="1549"/>
        <w:gridCol w:w="3560"/>
        <w:gridCol w:w="1911"/>
        <w:gridCol w:w="147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检测依据</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主要检测仪器/型号</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检出限/精度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pH</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水质pH值的测定玻璃电极法</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酸度计PHS-25</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GB6920-1986</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氨氮</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水质氨氮的测定纳氏试剂分光光度法</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HJ535-2009</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硝酸盐</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水质硝酸盐氮的测定酚二磺酸分光光度法GB7480-1987</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8"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亚硝酸盐</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水质亚硝酸盐氮的测定分光光度法</w:t>
            </w:r>
          </w:p>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GB7493-1987</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0.003mg/L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挥发性酚类</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生活饮用水标准检验方法感官性状和物理指标GB/T5750.4-20069.14-氨基安替吡啉三氯甲烷萃取分光光度法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0.002mg/L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氰化物</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水质氰化物的测定分光光度法HJ484-2009</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0.004mg/L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方法2异烟酸-吡唑啉酮分光光度法</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砷</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水质汞、砷、硒、铋和锑的测定原子荧光法HJ694-2014</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原子荧光分光光度计AF-7500B</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0.04µg/L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汞</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水质汞、砷、硒、铋和锑的测定原子荧光法HJ694-2014</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原子荧光分光光度计AF-7500B</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0.3µg/L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铬（六价）</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水质六价铬的测定二苯碳酰二肼分光光度法GB7467-1987</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0.004mg/L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总硬度</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生活饮用水标准检验方法感官性状和物理指标GB/T5750.4-20067.1乙二胺四乙酸二钠滴定法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滴定管</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铅</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水质铜、锌、铅、镉的测定</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原子吸收分光光度计AA-7001</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原子吸收分光光度法GB7475-1987</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氟化物</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生活饮用水标准检验方法无机非金属指标GB/T5750.5-20063.1离子选择电极法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氟离子选择电极PXS-F</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0.2mg/L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镉</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水质铜、锌、铅、镉的测定</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原子吸收分光光度计AA-7001</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原子吸收分光光度法GB7475-1987</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铁</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生活饮用水标准检验方法金属指标GB/T5750.6-20062.1原子吸收分光光度法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原子吸收分光光度计AA-7001</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0.3mg/L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锰</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生活饮用水标准检验方法金属指标GB/T5750.6-20063.1原子吸收分光光度法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原子吸收分光光度计AA-7001</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硫酸盐</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生活饮用水标准检验方法无机非金属指标GB/T5750.5-20061.3铬酸钡分光光度法（热法）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氯化物</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生活饮用水标准检验方法无机非金属指标GB/T5750.5-20062.1硝酸银容量法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滴定管</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菌落总数</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生活饮用水标准检验方法微生物指标GB/T5750.12-20061.1平皿计数法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电热恒温培养箱DHP-500</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K</w:t>
            </w:r>
            <w:r>
              <w:rPr>
                <w:rFonts w:hint="default" w:ascii="Times New Roman" w:hAnsi="Times New Roman" w:eastAsia="宋体" w:cs="Times New Roman"/>
                <w:color w:val="auto"/>
                <w:szCs w:val="21"/>
                <w:highlight w:val="none"/>
                <w:vertAlign w:val="superscript"/>
              </w:rPr>
              <w:t>+</w:t>
            </w:r>
          </w:p>
        </w:tc>
        <w:tc>
          <w:tcPr>
            <w:tcW w:w="3560"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水质可溶性阳离子（Li</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、Na</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、NH</w:t>
            </w:r>
            <w:r>
              <w:rPr>
                <w:rFonts w:hint="default" w:ascii="Times New Roman" w:hAnsi="Times New Roman" w:eastAsia="宋体" w:cs="Times New Roman"/>
                <w:color w:val="auto"/>
                <w:szCs w:val="21"/>
                <w:highlight w:val="none"/>
                <w:vertAlign w:val="superscript"/>
              </w:rPr>
              <w:t>4+</w:t>
            </w:r>
            <w:r>
              <w:rPr>
                <w:rFonts w:hint="default" w:ascii="Times New Roman" w:hAnsi="Times New Roman" w:eastAsia="宋体" w:cs="Times New Roman"/>
                <w:color w:val="auto"/>
                <w:szCs w:val="21"/>
                <w:highlight w:val="none"/>
              </w:rPr>
              <w:t>、K</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、Ca</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、Mg</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）的测定离子色谱法HJ812-2016</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离子色谱仪（IC）</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EcoIC</w:t>
            </w: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Na</w:t>
            </w:r>
            <w:r>
              <w:rPr>
                <w:rFonts w:hint="default" w:ascii="Times New Roman" w:hAnsi="Times New Roman" w:eastAsia="宋体" w:cs="Times New Roman"/>
                <w:color w:val="auto"/>
                <w:szCs w:val="21"/>
                <w:highlight w:val="none"/>
                <w:vertAlign w:val="superscript"/>
              </w:rPr>
              <w:t>+</w:t>
            </w:r>
          </w:p>
        </w:tc>
        <w:tc>
          <w:tcPr>
            <w:tcW w:w="3560"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水质可溶性阳离子（Li</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、Na</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、NH</w:t>
            </w:r>
            <w:r>
              <w:rPr>
                <w:rFonts w:hint="default" w:ascii="Times New Roman" w:hAnsi="Times New Roman" w:eastAsia="宋体" w:cs="Times New Roman"/>
                <w:color w:val="auto"/>
                <w:szCs w:val="21"/>
                <w:highlight w:val="none"/>
                <w:vertAlign w:val="superscript"/>
              </w:rPr>
              <w:t>4+</w:t>
            </w:r>
            <w:r>
              <w:rPr>
                <w:rFonts w:hint="default" w:ascii="Times New Roman" w:hAnsi="Times New Roman" w:eastAsia="宋体" w:cs="Times New Roman"/>
                <w:color w:val="auto"/>
                <w:szCs w:val="21"/>
                <w:highlight w:val="none"/>
              </w:rPr>
              <w:t>、K</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、Ca</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、Mg</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）的测定离子色谱法HJ812-2016</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离子色谱仪（IC）</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EcoIC</w:t>
            </w: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Ca</w:t>
            </w:r>
            <w:r>
              <w:rPr>
                <w:rFonts w:hint="default" w:ascii="Times New Roman" w:hAnsi="Times New Roman" w:eastAsia="宋体" w:cs="Times New Roman"/>
                <w:color w:val="auto"/>
                <w:szCs w:val="21"/>
                <w:highlight w:val="none"/>
                <w:vertAlign w:val="superscript"/>
              </w:rPr>
              <w:t>2+</w:t>
            </w:r>
          </w:p>
        </w:tc>
        <w:tc>
          <w:tcPr>
            <w:tcW w:w="3560"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水质可溶性阳离子（Li</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、Na</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、NH</w:t>
            </w:r>
            <w:r>
              <w:rPr>
                <w:rFonts w:hint="default" w:ascii="Times New Roman" w:hAnsi="Times New Roman" w:eastAsia="宋体" w:cs="Times New Roman"/>
                <w:color w:val="auto"/>
                <w:szCs w:val="21"/>
                <w:highlight w:val="none"/>
                <w:vertAlign w:val="superscript"/>
              </w:rPr>
              <w:t>4+</w:t>
            </w:r>
            <w:r>
              <w:rPr>
                <w:rFonts w:hint="default" w:ascii="Times New Roman" w:hAnsi="Times New Roman" w:eastAsia="宋体" w:cs="Times New Roman"/>
                <w:color w:val="auto"/>
                <w:szCs w:val="21"/>
                <w:highlight w:val="none"/>
              </w:rPr>
              <w:t>、K</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、Ca</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、Mg</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）的测定离子色谱法HJ812-2016</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离子色谱仪（IC）</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0.03mg/L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EcoIC</w:t>
            </w: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Mg</w:t>
            </w:r>
            <w:r>
              <w:rPr>
                <w:rFonts w:hint="default" w:ascii="Times New Roman" w:hAnsi="Times New Roman" w:eastAsia="宋体" w:cs="Times New Roman"/>
                <w:color w:val="auto"/>
                <w:szCs w:val="21"/>
                <w:highlight w:val="none"/>
                <w:vertAlign w:val="superscript"/>
              </w:rPr>
              <w:t>2+</w:t>
            </w:r>
          </w:p>
        </w:tc>
        <w:tc>
          <w:tcPr>
            <w:tcW w:w="3560"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水质可溶性阳离子（Li</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、Na</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、NH</w:t>
            </w:r>
            <w:r>
              <w:rPr>
                <w:rFonts w:hint="default" w:ascii="Times New Roman" w:hAnsi="Times New Roman" w:eastAsia="宋体" w:cs="Times New Roman"/>
                <w:color w:val="auto"/>
                <w:szCs w:val="21"/>
                <w:highlight w:val="none"/>
                <w:vertAlign w:val="superscript"/>
              </w:rPr>
              <w:t>4+</w:t>
            </w:r>
            <w:r>
              <w:rPr>
                <w:rFonts w:hint="default" w:ascii="Times New Roman" w:hAnsi="Times New Roman" w:eastAsia="宋体" w:cs="Times New Roman"/>
                <w:color w:val="auto"/>
                <w:szCs w:val="21"/>
                <w:highlight w:val="none"/>
              </w:rPr>
              <w:t>、K</w:t>
            </w:r>
            <w:r>
              <w:rPr>
                <w:rFonts w:hint="default" w:ascii="Times New Roman" w:hAnsi="Times New Roman" w:eastAsia="宋体" w:cs="Times New Roman"/>
                <w:color w:val="auto"/>
                <w:szCs w:val="21"/>
                <w:highlight w:val="none"/>
                <w:vertAlign w:val="superscript"/>
              </w:rPr>
              <w:t>+</w:t>
            </w:r>
            <w:r>
              <w:rPr>
                <w:rFonts w:hint="default" w:ascii="Times New Roman" w:hAnsi="Times New Roman" w:eastAsia="宋体" w:cs="Times New Roman"/>
                <w:color w:val="auto"/>
                <w:szCs w:val="21"/>
                <w:highlight w:val="none"/>
              </w:rPr>
              <w:t>、Ca</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、Mg</w:t>
            </w:r>
            <w:r>
              <w:rPr>
                <w:rFonts w:hint="default" w:ascii="Times New Roman" w:hAnsi="Times New Roman" w:eastAsia="宋体" w:cs="Times New Roman"/>
                <w:color w:val="auto"/>
                <w:szCs w:val="21"/>
                <w:highlight w:val="none"/>
                <w:vertAlign w:val="superscript"/>
              </w:rPr>
              <w:t>2+</w:t>
            </w:r>
            <w:r>
              <w:rPr>
                <w:rFonts w:hint="default" w:ascii="Times New Roman" w:hAnsi="Times New Roman" w:eastAsia="宋体" w:cs="Times New Roman"/>
                <w:color w:val="auto"/>
                <w:szCs w:val="21"/>
                <w:highlight w:val="none"/>
              </w:rPr>
              <w:t>）的测定离子色谱法HJ812-2016</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离子色谱仪（IC）</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0.02mg/L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EcoIC</w:t>
            </w: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23</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CO</w:t>
            </w:r>
            <w:r>
              <w:rPr>
                <w:rFonts w:hint="default" w:ascii="Times New Roman" w:hAnsi="Times New Roman" w:eastAsia="宋体" w:cs="Times New Roman"/>
                <w:color w:val="auto"/>
                <w:szCs w:val="21"/>
                <w:highlight w:val="none"/>
                <w:vertAlign w:val="subscript"/>
              </w:rPr>
              <w:t>3</w:t>
            </w:r>
            <w:r>
              <w:rPr>
                <w:rFonts w:hint="default" w:ascii="Times New Roman" w:hAnsi="Times New Roman" w:eastAsia="宋体" w:cs="Times New Roman"/>
                <w:color w:val="auto"/>
                <w:szCs w:val="21"/>
                <w:highlight w:val="none"/>
                <w:vertAlign w:val="superscript"/>
              </w:rPr>
              <w:t>2-</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地下水质检验方法滴定法测定碳酸根、重碳酸根和氢氧根DZ/T0064.49-1993</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HCO</w:t>
            </w:r>
            <w:r>
              <w:rPr>
                <w:rFonts w:hint="default" w:ascii="Times New Roman" w:hAnsi="Times New Roman" w:eastAsia="宋体" w:cs="Times New Roman"/>
                <w:color w:val="auto"/>
                <w:szCs w:val="21"/>
                <w:highlight w:val="none"/>
                <w:vertAlign w:val="superscript"/>
              </w:rPr>
              <w:t>3-</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地下水质检验方法滴定法测定碳酸根、重碳酸根和氢氧根DZ/T0064.49-1993</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25</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Cl</w:t>
            </w:r>
            <w:r>
              <w:rPr>
                <w:rFonts w:hint="default" w:ascii="Times New Roman" w:hAnsi="Times New Roman" w:eastAsia="宋体" w:cs="Times New Roman"/>
                <w:color w:val="auto"/>
                <w:szCs w:val="21"/>
                <w:highlight w:val="none"/>
                <w:vertAlign w:val="superscript"/>
              </w:rPr>
              <w:t>-</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生活饮用水标准检验方法无机非金属指标</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离子色谱仪（IC）ICS-1100</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0.75mg/L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GB/T5750.5-2006（1.2）离子色谱法</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26</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SO</w:t>
            </w:r>
            <w:r>
              <w:rPr>
                <w:rFonts w:hint="default" w:ascii="Times New Roman" w:hAnsi="Times New Roman" w:eastAsia="宋体" w:cs="Times New Roman"/>
                <w:color w:val="auto"/>
                <w:szCs w:val="21"/>
                <w:highlight w:val="none"/>
                <w:vertAlign w:val="subscript"/>
              </w:rPr>
              <w:t>4</w:t>
            </w:r>
            <w:r>
              <w:rPr>
                <w:rFonts w:hint="default" w:ascii="Times New Roman" w:hAnsi="Times New Roman" w:eastAsia="宋体" w:cs="Times New Roman"/>
                <w:color w:val="auto"/>
                <w:szCs w:val="21"/>
                <w:highlight w:val="none"/>
                <w:vertAlign w:val="superscript"/>
              </w:rPr>
              <w:t>2-</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生活饮用水标准检验方法无机非金属指标</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离子色谱仪（IC）ICS-1100</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0.15mg/L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GB/T5750.5-2006（2.2）离子色谱法</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27</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锌</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水质铜、锌、铅、镉的测定</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原子吸收分光光度计AA-7001</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原子吸收分光光度法GB7475-1987</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28</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硫化物</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水质硫化物的测定亚甲基蓝分光光度法</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0.005mg/L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GB/T16489-1996</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29</w:t>
            </w:r>
          </w:p>
        </w:tc>
        <w:tc>
          <w:tcPr>
            <w:tcW w:w="1549"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悬浮物</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水质悬浮物的测定重量法</w:t>
            </w:r>
          </w:p>
        </w:tc>
        <w:tc>
          <w:tcPr>
            <w:tcW w:w="1911"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电子天平JJ224BC</w:t>
            </w:r>
          </w:p>
        </w:tc>
        <w:tc>
          <w:tcPr>
            <w:tcW w:w="1475" w:type="dxa"/>
            <w:vMerge w:val="restart"/>
            <w:shd w:val="clear" w:color="auto" w:fill="auto"/>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549"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GB11901-1989</w:t>
            </w:r>
          </w:p>
        </w:tc>
        <w:tc>
          <w:tcPr>
            <w:tcW w:w="1911" w:type="dxa"/>
            <w:vMerge w:val="continue"/>
            <w:vAlign w:val="center"/>
          </w:tcPr>
          <w:p>
            <w:pPr>
              <w:pStyle w:val="104"/>
              <w:jc w:val="center"/>
              <w:rPr>
                <w:rFonts w:hint="default" w:ascii="Times New Roman" w:hAnsi="Times New Roman" w:eastAsia="宋体" w:cs="Times New Roman"/>
                <w:color w:val="auto"/>
                <w:szCs w:val="21"/>
                <w:highlight w:val="none"/>
              </w:rPr>
            </w:pPr>
          </w:p>
        </w:tc>
        <w:tc>
          <w:tcPr>
            <w:tcW w:w="1475" w:type="dxa"/>
            <w:vMerge w:val="continue"/>
            <w:vAlign w:val="center"/>
          </w:tcPr>
          <w:p>
            <w:pPr>
              <w:pStyle w:val="104"/>
              <w:jc w:val="center"/>
              <w:rPr>
                <w:rFonts w:hint="default" w:ascii="Times New Roman" w:hAnsi="Times New Roman" w:eastAsia="宋体"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30</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铬（六价）</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水质六价铬的测定二苯碳酰二肼分光光度法GB7467-1987</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紫外可见分光光度计756S</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0.004mg/L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31</w:t>
            </w:r>
          </w:p>
        </w:tc>
        <w:tc>
          <w:tcPr>
            <w:tcW w:w="1549"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总大肠菌群</w:t>
            </w:r>
          </w:p>
        </w:tc>
        <w:tc>
          <w:tcPr>
            <w:tcW w:w="3560"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生活饮用水标准检验方法微生物指标GB/T5750.12-20062.1多管发酵法</w:t>
            </w:r>
          </w:p>
        </w:tc>
        <w:tc>
          <w:tcPr>
            <w:tcW w:w="191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电热恒温培养箱DHP-500</w:t>
            </w:r>
          </w:p>
        </w:tc>
        <w:tc>
          <w:tcPr>
            <w:tcW w:w="1475"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91" w:type="dxa"/>
            <w:shd w:val="clear" w:color="auto" w:fill="auto"/>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32</w:t>
            </w:r>
          </w:p>
        </w:tc>
        <w:tc>
          <w:tcPr>
            <w:tcW w:w="1549"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耗氧量</w:t>
            </w:r>
          </w:p>
        </w:tc>
        <w:tc>
          <w:tcPr>
            <w:tcW w:w="3560" w:type="dxa"/>
            <w:shd w:val="clear" w:color="auto" w:fill="auto"/>
            <w:vAlign w:val="center"/>
          </w:tcPr>
          <w:p>
            <w:pPr>
              <w:pStyle w:val="24"/>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生活饮用水标准检验方法有机物综合指标</w:t>
            </w:r>
          </w:p>
          <w:p>
            <w:pPr>
              <w:pStyle w:val="24"/>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GB/T5750.7-2006</w:t>
            </w:r>
          </w:p>
          <w:p>
            <w:pPr>
              <w:pStyle w:val="24"/>
              <w:spacing w:line="240" w:lineRule="auto"/>
              <w:ind w:firstLine="0" w:firstLineChars="0"/>
              <w:jc w:val="center"/>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1.1酸性高锰酸钾滴定法</w:t>
            </w:r>
          </w:p>
        </w:tc>
        <w:tc>
          <w:tcPr>
            <w:tcW w:w="1911"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数显恒温水浴锅</w:t>
            </w:r>
          </w:p>
          <w:p>
            <w:pPr>
              <w:spacing w:line="240" w:lineRule="auto"/>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HH-S</w:t>
            </w:r>
          </w:p>
        </w:tc>
        <w:tc>
          <w:tcPr>
            <w:tcW w:w="1475"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0.05mg/L</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（5）监测结果</w:t>
      </w:r>
    </w:p>
    <w:p>
      <w:pPr>
        <w:ind w:firstLine="480"/>
        <w:rPr>
          <w:rFonts w:hint="default" w:ascii="Times New Roman" w:hAnsi="Times New Roman" w:eastAsia="宋体" w:cs="Times New Roman"/>
          <w:color w:val="auto"/>
          <w:highlight w:val="none"/>
        </w:rPr>
        <w:sectPr>
          <w:pgSz w:w="11906" w:h="16838"/>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26" w:charSpace="0"/>
        </w:sectPr>
      </w:pPr>
      <w:r>
        <w:rPr>
          <w:rFonts w:hint="default" w:ascii="Times New Roman" w:hAnsi="Times New Roman" w:eastAsia="宋体" w:cs="Times New Roman"/>
          <w:color w:val="auto"/>
          <w:highlight w:val="none"/>
        </w:rPr>
        <w:t>地下水水质监测结果见表</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rPr>
        <w:t>10，地下水化学类型见表</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p>
    <w:p>
      <w:pPr>
        <w:spacing w:before="120" w:beforeLines="50" w:line="240" w:lineRule="atLeast"/>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eastAsia="zh-CN"/>
        </w:rPr>
        <w:t>4.2-</w:t>
      </w:r>
      <w:r>
        <w:rPr>
          <w:rFonts w:hint="default" w:ascii="Times New Roman" w:hAnsi="Times New Roman" w:eastAsia="宋体" w:cs="Times New Roman"/>
          <w:b/>
          <w:color w:val="auto"/>
          <w:sz w:val="21"/>
          <w:szCs w:val="21"/>
          <w:highlight w:val="none"/>
        </w:rPr>
        <w:t>10地下水水质监测结果</w:t>
      </w:r>
    </w:p>
    <w:tbl>
      <w:tblPr>
        <w:tblStyle w:val="45"/>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658"/>
        <w:gridCol w:w="1490"/>
        <w:gridCol w:w="1086"/>
        <w:gridCol w:w="1058"/>
        <w:gridCol w:w="1087"/>
        <w:gridCol w:w="1077"/>
        <w:gridCol w:w="1077"/>
        <w:gridCol w:w="1078"/>
        <w:gridCol w:w="1268"/>
        <w:gridCol w:w="1077"/>
        <w:gridCol w:w="1077"/>
        <w:gridCol w:w="1077"/>
        <w:gridCol w:w="109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5" w:hRule="atLeast"/>
        </w:trPr>
        <w:tc>
          <w:tcPr>
            <w:tcW w:w="659"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序号</w:t>
            </w:r>
          </w:p>
        </w:tc>
        <w:tc>
          <w:tcPr>
            <w:tcW w:w="1491"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检测项目</w:t>
            </w:r>
          </w:p>
        </w:tc>
        <w:tc>
          <w:tcPr>
            <w:tcW w:w="3231" w:type="dxa"/>
            <w:gridSpan w:val="3"/>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2022年7月04日</w:t>
            </w:r>
          </w:p>
        </w:tc>
        <w:tc>
          <w:tcPr>
            <w:tcW w:w="3232" w:type="dxa"/>
            <w:gridSpan w:val="3"/>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2022年7月05日</w:t>
            </w:r>
          </w:p>
        </w:tc>
        <w:tc>
          <w:tcPr>
            <w:tcW w:w="1268"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单位</w:t>
            </w:r>
          </w:p>
        </w:tc>
        <w:tc>
          <w:tcPr>
            <w:tcW w:w="1077"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标准</w:t>
            </w:r>
          </w:p>
        </w:tc>
        <w:tc>
          <w:tcPr>
            <w:tcW w:w="1077"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水质指数</w:t>
            </w:r>
          </w:p>
        </w:tc>
        <w:tc>
          <w:tcPr>
            <w:tcW w:w="1077"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超标倍数</w:t>
            </w:r>
          </w:p>
        </w:tc>
        <w:tc>
          <w:tcPr>
            <w:tcW w:w="1097" w:type="dxa"/>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659"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1491"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UW1</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UW2</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UW3</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UW1</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UW2</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UW3</w:t>
            </w:r>
          </w:p>
        </w:tc>
        <w:tc>
          <w:tcPr>
            <w:tcW w:w="1268"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107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107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107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1097" w:type="dxa"/>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7.7</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7.8</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7.6</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7.7</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7.8</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7.7</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无量纲</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6.5-8.5</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0.53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氨氮</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0.41</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0.38</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0.43</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0.34</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0.39</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0.86</w:t>
            </w:r>
          </w:p>
        </w:tc>
        <w:tc>
          <w:tcPr>
            <w:tcW w:w="1077" w:type="dxa"/>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66"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挥发酚（类）</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氰化物</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0.002(L)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砷</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µg/L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汞</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µg/L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镉</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μg/L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50"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铬（六价）</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0.004(L)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总大肠菌群</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MPN/100ml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铁</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0.09</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0.33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锰</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亚硝酸盐氮</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0.011</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硝酸盐氮</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6.6</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6.2</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0.33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氟化物</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铅</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μg/L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总硬度</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94.1</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87.3</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103</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94.1</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88.6</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102</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180"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溶解性总固体</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637</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568</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574</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642</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562</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582</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0.64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耗氧量</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1.83</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2.11</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1.92</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1.79</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2.12</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1.93</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0.71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硫酸盐</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0.06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氯化物</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9.97</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6.83</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11.8</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0.05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菌落总数</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CFU/mL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0.48 </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锌</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硫化物</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65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149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悬浮物</w:t>
            </w:r>
          </w:p>
        </w:tc>
        <w:tc>
          <w:tcPr>
            <w:tcW w:w="1086"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05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08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07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4(L)</w:t>
            </w:r>
          </w:p>
        </w:tc>
        <w:tc>
          <w:tcPr>
            <w:tcW w:w="126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mg/L</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97"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14209" w:type="dxa"/>
            <w:gridSpan w:val="13"/>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left"/>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备注：检测结果小于检出限报最低检出限值加（L）。</w:t>
            </w:r>
          </w:p>
        </w:tc>
      </w:tr>
    </w:tbl>
    <w:p>
      <w:pPr>
        <w:spacing w:line="480" w:lineRule="exac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eastAsia="zh-CN"/>
        </w:rPr>
        <w:t>4.2-</w:t>
      </w:r>
      <w:r>
        <w:rPr>
          <w:rFonts w:hint="default" w:ascii="Times New Roman" w:hAnsi="Times New Roman" w:eastAsia="宋体" w:cs="Times New Roman"/>
          <w:b/>
          <w:color w:val="auto"/>
          <w:sz w:val="21"/>
          <w:szCs w:val="21"/>
          <w:highlight w:val="none"/>
        </w:rPr>
        <w:t>1</w:t>
      </w:r>
      <w:r>
        <w:rPr>
          <w:rFonts w:hint="default"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地下水化学类型统计情况</w:t>
      </w:r>
    </w:p>
    <w:tbl>
      <w:tblPr>
        <w:tblStyle w:val="45"/>
        <w:tblW w:w="4996" w:type="pct"/>
        <w:tblInd w:w="0" w:type="dxa"/>
        <w:tblLayout w:type="fixed"/>
        <w:tblCellMar>
          <w:top w:w="0" w:type="dxa"/>
          <w:left w:w="108" w:type="dxa"/>
          <w:bottom w:w="0" w:type="dxa"/>
          <w:right w:w="108" w:type="dxa"/>
        </w:tblCellMar>
      </w:tblPr>
      <w:tblGrid>
        <w:gridCol w:w="765"/>
        <w:gridCol w:w="750"/>
        <w:gridCol w:w="1665"/>
        <w:gridCol w:w="945"/>
        <w:gridCol w:w="870"/>
        <w:gridCol w:w="900"/>
        <w:gridCol w:w="900"/>
        <w:gridCol w:w="855"/>
        <w:gridCol w:w="960"/>
        <w:gridCol w:w="975"/>
        <w:gridCol w:w="825"/>
        <w:gridCol w:w="780"/>
        <w:gridCol w:w="825"/>
        <w:gridCol w:w="885"/>
        <w:gridCol w:w="1307"/>
      </w:tblGrid>
      <w:tr>
        <w:tblPrEx>
          <w:tblCellMar>
            <w:top w:w="0" w:type="dxa"/>
            <w:left w:w="108" w:type="dxa"/>
            <w:bottom w:w="0" w:type="dxa"/>
            <w:right w:w="108" w:type="dxa"/>
          </w:tblCellMar>
        </w:tblPrEx>
        <w:trPr>
          <w:trHeight w:val="0" w:hRule="atLeast"/>
        </w:trPr>
        <w:tc>
          <w:tcPr>
            <w:tcW w:w="269" w:type="pct"/>
            <w:tcBorders>
              <w:top w:val="single" w:color="auto" w:sz="12" w:space="0"/>
              <w:bottom w:val="single" w:color="auto" w:sz="4" w:space="0"/>
              <w:right w:val="single" w:color="auto" w:sz="4" w:space="0"/>
            </w:tcBorders>
            <w:shd w:val="clear" w:color="auto" w:fill="auto"/>
            <w:noWrap/>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lang w:val="en-US" w:eastAsia="zh-CN"/>
              </w:rPr>
            </w:pPr>
            <w:r>
              <w:rPr>
                <w:rFonts w:hint="default" w:ascii="Times New Roman" w:hAnsi="Times New Roman" w:eastAsia="宋体" w:cs="Times New Roman"/>
                <w:bCs/>
                <w:color w:val="auto"/>
                <w:highlight w:val="none"/>
                <w:lang w:val="en-US" w:eastAsia="zh-CN"/>
              </w:rPr>
              <w:t>监测日期</w:t>
            </w:r>
          </w:p>
        </w:tc>
        <w:tc>
          <w:tcPr>
            <w:tcW w:w="263" w:type="pct"/>
            <w:tcBorders>
              <w:top w:val="single" w:color="auto" w:sz="12" w:space="0"/>
              <w:bottom w:val="single" w:color="auto" w:sz="4" w:space="0"/>
              <w:right w:val="single" w:color="auto" w:sz="4" w:space="0"/>
            </w:tcBorders>
            <w:shd w:val="clear" w:color="auto" w:fill="auto"/>
            <w:noWrap/>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点位</w:t>
            </w:r>
          </w:p>
        </w:tc>
        <w:tc>
          <w:tcPr>
            <w:tcW w:w="585" w:type="pct"/>
            <w:tcBorders>
              <w:top w:val="single" w:color="auto" w:sz="12" w:space="0"/>
              <w:left w:val="nil"/>
              <w:bottom w:val="single" w:color="auto" w:sz="4" w:space="0"/>
              <w:right w:val="single" w:color="auto" w:sz="4" w:space="0"/>
            </w:tcBorders>
            <w:shd w:val="clear" w:color="auto" w:fill="auto"/>
            <w:noWrap/>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浓度</w:t>
            </w:r>
          </w:p>
        </w:tc>
        <w:tc>
          <w:tcPr>
            <w:tcW w:w="332"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钾mg/L</w:t>
            </w:r>
          </w:p>
        </w:tc>
        <w:tc>
          <w:tcPr>
            <w:tcW w:w="306"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钠mg/L</w:t>
            </w:r>
          </w:p>
        </w:tc>
        <w:tc>
          <w:tcPr>
            <w:tcW w:w="316"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钙mg/L</w:t>
            </w:r>
          </w:p>
        </w:tc>
        <w:tc>
          <w:tcPr>
            <w:tcW w:w="316"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镁mg/L</w:t>
            </w:r>
          </w:p>
        </w:tc>
        <w:tc>
          <w:tcPr>
            <w:tcW w:w="300"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碳酸盐mg/L</w:t>
            </w:r>
          </w:p>
        </w:tc>
        <w:tc>
          <w:tcPr>
            <w:tcW w:w="337"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重碳酸盐mg/L</w:t>
            </w:r>
          </w:p>
        </w:tc>
        <w:tc>
          <w:tcPr>
            <w:tcW w:w="343"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硫酸盐mg/L</w:t>
            </w:r>
          </w:p>
        </w:tc>
        <w:tc>
          <w:tcPr>
            <w:tcW w:w="290"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氯化物mg/L</w:t>
            </w:r>
          </w:p>
        </w:tc>
        <w:tc>
          <w:tcPr>
            <w:tcW w:w="274"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阴离子浓度总和</w:t>
            </w:r>
          </w:p>
        </w:tc>
        <w:tc>
          <w:tcPr>
            <w:tcW w:w="290"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阴离子浓度总和</w:t>
            </w:r>
          </w:p>
        </w:tc>
        <w:tc>
          <w:tcPr>
            <w:tcW w:w="311" w:type="pct"/>
            <w:tcBorders>
              <w:top w:val="single" w:color="auto" w:sz="12" w:space="0"/>
              <w:left w:val="nil"/>
              <w:bottom w:val="single" w:color="auto" w:sz="4" w:space="0"/>
              <w:right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平衡误差</w:t>
            </w:r>
          </w:p>
        </w:tc>
        <w:tc>
          <w:tcPr>
            <w:tcW w:w="459" w:type="pct"/>
            <w:tcBorders>
              <w:top w:val="single" w:color="auto" w:sz="12" w:space="0"/>
              <w:left w:val="nil"/>
              <w:bottom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水化学类型</w:t>
            </w:r>
          </w:p>
        </w:tc>
      </w:tr>
      <w:tr>
        <w:tblPrEx>
          <w:tblCellMar>
            <w:top w:w="0" w:type="dxa"/>
            <w:left w:w="108" w:type="dxa"/>
            <w:bottom w:w="0" w:type="dxa"/>
            <w:right w:w="108" w:type="dxa"/>
          </w:tblCellMar>
        </w:tblPrEx>
        <w:trPr>
          <w:trHeight w:val="0" w:hRule="atLeast"/>
        </w:trPr>
        <w:tc>
          <w:tcPr>
            <w:tcW w:w="269" w:type="pct"/>
            <w:vMerge w:val="restart"/>
            <w:tcBorders>
              <w:top w:val="nil"/>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2022年7月04日</w:t>
            </w:r>
          </w:p>
        </w:tc>
        <w:tc>
          <w:tcPr>
            <w:tcW w:w="263" w:type="pct"/>
            <w:vMerge w:val="restart"/>
            <w:tcBorders>
              <w:top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UW1</w:t>
            </w:r>
          </w:p>
        </w:tc>
        <w:tc>
          <w:tcPr>
            <w:tcW w:w="166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离子浓度，mg/L</w:t>
            </w:r>
          </w:p>
        </w:tc>
        <w:tc>
          <w:tcPr>
            <w:tcW w:w="94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1.53</w:t>
            </w:r>
          </w:p>
        </w:tc>
        <w:tc>
          <w:tcPr>
            <w:tcW w:w="87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27.6</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27.1</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9.68</w:t>
            </w:r>
          </w:p>
        </w:tc>
        <w:tc>
          <w:tcPr>
            <w:tcW w:w="8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152</w:t>
            </w:r>
          </w:p>
        </w:tc>
        <w:tc>
          <w:tcPr>
            <w:tcW w:w="97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15.6</w:t>
            </w:r>
          </w:p>
        </w:tc>
        <w:tc>
          <w:tcPr>
            <w:tcW w:w="82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9.97</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restart"/>
            <w:tcBorders>
              <w:top w:val="nil"/>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-Ca</w:t>
            </w: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66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当量浓度，meq</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0.04 </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1.20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1.36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0.81 </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2.49 </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0.33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0.28 </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3.40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3.10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4.67%</w:t>
            </w:r>
          </w:p>
        </w:tc>
        <w:tc>
          <w:tcPr>
            <w:tcW w:w="459" w:type="pct"/>
            <w:vMerge w:val="continue"/>
            <w:tcBorders>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66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百分百含量</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1.15%</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35.28%</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39.83%</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23.74%</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73.25%</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10.49%</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9.08%</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0.93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continue"/>
            <w:tcBorders>
              <w:left w:val="nil"/>
              <w:bottom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63" w:type="pct"/>
            <w:vMerge w:val="restart"/>
            <w:tcBorders>
              <w:top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UW2</w:t>
            </w:r>
          </w:p>
        </w:tc>
        <w:tc>
          <w:tcPr>
            <w:tcW w:w="166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离子浓度，mg/L</w:t>
            </w:r>
          </w:p>
        </w:tc>
        <w:tc>
          <w:tcPr>
            <w:tcW w:w="94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0.51</w:t>
            </w:r>
          </w:p>
        </w:tc>
        <w:tc>
          <w:tcPr>
            <w:tcW w:w="87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11.1</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20.9</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4.84</w:t>
            </w:r>
          </w:p>
        </w:tc>
        <w:tc>
          <w:tcPr>
            <w:tcW w:w="8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97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9.15</w:t>
            </w:r>
          </w:p>
        </w:tc>
        <w:tc>
          <w:tcPr>
            <w:tcW w:w="82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6.83</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restart"/>
            <w:tcBorders>
              <w:top w:val="nil"/>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-Ca</w:t>
            </w: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66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当量浓度，meq</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 </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0.48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1.05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0.40 </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1.39 </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0.19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0.19 </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1.94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1.78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4.50%</w:t>
            </w:r>
          </w:p>
        </w:tc>
        <w:tc>
          <w:tcPr>
            <w:tcW w:w="459" w:type="pct"/>
            <w:vMerge w:val="continue"/>
            <w:tcBorders>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66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百分百含量</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0.67%</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24.83%</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53.75%</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20.75%</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78.43%</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10.73%</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10.84%</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continue"/>
            <w:tcBorders>
              <w:left w:val="nil"/>
              <w:bottom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63" w:type="pct"/>
            <w:vMerge w:val="restart"/>
            <w:tcBorders>
              <w:top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UW3</w:t>
            </w:r>
          </w:p>
        </w:tc>
        <w:tc>
          <w:tcPr>
            <w:tcW w:w="166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离子浓度，mg/L</w:t>
            </w:r>
          </w:p>
        </w:tc>
        <w:tc>
          <w:tcPr>
            <w:tcW w:w="94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1.83</w:t>
            </w:r>
          </w:p>
        </w:tc>
        <w:tc>
          <w:tcPr>
            <w:tcW w:w="87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27.9</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28.3</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9.74</w:t>
            </w:r>
          </w:p>
        </w:tc>
        <w:tc>
          <w:tcPr>
            <w:tcW w:w="8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165</w:t>
            </w:r>
          </w:p>
        </w:tc>
        <w:tc>
          <w:tcPr>
            <w:tcW w:w="97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5.6</w:t>
            </w:r>
          </w:p>
        </w:tc>
        <w:tc>
          <w:tcPr>
            <w:tcW w:w="82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11.9</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restart"/>
            <w:tcBorders>
              <w:top w:val="nil"/>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-Ca</w:t>
            </w: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66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当量浓度，meq</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0.05 </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1.21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1.42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0.81 </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2.70 </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0.12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0.34 </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3.49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3.16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4.96%</w:t>
            </w:r>
          </w:p>
        </w:tc>
        <w:tc>
          <w:tcPr>
            <w:tcW w:w="459" w:type="pct"/>
            <w:vMerge w:val="continue"/>
            <w:tcBorders>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66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百分百含量</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1.35%</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34.79%</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40.58%</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23.28%</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85.67%</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3.70%</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10.63%</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continue"/>
            <w:tcBorders>
              <w:left w:val="nil"/>
              <w:bottom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restart"/>
            <w:tcBorders>
              <w:top w:val="nil"/>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2022年7月05日</w:t>
            </w:r>
          </w:p>
        </w:tc>
        <w:tc>
          <w:tcPr>
            <w:tcW w:w="263" w:type="pct"/>
            <w:vMerge w:val="restart"/>
            <w:tcBorders>
              <w:top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UW1</w:t>
            </w:r>
          </w:p>
        </w:tc>
        <w:tc>
          <w:tcPr>
            <w:tcW w:w="585" w:type="pct"/>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离子浓度，mg/L</w:t>
            </w:r>
          </w:p>
        </w:tc>
        <w:tc>
          <w:tcPr>
            <w:tcW w:w="94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1.46</w:t>
            </w:r>
          </w:p>
        </w:tc>
        <w:tc>
          <w:tcPr>
            <w:tcW w:w="87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26.9</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9.77</w:t>
            </w:r>
          </w:p>
        </w:tc>
        <w:tc>
          <w:tcPr>
            <w:tcW w:w="8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152</w:t>
            </w:r>
          </w:p>
        </w:tc>
        <w:tc>
          <w:tcPr>
            <w:tcW w:w="97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82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9.88</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restart"/>
            <w:tcBorders>
              <w:top w:val="nil"/>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-Ca</w:t>
            </w: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585" w:type="pct"/>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当量浓度，meq</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0.04 </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1.17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1.35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0.81 </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2.49 </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0.31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0.28 </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3.37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3.08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4.46%</w:t>
            </w:r>
          </w:p>
        </w:tc>
        <w:tc>
          <w:tcPr>
            <w:tcW w:w="459" w:type="pct"/>
            <w:vMerge w:val="continue"/>
            <w:tcBorders>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585" w:type="pct"/>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百分百含量</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1.11%</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34.83%</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39.90%</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24.16%</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73.93%</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10.14%</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9.04%</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0.93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continue"/>
            <w:tcBorders>
              <w:left w:val="nil"/>
              <w:bottom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63" w:type="pct"/>
            <w:vMerge w:val="restart"/>
            <w:tcBorders>
              <w:top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UW2</w:t>
            </w:r>
          </w:p>
        </w:tc>
        <w:tc>
          <w:tcPr>
            <w:tcW w:w="585" w:type="pct"/>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离子浓度，mg/L</w:t>
            </w:r>
          </w:p>
        </w:tc>
        <w:tc>
          <w:tcPr>
            <w:tcW w:w="94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0.56</w:t>
            </w:r>
          </w:p>
        </w:tc>
        <w:tc>
          <w:tcPr>
            <w:tcW w:w="87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10.9</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21</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4.78</w:t>
            </w:r>
          </w:p>
        </w:tc>
        <w:tc>
          <w:tcPr>
            <w:tcW w:w="8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97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8.63</w:t>
            </w:r>
          </w:p>
        </w:tc>
        <w:tc>
          <w:tcPr>
            <w:tcW w:w="82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6.41</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restart"/>
            <w:tcBorders>
              <w:top w:val="nil"/>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-Ca</w:t>
            </w: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585" w:type="pct"/>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当量浓度，meq</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0.01 </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0.47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1.05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0.40 </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1.39 </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0.18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0.18 </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1.94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1.75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4.95%</w:t>
            </w:r>
          </w:p>
        </w:tc>
        <w:tc>
          <w:tcPr>
            <w:tcW w:w="459" w:type="pct"/>
            <w:vMerge w:val="continue"/>
            <w:tcBorders>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585" w:type="pct"/>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百分百含量</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0.74%</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24.47%</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54.22%</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20.57%</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79.44%</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10.25%</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10.31%</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continue"/>
            <w:tcBorders>
              <w:left w:val="nil"/>
              <w:bottom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63" w:type="pct"/>
            <w:vMerge w:val="restart"/>
            <w:tcBorders>
              <w:top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UW3</w:t>
            </w:r>
          </w:p>
        </w:tc>
        <w:tc>
          <w:tcPr>
            <w:tcW w:w="585" w:type="pct"/>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离子浓度，mg/L</w:t>
            </w:r>
          </w:p>
        </w:tc>
        <w:tc>
          <w:tcPr>
            <w:tcW w:w="94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1.76</w:t>
            </w:r>
          </w:p>
        </w:tc>
        <w:tc>
          <w:tcPr>
            <w:tcW w:w="87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27.6</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27.8</w:t>
            </w:r>
          </w:p>
        </w:tc>
        <w:tc>
          <w:tcPr>
            <w:tcW w:w="90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9.49</w:t>
            </w:r>
          </w:p>
        </w:tc>
        <w:tc>
          <w:tcPr>
            <w:tcW w:w="85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165</w:t>
            </w:r>
          </w:p>
        </w:tc>
        <w:tc>
          <w:tcPr>
            <w:tcW w:w="97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5.71</w:t>
            </w:r>
          </w:p>
        </w:tc>
        <w:tc>
          <w:tcPr>
            <w:tcW w:w="825"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11.8</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restart"/>
            <w:tcBorders>
              <w:top w:val="nil"/>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-Ca</w:t>
            </w:r>
          </w:p>
        </w:tc>
      </w:tr>
      <w:tr>
        <w:tblPrEx>
          <w:tblCellMar>
            <w:top w:w="0" w:type="dxa"/>
            <w:left w:w="108" w:type="dxa"/>
            <w:bottom w:w="0" w:type="dxa"/>
            <w:right w:w="108" w:type="dxa"/>
          </w:tblCellMar>
        </w:tblPrEx>
        <w:trPr>
          <w:trHeight w:val="0" w:hRule="atLeast"/>
        </w:trPr>
        <w:tc>
          <w:tcPr>
            <w:tcW w:w="269" w:type="pct"/>
            <w:vMerge w:val="continue"/>
            <w:tcBorders>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585" w:type="pct"/>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当量浓度，meq</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0.05 </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1.20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1.39 </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0.79 </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2.70 </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0.12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0.33 </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3.43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3.16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4.09%</w:t>
            </w:r>
          </w:p>
        </w:tc>
        <w:tc>
          <w:tcPr>
            <w:tcW w:w="459" w:type="pct"/>
            <w:vMerge w:val="continue"/>
            <w:tcBorders>
              <w:left w:val="nil"/>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r>
        <w:tblPrEx>
          <w:tblCellMar>
            <w:top w:w="0" w:type="dxa"/>
            <w:left w:w="108" w:type="dxa"/>
            <w:bottom w:w="0" w:type="dxa"/>
            <w:right w:w="108" w:type="dxa"/>
          </w:tblCellMar>
        </w:tblPrEx>
        <w:trPr>
          <w:trHeight w:val="0" w:hRule="atLeast"/>
        </w:trPr>
        <w:tc>
          <w:tcPr>
            <w:tcW w:w="269" w:type="pct"/>
            <w:vMerge w:val="continue"/>
            <w:tcBorders>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263" w:type="pct"/>
            <w:vMerge w:val="continue"/>
            <w:tcBorders>
              <w:top w:val="nil"/>
              <w:bottom w:val="single" w:color="auto" w:sz="4" w:space="0"/>
              <w:right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585" w:type="pct"/>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百分百含量</w:t>
            </w:r>
          </w:p>
        </w:tc>
        <w:tc>
          <w:tcPr>
            <w:tcW w:w="94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1.32%</w:t>
            </w:r>
          </w:p>
        </w:tc>
        <w:tc>
          <w:tcPr>
            <w:tcW w:w="87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35.03%</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40.57%</w:t>
            </w:r>
          </w:p>
        </w:tc>
        <w:tc>
          <w:tcPr>
            <w:tcW w:w="90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23.08%</w:t>
            </w:r>
          </w:p>
        </w:tc>
        <w:tc>
          <w:tcPr>
            <w:tcW w:w="85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96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85.69%</w:t>
            </w:r>
          </w:p>
        </w:tc>
        <w:tc>
          <w:tcPr>
            <w:tcW w:w="97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3.77%</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10.54%</w:t>
            </w:r>
          </w:p>
        </w:tc>
        <w:tc>
          <w:tcPr>
            <w:tcW w:w="780"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2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1.00 </w:t>
            </w:r>
          </w:p>
        </w:tc>
        <w:tc>
          <w:tcPr>
            <w:tcW w:w="885" w:type="dxa"/>
            <w:tcBorders>
              <w:top w:val="nil"/>
              <w:left w:val="nil"/>
              <w:bottom w:val="single" w:color="auto" w:sz="4" w:space="0"/>
              <w:right w:val="single" w:color="auto"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59" w:type="pct"/>
            <w:vMerge w:val="continue"/>
            <w:tcBorders>
              <w:left w:val="nil"/>
              <w:bottom w:val="single" w:color="auto" w:sz="4" w:space="0"/>
            </w:tcBorders>
            <w:shd w:val="clear" w:color="auto" w:fill="auto"/>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r>
    </w:tbl>
    <w:p>
      <w:pPr>
        <w:spacing w:line="480" w:lineRule="exact"/>
        <w:ind w:left="0" w:leftChars="0" w:firstLine="0" w:firstLineChars="0"/>
        <w:rPr>
          <w:rFonts w:hint="default" w:ascii="Times New Roman" w:hAnsi="Times New Roman" w:eastAsia="宋体" w:cs="Times New Roman"/>
          <w:color w:val="auto"/>
          <w:highlight w:val="none"/>
        </w:rPr>
      </w:pPr>
    </w:p>
    <w:p>
      <w:pPr>
        <w:spacing w:line="480" w:lineRule="exact"/>
        <w:ind w:firstLine="480"/>
        <w:rPr>
          <w:rFonts w:hint="default" w:ascii="Times New Roman" w:hAnsi="Times New Roman" w:eastAsia="宋体" w:cs="Times New Roman"/>
          <w:color w:val="auto"/>
          <w:highlight w:val="none"/>
        </w:rPr>
        <w:sectPr>
          <w:pgSz w:w="16838" w:h="11906" w:orient="landscape"/>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26" w:charSpace="0"/>
        </w:sectPr>
      </w:pP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由表</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rPr>
        <w:t>10可知，地下水监测因子标均满足《地下水质量标准》（GB/T14848-2017）中</w:t>
      </w:r>
      <w:r>
        <w:rPr>
          <w:rFonts w:hint="default" w:ascii="Times New Roman" w:hAnsi="Times New Roman" w:eastAsia="宋体" w:cs="Times New Roman"/>
          <w:bCs/>
          <w:color w:val="auto"/>
          <w:highlight w:val="none"/>
        </w:rPr>
        <w:fldChar w:fldCharType="begin"/>
      </w:r>
      <w:r>
        <w:rPr>
          <w:rFonts w:hint="default" w:ascii="Times New Roman" w:hAnsi="Times New Roman" w:eastAsia="宋体" w:cs="Times New Roman"/>
          <w:bCs/>
          <w:color w:val="auto"/>
          <w:highlight w:val="none"/>
        </w:rPr>
        <w:instrText xml:space="preserve"> = 3 \* ROMAN \* MERGEFORMAT </w:instrText>
      </w:r>
      <w:r>
        <w:rPr>
          <w:rFonts w:hint="default" w:ascii="Times New Roman" w:hAnsi="Times New Roman" w:eastAsia="宋体" w:cs="Times New Roman"/>
          <w:bCs/>
          <w:color w:val="auto"/>
          <w:highlight w:val="none"/>
        </w:rPr>
        <w:fldChar w:fldCharType="separate"/>
      </w:r>
      <w:r>
        <w:rPr>
          <w:rFonts w:hint="default" w:ascii="Times New Roman" w:hAnsi="Times New Roman" w:eastAsia="宋体" w:cs="Times New Roman"/>
          <w:color w:val="auto"/>
          <w:highlight w:val="none"/>
        </w:rPr>
        <w:t>III</w:t>
      </w:r>
      <w:r>
        <w:rPr>
          <w:rFonts w:hint="default" w:ascii="Times New Roman" w:hAnsi="Times New Roman" w:eastAsia="宋体" w:cs="Times New Roman"/>
          <w:bCs/>
          <w:color w:val="auto"/>
          <w:highlight w:val="none"/>
        </w:rPr>
        <w:fldChar w:fldCharType="end"/>
      </w:r>
      <w:r>
        <w:rPr>
          <w:rFonts w:hint="default" w:ascii="Times New Roman" w:hAnsi="Times New Roman" w:eastAsia="宋体" w:cs="Times New Roman"/>
          <w:bCs/>
          <w:color w:val="auto"/>
          <w:highlight w:val="none"/>
        </w:rPr>
        <w:t>类</w:t>
      </w:r>
      <w:r>
        <w:rPr>
          <w:rFonts w:hint="default" w:ascii="Times New Roman" w:hAnsi="Times New Roman" w:eastAsia="宋体" w:cs="Times New Roman"/>
          <w:color w:val="auto"/>
          <w:highlight w:val="none"/>
        </w:rPr>
        <w:t>标准要求。</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（6）地下水水位</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水位监测结果见下表。</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表4.2-12水位监测结果</w:t>
      </w:r>
    </w:p>
    <w:tbl>
      <w:tblPr>
        <w:tblStyle w:val="45"/>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86"/>
        <w:gridCol w:w="2288"/>
        <w:gridCol w:w="1825"/>
        <w:gridCol w:w="1967"/>
        <w:gridCol w:w="1289"/>
        <w:gridCol w:w="10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序号</w:t>
            </w:r>
          </w:p>
        </w:tc>
        <w:tc>
          <w:tcPr>
            <w:tcW w:w="1255"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采样点位</w:t>
            </w:r>
          </w:p>
        </w:tc>
        <w:tc>
          <w:tcPr>
            <w:tcW w:w="2080"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坐标</w:t>
            </w:r>
          </w:p>
        </w:tc>
        <w:tc>
          <w:tcPr>
            <w:tcW w:w="70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井深（m）</w:t>
            </w:r>
          </w:p>
        </w:tc>
        <w:tc>
          <w:tcPr>
            <w:tcW w:w="58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水位（m）</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黑山村</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123.358332E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40.429034N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贾家堡子</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123.356363E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40.430661N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3</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卜家煲子</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123.356928E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40.419788N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4</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长砬子</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123.360067E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40.461611N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5</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王家堡子</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123.356166E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40.466631N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6</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黄沟门</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123.362721E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40.477252N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6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7</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项目上游闹沟里</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123.375990E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40.463815N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10</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6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8</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项目所在地</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123.370298E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40.450396N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tblHeader/>
          <w:jc w:val="center"/>
        </w:trPr>
        <w:tc>
          <w:tcPr>
            <w:tcW w:w="6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9</w:t>
            </w:r>
          </w:p>
        </w:tc>
        <w:tc>
          <w:tcPr>
            <w:tcW w:w="228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项目南侧胡家沟</w:t>
            </w:r>
          </w:p>
        </w:tc>
        <w:tc>
          <w:tcPr>
            <w:tcW w:w="18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123.361774E</w:t>
            </w:r>
          </w:p>
        </w:tc>
        <w:tc>
          <w:tcPr>
            <w:tcW w:w="196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40.433549N</w:t>
            </w:r>
          </w:p>
        </w:tc>
        <w:tc>
          <w:tcPr>
            <w:tcW w:w="128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6</w:t>
            </w:r>
          </w:p>
        </w:tc>
        <w:tc>
          <w:tcPr>
            <w:tcW w:w="105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6</w:t>
            </w:r>
          </w:p>
        </w:tc>
      </w:tr>
    </w:tbl>
    <w:p>
      <w:pPr>
        <w:pStyle w:val="6"/>
        <w:numPr>
          <w:ilvl w:val="3"/>
          <w:numId w:val="0"/>
        </w:numPr>
        <w:spacing w:before="0" w:after="0"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4.2.2.</w:t>
      </w:r>
      <w:r>
        <w:rPr>
          <w:rFonts w:hint="default" w:ascii="Times New Roman" w:hAnsi="Times New Roman" w:eastAsia="宋体" w:cs="Times New Roman"/>
          <w:color w:val="auto"/>
          <w:sz w:val="24"/>
          <w:highlight w:val="none"/>
        </w:rPr>
        <w:t>4声环境质量现状调查与评价</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建设单位委托</w:t>
      </w:r>
      <w:r>
        <w:rPr>
          <w:rFonts w:hint="default" w:ascii="Times New Roman" w:hAnsi="Times New Roman" w:eastAsia="宋体" w:cs="Times New Roman"/>
          <w:color w:val="auto"/>
          <w:highlight w:val="none"/>
          <w:lang w:eastAsia="zh-CN"/>
        </w:rPr>
        <w:t>沈阳中正检测技术有限公司</w:t>
      </w:r>
      <w:r>
        <w:rPr>
          <w:rFonts w:hint="default" w:ascii="Times New Roman" w:hAnsi="Times New Roman" w:eastAsia="宋体" w:cs="Times New Roman"/>
          <w:color w:val="auto"/>
          <w:highlight w:val="none"/>
          <w:lang w:val="en-US" w:eastAsia="zh-CN"/>
        </w:rPr>
        <w:t>2022</w:t>
      </w:r>
      <w:r>
        <w:rPr>
          <w:rFonts w:hint="default" w:ascii="Times New Roman" w:hAnsi="Times New Roman" w:eastAsia="宋体" w:cs="Times New Roman"/>
          <w:color w:val="auto"/>
          <w:highlight w:val="none"/>
        </w:rPr>
        <w:t>年0</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color w:val="auto"/>
          <w:highlight w:val="none"/>
        </w:rPr>
        <w:t>日-0</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05</w:t>
      </w:r>
      <w:r>
        <w:rPr>
          <w:rFonts w:hint="default" w:ascii="Times New Roman" w:hAnsi="Times New Roman" w:eastAsia="宋体" w:cs="Times New Roman"/>
          <w:color w:val="auto"/>
          <w:highlight w:val="none"/>
        </w:rPr>
        <w:t>日对项目厂界</w:t>
      </w:r>
      <w:r>
        <w:rPr>
          <w:rFonts w:hint="default" w:ascii="Times New Roman" w:hAnsi="Times New Roman" w:eastAsia="宋体" w:cs="Times New Roman"/>
          <w:color w:val="auto"/>
          <w:highlight w:val="none"/>
          <w:lang w:val="en-US" w:eastAsia="zh-CN"/>
        </w:rPr>
        <w:t>及南侧胡家沟</w:t>
      </w:r>
      <w:r>
        <w:rPr>
          <w:rFonts w:hint="default" w:ascii="Times New Roman" w:hAnsi="Times New Roman" w:eastAsia="宋体" w:cs="Times New Roman"/>
          <w:color w:val="auto"/>
          <w:highlight w:val="none"/>
        </w:rPr>
        <w:t>噪声进行了监测。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（1）监测布点</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选取项目基地周界1m处及敏感点项目南侧胡家沟</w:t>
      </w:r>
      <w:r>
        <w:rPr>
          <w:rFonts w:hint="eastAsia" w:ascii="Times New Roman" w:hAnsi="Times New Roman" w:eastAsia="宋体" w:cs="Times New Roman"/>
          <w:color w:val="auto"/>
          <w:highlight w:val="none"/>
          <w:lang w:val="en-US" w:eastAsia="zh-CN"/>
        </w:rPr>
        <w:t>（贾家堡）</w:t>
      </w:r>
      <w:r>
        <w:rPr>
          <w:rFonts w:hint="default" w:ascii="Times New Roman" w:hAnsi="Times New Roman" w:eastAsia="宋体" w:cs="Times New Roman"/>
          <w:color w:val="auto"/>
          <w:highlight w:val="none"/>
        </w:rPr>
        <w:t>5个点作为声环境监测点，详见图</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rPr>
        <w:t>1。</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（2）监测时间和频率</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2022</w:t>
      </w:r>
      <w:r>
        <w:rPr>
          <w:rFonts w:hint="default" w:ascii="Times New Roman" w:hAnsi="Times New Roman" w:eastAsia="宋体" w:cs="Times New Roman"/>
          <w:color w:val="auto"/>
          <w:highlight w:val="none"/>
        </w:rPr>
        <w:t>年0</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color w:val="auto"/>
          <w:highlight w:val="none"/>
        </w:rPr>
        <w:t>日-0</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05</w:t>
      </w:r>
      <w:r>
        <w:rPr>
          <w:rFonts w:hint="default" w:ascii="Times New Roman" w:hAnsi="Times New Roman" w:eastAsia="宋体" w:cs="Times New Roman"/>
          <w:color w:val="auto"/>
          <w:highlight w:val="none"/>
        </w:rPr>
        <w:t>日，昼夜各监测一次。</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（3）监测结果及评价</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监测结果见表</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p>
    <w:p>
      <w:pPr>
        <w:spacing w:line="240" w:lineRule="auto"/>
        <w:ind w:firstLine="833" w:firstLineChars="374"/>
        <w:jc w:val="center"/>
        <w:rPr>
          <w:rFonts w:hint="default" w:ascii="Times New Roman" w:hAnsi="Times New Roman" w:eastAsia="宋体" w:cs="Times New Roman"/>
          <w:b/>
          <w:color w:val="auto"/>
          <w:spacing w:val="6"/>
          <w:kern w:val="0"/>
          <w:sz w:val="21"/>
          <w:szCs w:val="21"/>
          <w:highlight w:val="none"/>
        </w:rPr>
      </w:pPr>
      <w:r>
        <w:rPr>
          <w:rFonts w:hint="default" w:ascii="Times New Roman" w:hAnsi="Times New Roman" w:eastAsia="宋体" w:cs="Times New Roman"/>
          <w:b/>
          <w:color w:val="auto"/>
          <w:spacing w:val="6"/>
          <w:kern w:val="0"/>
          <w:sz w:val="21"/>
          <w:szCs w:val="21"/>
          <w:highlight w:val="none"/>
        </w:rPr>
        <w:t>表</w:t>
      </w:r>
      <w:r>
        <w:rPr>
          <w:rFonts w:hint="default" w:ascii="Times New Roman" w:hAnsi="Times New Roman" w:eastAsia="宋体" w:cs="Times New Roman"/>
          <w:b/>
          <w:color w:val="auto"/>
          <w:spacing w:val="6"/>
          <w:kern w:val="0"/>
          <w:sz w:val="21"/>
          <w:szCs w:val="21"/>
          <w:highlight w:val="none"/>
          <w:lang w:eastAsia="zh-CN"/>
        </w:rPr>
        <w:t>4.2-</w:t>
      </w:r>
      <w:r>
        <w:rPr>
          <w:rFonts w:hint="default" w:ascii="Times New Roman" w:hAnsi="Times New Roman" w:eastAsia="宋体" w:cs="Times New Roman"/>
          <w:b/>
          <w:color w:val="auto"/>
          <w:spacing w:val="6"/>
          <w:kern w:val="0"/>
          <w:sz w:val="21"/>
          <w:szCs w:val="21"/>
          <w:highlight w:val="none"/>
        </w:rPr>
        <w:t>1</w:t>
      </w:r>
      <w:r>
        <w:rPr>
          <w:rFonts w:hint="default" w:ascii="Times New Roman" w:hAnsi="Times New Roman" w:eastAsia="宋体" w:cs="Times New Roman"/>
          <w:b/>
          <w:color w:val="auto"/>
          <w:spacing w:val="6"/>
          <w:kern w:val="0"/>
          <w:sz w:val="21"/>
          <w:szCs w:val="21"/>
          <w:highlight w:val="none"/>
          <w:lang w:val="en-US" w:eastAsia="zh-CN"/>
        </w:rPr>
        <w:t>3</w:t>
      </w:r>
      <w:r>
        <w:rPr>
          <w:rFonts w:hint="default" w:ascii="Times New Roman" w:hAnsi="Times New Roman" w:eastAsia="宋体" w:cs="Times New Roman"/>
          <w:b/>
          <w:color w:val="auto"/>
          <w:spacing w:val="6"/>
          <w:kern w:val="0"/>
          <w:sz w:val="21"/>
          <w:szCs w:val="21"/>
          <w:highlight w:val="none"/>
        </w:rPr>
        <w:t>声环境监测结果LeqdB（A）</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8"/>
        <w:gridCol w:w="1418"/>
        <w:gridCol w:w="1078"/>
        <w:gridCol w:w="1186"/>
        <w:gridCol w:w="1255"/>
        <w:gridCol w:w="1186"/>
        <w:gridCol w:w="1759"/>
        <w:gridCol w:w="7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Merge w:val="restar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编号</w:t>
            </w:r>
          </w:p>
        </w:tc>
        <w:tc>
          <w:tcPr>
            <w:tcW w:w="1418" w:type="dxa"/>
            <w:vMerge w:val="restar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监测点位</w:t>
            </w:r>
          </w:p>
        </w:tc>
        <w:tc>
          <w:tcPr>
            <w:tcW w:w="2264" w:type="dxa"/>
            <w:gridSpan w:val="2"/>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昼间</w:t>
            </w:r>
          </w:p>
        </w:tc>
        <w:tc>
          <w:tcPr>
            <w:tcW w:w="2441" w:type="dxa"/>
            <w:gridSpan w:val="2"/>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夜间</w:t>
            </w:r>
          </w:p>
        </w:tc>
        <w:tc>
          <w:tcPr>
            <w:tcW w:w="1759" w:type="dxa"/>
            <w:vMerge w:val="restar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标准</w:t>
            </w:r>
          </w:p>
        </w:tc>
        <w:tc>
          <w:tcPr>
            <w:tcW w:w="796" w:type="dxa"/>
            <w:vMerge w:val="restar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c>
          <w:tcPr>
            <w:tcW w:w="1418"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c>
          <w:tcPr>
            <w:tcW w:w="107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2022.7.04</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2022.7.05</w:t>
            </w:r>
          </w:p>
        </w:tc>
        <w:tc>
          <w:tcPr>
            <w:tcW w:w="125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2022.7.04</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2022.7.05</w:t>
            </w:r>
          </w:p>
        </w:tc>
        <w:tc>
          <w:tcPr>
            <w:tcW w:w="1759"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c>
          <w:tcPr>
            <w:tcW w:w="796"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w:t>
            </w:r>
          </w:p>
        </w:tc>
        <w:tc>
          <w:tcPr>
            <w:tcW w:w="141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东厂界</w:t>
            </w:r>
          </w:p>
        </w:tc>
        <w:tc>
          <w:tcPr>
            <w:tcW w:w="107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51</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43</w:t>
            </w:r>
          </w:p>
        </w:tc>
        <w:tc>
          <w:tcPr>
            <w:tcW w:w="125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52</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42</w:t>
            </w:r>
          </w:p>
        </w:tc>
        <w:tc>
          <w:tcPr>
            <w:tcW w:w="1759" w:type="dxa"/>
            <w:vMerge w:val="restar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昼间</w:t>
            </w:r>
            <w:r>
              <w:rPr>
                <w:rFonts w:hint="eastAsia" w:cs="Times New Roman"/>
                <w:bCs/>
                <w:color w:val="auto"/>
                <w:sz w:val="21"/>
                <w:szCs w:val="21"/>
                <w:highlight w:val="none"/>
                <w:lang w:val="en-US" w:eastAsia="zh-CN"/>
              </w:rPr>
              <w:t>55</w:t>
            </w:r>
          </w:p>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夜间</w:t>
            </w:r>
            <w:r>
              <w:rPr>
                <w:rFonts w:hint="eastAsia" w:cs="Times New Roman"/>
                <w:bCs/>
                <w:color w:val="auto"/>
                <w:sz w:val="21"/>
                <w:szCs w:val="21"/>
                <w:highlight w:val="none"/>
                <w:lang w:val="en-US" w:eastAsia="zh-CN"/>
              </w:rPr>
              <w:t>45</w:t>
            </w:r>
          </w:p>
        </w:tc>
        <w:tc>
          <w:tcPr>
            <w:tcW w:w="796" w:type="dxa"/>
            <w:vMerge w:val="restart"/>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w:t>
            </w:r>
          </w:p>
        </w:tc>
        <w:tc>
          <w:tcPr>
            <w:tcW w:w="141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西</w:t>
            </w:r>
            <w:r>
              <w:rPr>
                <w:rFonts w:hint="default" w:ascii="Times New Roman" w:hAnsi="Times New Roman" w:eastAsia="宋体" w:cs="Times New Roman"/>
                <w:bCs/>
                <w:color w:val="auto"/>
                <w:sz w:val="21"/>
                <w:szCs w:val="21"/>
                <w:highlight w:val="none"/>
              </w:rPr>
              <w:t>厂界</w:t>
            </w:r>
          </w:p>
        </w:tc>
        <w:tc>
          <w:tcPr>
            <w:tcW w:w="107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54</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45</w:t>
            </w:r>
          </w:p>
        </w:tc>
        <w:tc>
          <w:tcPr>
            <w:tcW w:w="125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53</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44</w:t>
            </w:r>
          </w:p>
        </w:tc>
        <w:tc>
          <w:tcPr>
            <w:tcW w:w="1759"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c>
          <w:tcPr>
            <w:tcW w:w="796"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w:t>
            </w:r>
          </w:p>
        </w:tc>
        <w:tc>
          <w:tcPr>
            <w:tcW w:w="141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南</w:t>
            </w:r>
            <w:r>
              <w:rPr>
                <w:rFonts w:hint="default" w:ascii="Times New Roman" w:hAnsi="Times New Roman" w:eastAsia="宋体" w:cs="Times New Roman"/>
                <w:bCs/>
                <w:color w:val="auto"/>
                <w:sz w:val="21"/>
                <w:szCs w:val="21"/>
                <w:highlight w:val="none"/>
              </w:rPr>
              <w:t>厂界</w:t>
            </w:r>
          </w:p>
        </w:tc>
        <w:tc>
          <w:tcPr>
            <w:tcW w:w="107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52</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42</w:t>
            </w:r>
          </w:p>
        </w:tc>
        <w:tc>
          <w:tcPr>
            <w:tcW w:w="125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51</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41</w:t>
            </w:r>
          </w:p>
        </w:tc>
        <w:tc>
          <w:tcPr>
            <w:tcW w:w="1759"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c>
          <w:tcPr>
            <w:tcW w:w="796"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4#</w:t>
            </w:r>
          </w:p>
        </w:tc>
        <w:tc>
          <w:tcPr>
            <w:tcW w:w="141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北厂界</w:t>
            </w:r>
          </w:p>
        </w:tc>
        <w:tc>
          <w:tcPr>
            <w:tcW w:w="107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53</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44</w:t>
            </w:r>
          </w:p>
        </w:tc>
        <w:tc>
          <w:tcPr>
            <w:tcW w:w="125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54</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43</w:t>
            </w:r>
          </w:p>
        </w:tc>
        <w:tc>
          <w:tcPr>
            <w:tcW w:w="1759"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c>
          <w:tcPr>
            <w:tcW w:w="796" w:type="dxa"/>
            <w:vMerge w:val="continue"/>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0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5#</w:t>
            </w:r>
          </w:p>
        </w:tc>
        <w:tc>
          <w:tcPr>
            <w:tcW w:w="141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南侧胡家沟</w:t>
            </w:r>
            <w:r>
              <w:rPr>
                <w:rFonts w:hint="eastAsia" w:cs="Times New Roman"/>
                <w:color w:val="auto"/>
                <w:kern w:val="2"/>
                <w:sz w:val="21"/>
                <w:szCs w:val="21"/>
                <w:highlight w:val="none"/>
                <w:lang w:val="en-US" w:eastAsia="zh-CN" w:bidi="ar-SA"/>
              </w:rPr>
              <w:t>（贾家堡）</w:t>
            </w:r>
          </w:p>
        </w:tc>
        <w:tc>
          <w:tcPr>
            <w:tcW w:w="1078"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51</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40</w:t>
            </w:r>
          </w:p>
        </w:tc>
        <w:tc>
          <w:tcPr>
            <w:tcW w:w="1255"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50</w:t>
            </w:r>
          </w:p>
        </w:tc>
        <w:tc>
          <w:tcPr>
            <w:tcW w:w="118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41</w:t>
            </w:r>
          </w:p>
        </w:tc>
        <w:tc>
          <w:tcPr>
            <w:tcW w:w="1759"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昼间55夜间45</w:t>
            </w:r>
          </w:p>
        </w:tc>
        <w:tc>
          <w:tcPr>
            <w:tcW w:w="796" w:type="dxa"/>
            <w:vAlign w:val="center"/>
          </w:tcPr>
          <w:p>
            <w:pPr>
              <w:spacing w:line="240" w:lineRule="atLeast"/>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达标</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由表</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可知，项目厂界四周噪声均满足《工业企业厂界环境噪声排放标准》（GB12348-2008）</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类标准要求，敏感点满足《声环境质量标准》（GB3096-2008）1类声环境功能区要求。</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4.2.2.</w:t>
      </w:r>
      <w:r>
        <w:rPr>
          <w:rFonts w:hint="default" w:ascii="Times New Roman" w:hAnsi="Times New Roman" w:eastAsia="宋体" w:cs="Times New Roman"/>
          <w:color w:val="auto"/>
          <w:sz w:val="24"/>
          <w:highlight w:val="none"/>
        </w:rPr>
        <w:t>5土壤环境质量现状评价</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建设单位委托</w:t>
      </w:r>
      <w:r>
        <w:rPr>
          <w:rFonts w:hint="default" w:ascii="Times New Roman" w:hAnsi="Times New Roman" w:eastAsia="宋体" w:cs="Times New Roman"/>
          <w:color w:val="auto"/>
          <w:highlight w:val="none"/>
          <w:lang w:eastAsia="zh-CN"/>
        </w:rPr>
        <w:t>沈阳中正检测技术有限公司</w:t>
      </w:r>
      <w:r>
        <w:rPr>
          <w:rFonts w:hint="default" w:ascii="Times New Roman" w:hAnsi="Times New Roman" w:eastAsia="宋体" w:cs="Times New Roman"/>
          <w:color w:val="auto"/>
          <w:highlight w:val="none"/>
        </w:rPr>
        <w:t>于202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年0</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04日</w:t>
      </w:r>
      <w:r>
        <w:rPr>
          <w:rFonts w:hint="default" w:ascii="Times New Roman" w:hAnsi="Times New Roman" w:eastAsia="宋体" w:cs="Times New Roman"/>
          <w:color w:val="auto"/>
          <w:highlight w:val="none"/>
        </w:rPr>
        <w:t>对项目土壤现状进行了监测。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（1）监测点位布设</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矿区范围</w:t>
      </w:r>
      <w:r>
        <w:rPr>
          <w:rFonts w:hint="default" w:ascii="Times New Roman" w:hAnsi="Times New Roman" w:eastAsia="宋体" w:cs="Times New Roman"/>
          <w:color w:val="auto"/>
          <w:highlight w:val="none"/>
        </w:rPr>
        <w:t>内共布设</w:t>
      </w:r>
      <w:r>
        <w:rPr>
          <w:rFonts w:hint="default" w:ascii="Times New Roman" w:hAnsi="Times New Roman" w:eastAsia="宋体" w:cs="Times New Roman"/>
          <w:color w:val="auto"/>
          <w:highlight w:val="none"/>
          <w:lang w:val="en-US" w:eastAsia="zh-CN"/>
        </w:rPr>
        <w:t>3表层</w:t>
      </w:r>
      <w:r>
        <w:rPr>
          <w:rFonts w:hint="default" w:ascii="Times New Roman" w:hAnsi="Times New Roman" w:eastAsia="宋体" w:cs="Times New Roman"/>
          <w:color w:val="auto"/>
          <w:highlight w:val="none"/>
        </w:rPr>
        <w:t>个监测点，具体点位布设见表</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监测点位图见图</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rPr>
        <w:t>1。</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eastAsia="zh-CN"/>
        </w:rPr>
        <w:t>4.2-</w:t>
      </w:r>
      <w:r>
        <w:rPr>
          <w:rFonts w:hint="default" w:ascii="Times New Roman" w:hAnsi="Times New Roman" w:eastAsia="宋体" w:cs="Times New Roman"/>
          <w:b/>
          <w:color w:val="auto"/>
          <w:sz w:val="21"/>
          <w:szCs w:val="21"/>
          <w:highlight w:val="none"/>
        </w:rPr>
        <w:t>1</w:t>
      </w: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监测点位</w:t>
      </w:r>
    </w:p>
    <w:tbl>
      <w:tblPr>
        <w:tblStyle w:val="45"/>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2439"/>
        <w:gridCol w:w="3846"/>
        <w:gridCol w:w="22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3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2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采样</w:t>
            </w:r>
            <w:r>
              <w:rPr>
                <w:rFonts w:hint="default" w:ascii="Times New Roman" w:hAnsi="Times New Roman" w:eastAsia="宋体" w:cs="Times New Roman"/>
                <w:color w:val="auto"/>
                <w:sz w:val="21"/>
                <w:szCs w:val="21"/>
                <w:highlight w:val="none"/>
              </w:rPr>
              <w:t>点位</w:t>
            </w:r>
          </w:p>
        </w:tc>
        <w:tc>
          <w:tcPr>
            <w:tcW w:w="21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检测项目</w:t>
            </w:r>
          </w:p>
        </w:tc>
        <w:tc>
          <w:tcPr>
            <w:tcW w:w="125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40" w:hRule="atLeast"/>
          <w:tblHeader/>
        </w:trPr>
        <w:tc>
          <w:tcPr>
            <w:tcW w:w="3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tc>
        <w:tc>
          <w:tcPr>
            <w:tcW w:w="25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厂区北侧</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123.374327E,40.452791N</w:t>
            </w:r>
          </w:p>
        </w:tc>
        <w:tc>
          <w:tcPr>
            <w:tcW w:w="213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对二甲苯、邻二甲苯、硝基苯、</w:t>
            </w:r>
            <w:r>
              <w:rPr>
                <w:rFonts w:hint="default" w:ascii="Times New Roman" w:hAnsi="Times New Roman" w:eastAsia="宋体" w:cs="Times New Roman"/>
                <w:bCs/>
                <w:color w:val="auto"/>
                <w:sz w:val="21"/>
                <w:szCs w:val="21"/>
                <w:highlight w:val="none"/>
                <w:lang w:val="en-US" w:eastAsia="zh-CN"/>
              </w:rPr>
              <w:t>苯胺</w:t>
            </w:r>
            <w:r>
              <w:rPr>
                <w:rFonts w:hint="default" w:ascii="Times New Roman" w:hAnsi="Times New Roman" w:eastAsia="宋体" w:cs="Times New Roman"/>
                <w:color w:val="auto"/>
                <w:sz w:val="21"/>
                <w:szCs w:val="21"/>
                <w:highlight w:val="none"/>
                <w:lang w:val="en-US" w:eastAsia="zh-CN"/>
              </w:rPr>
              <w:t>、2-氯酚、苯并(a)蒽、苯并(a)芘、苯并[b]荧蒽、苯并[k]荧蒽、䓛、二苯并[a,h]蒽、</w:t>
            </w:r>
            <w:r>
              <w:rPr>
                <w:rFonts w:hint="default" w:ascii="Times New Roman" w:hAnsi="Times New Roman" w:eastAsia="宋体" w:cs="Times New Roman"/>
                <w:color w:val="auto"/>
                <w:sz w:val="21"/>
                <w:szCs w:val="21"/>
                <w:highlight w:val="none"/>
              </w:rPr>
              <w:t>茚并（1,2,3-c</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lang w:val="en-US" w:eastAsia="zh-CN"/>
              </w:rPr>
              <w:t>芘、萘、pH、阳离子交换量、氧化还原电位、饱和导水率、土壤容重、孔隙度、</w:t>
            </w:r>
            <w:r>
              <w:rPr>
                <w:rStyle w:val="328"/>
                <w:rFonts w:hint="default" w:ascii="Times New Roman" w:hAnsi="Times New Roman" w:eastAsia="宋体" w:cs="Times New Roman"/>
                <w:i w:val="0"/>
                <w:iCs w:val="0"/>
                <w:color w:val="auto"/>
                <w:sz w:val="21"/>
                <w:szCs w:val="21"/>
                <w:highlight w:val="none"/>
                <w:lang w:val="en-US" w:eastAsia="zh-CN"/>
              </w:rPr>
              <w:t>含</w:t>
            </w:r>
            <w:r>
              <w:rPr>
                <w:rStyle w:val="328"/>
                <w:rFonts w:hint="default" w:ascii="Times New Roman" w:hAnsi="Times New Roman" w:eastAsia="宋体" w:cs="Times New Roman"/>
                <w:i w:val="0"/>
                <w:iCs w:val="0"/>
                <w:color w:val="auto"/>
                <w:sz w:val="21"/>
                <w:szCs w:val="21"/>
                <w:highlight w:val="none"/>
              </w:rPr>
              <w:t>盐量</w:t>
            </w:r>
          </w:p>
        </w:tc>
        <w:tc>
          <w:tcPr>
            <w:tcW w:w="125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1天1次。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5" w:hRule="atLeast"/>
          <w:tblHeader/>
        </w:trPr>
        <w:tc>
          <w:tcPr>
            <w:tcW w:w="3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25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厂区东侧</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123.372417E,40.450452N</w:t>
            </w:r>
          </w:p>
        </w:tc>
        <w:tc>
          <w:tcPr>
            <w:tcW w:w="21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sz w:val="21"/>
                <w:szCs w:val="21"/>
                <w:highlight w:val="none"/>
                <w:lang w:val="en-US" w:eastAsia="zh-CN"/>
              </w:rPr>
            </w:pPr>
          </w:p>
        </w:tc>
        <w:tc>
          <w:tcPr>
            <w:tcW w:w="125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5" w:hRule="atLeast"/>
          <w:tblHeader/>
        </w:trPr>
        <w:tc>
          <w:tcPr>
            <w:tcW w:w="3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25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厂区南侧</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123.369466E,40.448564N</w:t>
            </w:r>
          </w:p>
        </w:tc>
        <w:tc>
          <w:tcPr>
            <w:tcW w:w="213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sz w:val="21"/>
                <w:szCs w:val="21"/>
                <w:highlight w:val="none"/>
                <w:lang w:val="en-US" w:eastAsia="zh-CN"/>
              </w:rPr>
            </w:pPr>
          </w:p>
        </w:tc>
        <w:tc>
          <w:tcPr>
            <w:tcW w:w="125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sz w:val="21"/>
                <w:szCs w:val="21"/>
                <w:highlight w:val="none"/>
              </w:rPr>
            </w:pP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（2）评价方法</w:t>
      </w:r>
    </w:p>
    <w:p>
      <w:pPr>
        <w:spacing w:before="120" w:beforeLines="50"/>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采用单因子污染指数法。计算公式：</w:t>
      </w:r>
    </w:p>
    <w:p>
      <w:pPr>
        <w:spacing w:before="120" w:beforeLines="50"/>
        <w:ind w:firstLine="1200" w:firstLineChars="500"/>
        <w:rPr>
          <w:rFonts w:hint="default" w:ascii="Times New Roman" w:hAnsi="Times New Roman" w:eastAsia="宋体" w:cs="Times New Roman"/>
          <w:color w:val="auto"/>
          <w:highlight w:val="none"/>
        </w:rPr>
      </w:pPr>
      <m:oMathPara>
        <m:oMath>
          <m:sSub>
            <m:sSubPr>
              <m:ctrlPr>
                <w:rPr>
                  <w:rFonts w:hint="default" w:ascii="Cambria Math" w:hAnsi="Cambria Math" w:eastAsia="宋体" w:cs="Times New Roman"/>
                  <w:color w:val="auto"/>
                  <w:highlight w:val="none"/>
                </w:rPr>
              </m:ctrlPr>
            </m:sSubPr>
            <m:e>
              <m:r>
                <m:rPr/>
                <w:rPr>
                  <w:rFonts w:hint="default" w:ascii="Cambria Math" w:hAnsi="Cambria Math" w:eastAsia="宋体" w:cs="Times New Roman"/>
                  <w:color w:val="auto"/>
                  <w:highlight w:val="none"/>
                </w:rPr>
                <m:t>P</m:t>
              </m:r>
              <m:ctrlPr>
                <w:rPr>
                  <w:rFonts w:hint="default" w:ascii="Cambria Math" w:hAnsi="Cambria Math" w:eastAsia="宋体" w:cs="Times New Roman"/>
                  <w:color w:val="auto"/>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color w:val="auto"/>
                  <w:highlight w:val="none"/>
                </w:rPr>
              </m:ctrlPr>
            </m:sub>
          </m:sSub>
          <m:r>
            <m:rPr/>
            <w:rPr>
              <w:rFonts w:hint="default" w:ascii="Cambria Math" w:hAnsi="Cambria Math" w:eastAsia="宋体" w:cs="Times New Roman"/>
              <w:color w:val="auto"/>
              <w:highlight w:val="none"/>
            </w:rPr>
            <m:t>=</m:t>
          </m:r>
          <m:f>
            <m:fPr>
              <m:ctrlPr>
                <w:rPr>
                  <w:rFonts w:hint="default" w:ascii="Cambria Math" w:hAnsi="Cambria Math" w:eastAsia="宋体" w:cs="Times New Roman"/>
                  <w:i/>
                  <w:color w:val="auto"/>
                  <w:highlight w:val="none"/>
                </w:rPr>
              </m:ctrlPr>
            </m:fPr>
            <m:num>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i/>
                      <w:color w:val="auto"/>
                      <w:highlight w:val="none"/>
                    </w:rPr>
                  </m:ctrlPr>
                </m:sub>
              </m:sSub>
              <m:ctrlPr>
                <w:rPr>
                  <w:rFonts w:hint="default" w:ascii="Cambria Math" w:hAnsi="Cambria Math" w:eastAsia="宋体" w:cs="Times New Roman"/>
                  <w:i/>
                  <w:color w:val="auto"/>
                  <w:highlight w:val="none"/>
                </w:rPr>
              </m:ctrlPr>
            </m:num>
            <m:den>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S</m:t>
                  </m:r>
                  <m:ctrlPr>
                    <w:rPr>
                      <w:rFonts w:hint="default" w:ascii="Cambria Math" w:hAnsi="Cambria Math" w:eastAsia="宋体" w:cs="Times New Roman"/>
                      <w:i/>
                      <w:color w:val="auto"/>
                      <w:highlight w:val="none"/>
                    </w:rPr>
                  </m:ctrlPr>
                </m:e>
                <m:sub>
                  <m:r>
                    <m:rPr/>
                    <w:rPr>
                      <w:rFonts w:hint="default" w:ascii="Cambria Math" w:hAnsi="Cambria Math" w:eastAsia="宋体" w:cs="Times New Roman"/>
                      <w:color w:val="auto"/>
                      <w:highlight w:val="none"/>
                    </w:rPr>
                    <m:t>i</m:t>
                  </m:r>
                  <m:ctrlPr>
                    <w:rPr>
                      <w:rFonts w:hint="default" w:ascii="Cambria Math" w:hAnsi="Cambria Math" w:eastAsia="宋体" w:cs="Times New Roman"/>
                      <w:i/>
                      <w:color w:val="auto"/>
                      <w:highlight w:val="none"/>
                    </w:rPr>
                  </m:ctrlPr>
                </m:sub>
              </m:sSub>
              <m:ctrlPr>
                <w:rPr>
                  <w:rFonts w:hint="default" w:ascii="Cambria Math" w:hAnsi="Cambria Math" w:eastAsia="宋体" w:cs="Times New Roman"/>
                  <w:i/>
                  <w:color w:val="auto"/>
                  <w:highlight w:val="none"/>
                </w:rPr>
              </m:ctrlPr>
            </m:den>
          </m:f>
        </m:oMath>
      </m:oMathPara>
    </w:p>
    <w:p>
      <w:pPr>
        <w:spacing w:before="120" w:beforeLines="5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—污染物i的污染指数；</w:t>
      </w:r>
    </w:p>
    <w:p>
      <w:pPr>
        <w:spacing w:before="120" w:beforeLines="5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—污染物i的实测浓度；</w:t>
      </w:r>
    </w:p>
    <w:p>
      <w:pPr>
        <w:spacing w:before="120" w:beforeLines="5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—为污染物i的评价标准。</w:t>
      </w:r>
    </w:p>
    <w:p>
      <w:pPr>
        <w:spacing w:before="120" w:beforeLines="5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＜1表示污染物i未超标；P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＞1表示污染物i超标，P</w:t>
      </w:r>
      <w:r>
        <w:rPr>
          <w:rFonts w:hint="default" w:ascii="Times New Roman" w:hAnsi="Times New Roman" w:eastAsia="宋体" w:cs="Times New Roman"/>
          <w:color w:val="auto"/>
          <w:highlight w:val="none"/>
          <w:vertAlign w:val="subscript"/>
        </w:rPr>
        <w:t>i</w:t>
      </w:r>
      <w:r>
        <w:rPr>
          <w:rFonts w:hint="default" w:ascii="Times New Roman" w:hAnsi="Times New Roman" w:eastAsia="宋体" w:cs="Times New Roman"/>
          <w:color w:val="auto"/>
          <w:highlight w:val="none"/>
        </w:rPr>
        <w:t>越大，则受污染程度越重。</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（5）监测分析方法</w:t>
      </w:r>
    </w:p>
    <w:p>
      <w:pPr>
        <w:pStyle w:val="27"/>
        <w:spacing w:line="360" w:lineRule="auto"/>
        <w:ind w:left="48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分析方法详见表</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p>
    <w:p>
      <w:pPr>
        <w:spacing w:line="240" w:lineRule="auto"/>
        <w:ind w:firstLine="833" w:firstLineChars="374"/>
        <w:jc w:val="center"/>
        <w:rPr>
          <w:rFonts w:hint="default" w:ascii="Times New Roman" w:hAnsi="Times New Roman" w:eastAsia="宋体" w:cs="Times New Roman"/>
          <w:b/>
          <w:color w:val="auto"/>
          <w:spacing w:val="6"/>
          <w:kern w:val="0"/>
          <w:sz w:val="21"/>
          <w:szCs w:val="21"/>
          <w:highlight w:val="none"/>
        </w:rPr>
      </w:pPr>
      <w:r>
        <w:rPr>
          <w:rFonts w:hint="default" w:ascii="Times New Roman" w:hAnsi="Times New Roman" w:eastAsia="宋体" w:cs="Times New Roman"/>
          <w:b/>
          <w:color w:val="auto"/>
          <w:spacing w:val="6"/>
          <w:kern w:val="0"/>
          <w:sz w:val="21"/>
          <w:szCs w:val="21"/>
          <w:highlight w:val="none"/>
        </w:rPr>
        <w:t>表</w:t>
      </w:r>
      <w:r>
        <w:rPr>
          <w:rFonts w:hint="default" w:ascii="Times New Roman" w:hAnsi="Times New Roman" w:eastAsia="宋体" w:cs="Times New Roman"/>
          <w:b/>
          <w:color w:val="auto"/>
          <w:spacing w:val="6"/>
          <w:kern w:val="0"/>
          <w:sz w:val="21"/>
          <w:szCs w:val="21"/>
          <w:highlight w:val="none"/>
          <w:lang w:eastAsia="zh-CN"/>
        </w:rPr>
        <w:t>4.2-</w:t>
      </w:r>
      <w:r>
        <w:rPr>
          <w:rFonts w:hint="default" w:ascii="Times New Roman" w:hAnsi="Times New Roman" w:eastAsia="宋体" w:cs="Times New Roman"/>
          <w:b/>
          <w:color w:val="auto"/>
          <w:spacing w:val="6"/>
          <w:kern w:val="0"/>
          <w:sz w:val="21"/>
          <w:szCs w:val="21"/>
          <w:highlight w:val="none"/>
          <w:lang w:val="en-US" w:eastAsia="zh-CN"/>
        </w:rPr>
        <w:t>15</w:t>
      </w:r>
      <w:r>
        <w:rPr>
          <w:rFonts w:hint="default" w:ascii="Times New Roman" w:hAnsi="Times New Roman" w:eastAsia="宋体" w:cs="Times New Roman"/>
          <w:b/>
          <w:color w:val="auto"/>
          <w:spacing w:val="6"/>
          <w:kern w:val="0"/>
          <w:sz w:val="21"/>
          <w:szCs w:val="21"/>
          <w:highlight w:val="none"/>
        </w:rPr>
        <w:t>分析方法</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92"/>
        <w:gridCol w:w="1688"/>
        <w:gridCol w:w="3105"/>
        <w:gridCol w:w="2156"/>
        <w:gridCol w:w="154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检测依据</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主要检测仪器/型号</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检出限/精度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688"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砷</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土壤质量总汞、总砷、总铅的测定原子荧光法第2部分：土壤中总砷的测定</w:t>
            </w:r>
          </w:p>
        </w:tc>
        <w:tc>
          <w:tcPr>
            <w:tcW w:w="2156"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原子荧光分光光度计AF-7500B</w:t>
            </w:r>
          </w:p>
        </w:tc>
        <w:tc>
          <w:tcPr>
            <w:tcW w:w="1545"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vMerge w:val="continue"/>
            <w:vAlign w:val="center"/>
          </w:tcPr>
          <w:p>
            <w:pPr>
              <w:pStyle w:val="104"/>
              <w:jc w:val="center"/>
              <w:rPr>
                <w:rFonts w:hint="default" w:ascii="Times New Roman" w:hAnsi="Times New Roman" w:eastAsia="宋体" w:cs="Times New Roman"/>
                <w:color w:val="auto"/>
                <w:highlight w:val="none"/>
              </w:rPr>
            </w:pPr>
          </w:p>
        </w:tc>
        <w:tc>
          <w:tcPr>
            <w:tcW w:w="1688" w:type="dxa"/>
            <w:vMerge w:val="continue"/>
            <w:vAlign w:val="center"/>
          </w:tcPr>
          <w:p>
            <w:pPr>
              <w:pStyle w:val="104"/>
              <w:jc w:val="center"/>
              <w:rPr>
                <w:rFonts w:hint="default" w:ascii="Times New Roman" w:hAnsi="Times New Roman" w:eastAsia="宋体" w:cs="Times New Roman"/>
                <w:color w:val="auto"/>
                <w:highlight w:val="none"/>
              </w:rPr>
            </w:pP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GB/T22105.2-2008</w:t>
            </w: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镉</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土壤质量铅、镉的测定石墨炉原子吸收分光光度法GB/T17141-1997</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原子吸收分光光度计AA-7001</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铬（六价）</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六价铬比色法USEPA7196A:1992</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紫外可见分光光度计UV-7504</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0.16mg/kg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铜</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土壤质量铜、锌的测定火焰原子吸收分光光度法GB/T17138-1997</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原子吸收分光光度计AA-7001</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铅</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土壤质量铅、镉的测定石墨炉原子吸收分光光度法GB/T17141-1997</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原子吸收分光光度计AA-7001</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w:t>
            </w:r>
          </w:p>
        </w:tc>
        <w:tc>
          <w:tcPr>
            <w:tcW w:w="1688"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汞</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土壤质量总汞、总砷、总铅的测定原子荧光法第1部分：土壤中总汞的测定</w:t>
            </w:r>
          </w:p>
        </w:tc>
        <w:tc>
          <w:tcPr>
            <w:tcW w:w="2156"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原子荧光分光光度计AF-7500B</w:t>
            </w:r>
          </w:p>
        </w:tc>
        <w:tc>
          <w:tcPr>
            <w:tcW w:w="1545"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0.002mg/kg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vMerge w:val="continue"/>
            <w:vAlign w:val="center"/>
          </w:tcPr>
          <w:p>
            <w:pPr>
              <w:pStyle w:val="104"/>
              <w:jc w:val="center"/>
              <w:rPr>
                <w:rFonts w:hint="default" w:ascii="Times New Roman" w:hAnsi="Times New Roman" w:eastAsia="宋体" w:cs="Times New Roman"/>
                <w:color w:val="auto"/>
                <w:highlight w:val="none"/>
              </w:rPr>
            </w:pPr>
          </w:p>
        </w:tc>
        <w:tc>
          <w:tcPr>
            <w:tcW w:w="1688" w:type="dxa"/>
            <w:vMerge w:val="continue"/>
            <w:vAlign w:val="center"/>
          </w:tcPr>
          <w:p>
            <w:pPr>
              <w:pStyle w:val="104"/>
              <w:jc w:val="center"/>
              <w:rPr>
                <w:rFonts w:hint="default" w:ascii="Times New Roman" w:hAnsi="Times New Roman" w:eastAsia="宋体" w:cs="Times New Roman"/>
                <w:color w:val="auto"/>
                <w:highlight w:val="none"/>
              </w:rPr>
            </w:pP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GB/T22105.1-2008</w:t>
            </w: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镍</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土壤质量镍的测定火焰原子吸收分光光度法GB/T17139-1997</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原子吸收分光光度计AA-7001</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四氯化碳</w:t>
            </w:r>
          </w:p>
        </w:tc>
        <w:tc>
          <w:tcPr>
            <w:tcW w:w="3105"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土壤和沉积物挥发性有机物的测定</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吹扫捕集/气相色谱-质谱法HJ605-2011</w:t>
            </w:r>
          </w:p>
        </w:tc>
        <w:tc>
          <w:tcPr>
            <w:tcW w:w="2156"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气相色谱质谱联用仪（GCMS）QP2020</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氯仿</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氯甲烷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1,1-二氯乙烷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1,2-二氯乙烷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1,1-二氯乙烯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顺-1,2-二氯乙烯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反-1,2-二氯乙烯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16</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二氯甲烷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1,2-二氯丙烷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1,1,1,2-四氯乙烷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1,1,2,2-四氯乙烷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四氯乙烯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1,1,1-三氯乙烷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1,1,2-三氯乙烷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23</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三氯乙烯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1,2,3-三氯丙烷</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highlight w:val="none"/>
              </w:rPr>
            </w:pPr>
          </w:p>
        </w:tc>
        <w:tc>
          <w:tcPr>
            <w:tcW w:w="2156" w:type="dxa"/>
            <w:vMerge w:val="continue"/>
            <w:shd w:val="clear" w:color="auto" w:fill="auto"/>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氯乙烯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26</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氯苯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28</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1,2-二氯苯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29</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1,4-二氯苯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30</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乙苯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苯乙烯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32</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甲苯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1.3μg/kg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33</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间二甲苯+对二甲苯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34</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邻二甲苯</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sz w:val="22"/>
                <w:szCs w:val="22"/>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1.2μg/kg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硝基苯</w:t>
            </w:r>
          </w:p>
        </w:tc>
        <w:tc>
          <w:tcPr>
            <w:tcW w:w="3105"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土壤和沉积物半挥发性有机物的测定气相色谱-质谱法HJ834-2017</w:t>
            </w:r>
          </w:p>
        </w:tc>
        <w:tc>
          <w:tcPr>
            <w:tcW w:w="2156" w:type="dxa"/>
            <w:vMerge w:val="restart"/>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气相色谱质谱联用仪（GCMS）QP2020</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0.09mg/kg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36</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2-氯酚</w:t>
            </w:r>
          </w:p>
        </w:tc>
        <w:tc>
          <w:tcPr>
            <w:tcW w:w="3105" w:type="dxa"/>
            <w:vMerge w:val="continue"/>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0.06mg/kg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37</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苯并[a]蒽</w:t>
            </w:r>
          </w:p>
        </w:tc>
        <w:tc>
          <w:tcPr>
            <w:tcW w:w="3105" w:type="dxa"/>
            <w:vMerge w:val="continue"/>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38</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苯并[a]芘</w:t>
            </w:r>
          </w:p>
        </w:tc>
        <w:tc>
          <w:tcPr>
            <w:tcW w:w="3105" w:type="dxa"/>
            <w:vMerge w:val="continue"/>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39</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苯并[b]荧蒽</w:t>
            </w:r>
          </w:p>
        </w:tc>
        <w:tc>
          <w:tcPr>
            <w:tcW w:w="3105" w:type="dxa"/>
            <w:vMerge w:val="continue"/>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40</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苯并[k]荧蒽</w:t>
            </w:r>
          </w:p>
        </w:tc>
        <w:tc>
          <w:tcPr>
            <w:tcW w:w="3105" w:type="dxa"/>
            <w:vMerge w:val="continue"/>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41</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䓛</w:t>
            </w:r>
          </w:p>
        </w:tc>
        <w:tc>
          <w:tcPr>
            <w:tcW w:w="3105" w:type="dxa"/>
            <w:vMerge w:val="continue"/>
            <w:shd w:val="clear" w:color="auto" w:fill="auto"/>
            <w:vAlign w:val="center"/>
          </w:tcPr>
          <w:p>
            <w:pPr>
              <w:pStyle w:val="104"/>
              <w:jc w:val="center"/>
              <w:rPr>
                <w:rFonts w:hint="default" w:ascii="Times New Roman" w:hAnsi="Times New Roman" w:eastAsia="宋体" w:cs="Times New Roman"/>
                <w:color w:val="auto"/>
                <w:highlight w:val="none"/>
              </w:rPr>
            </w:pPr>
          </w:p>
        </w:tc>
        <w:tc>
          <w:tcPr>
            <w:tcW w:w="2156" w:type="dxa"/>
            <w:vMerge w:val="continue"/>
            <w:shd w:val="clear" w:color="auto" w:fill="auto"/>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二苯并[a,h]蒽</w:t>
            </w:r>
          </w:p>
        </w:tc>
        <w:tc>
          <w:tcPr>
            <w:tcW w:w="3105" w:type="dxa"/>
            <w:vMerge w:val="continue"/>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43</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茚并[1,2,3-cd]芘</w:t>
            </w:r>
          </w:p>
        </w:tc>
        <w:tc>
          <w:tcPr>
            <w:tcW w:w="3105" w:type="dxa"/>
            <w:vMerge w:val="continue"/>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44</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萘</w:t>
            </w:r>
          </w:p>
        </w:tc>
        <w:tc>
          <w:tcPr>
            <w:tcW w:w="3105" w:type="dxa"/>
            <w:vMerge w:val="continue"/>
            <w:vAlign w:val="center"/>
          </w:tcPr>
          <w:p>
            <w:pPr>
              <w:pStyle w:val="104"/>
              <w:jc w:val="center"/>
              <w:rPr>
                <w:rFonts w:hint="default" w:ascii="Times New Roman" w:hAnsi="Times New Roman" w:eastAsia="宋体" w:cs="Times New Roman"/>
                <w:color w:val="auto"/>
                <w:highlight w:val="none"/>
              </w:rPr>
            </w:pPr>
          </w:p>
        </w:tc>
        <w:tc>
          <w:tcPr>
            <w:tcW w:w="2156" w:type="dxa"/>
            <w:vMerge w:val="continue"/>
            <w:vAlign w:val="center"/>
          </w:tcPr>
          <w:p>
            <w:pPr>
              <w:pStyle w:val="104"/>
              <w:jc w:val="center"/>
              <w:rPr>
                <w:rFonts w:hint="default" w:ascii="Times New Roman" w:hAnsi="Times New Roman" w:eastAsia="宋体" w:cs="Times New Roman"/>
                <w:color w:val="auto"/>
                <w:highlight w:val="none"/>
              </w:rPr>
            </w:pP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0.09mg/kg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87"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45</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苯胺</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气相色谱法/质谱分析法（气质联用仪）测试半挥发性有机化合物</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USEPA8270E:2017</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气相色谱质谱联用仪（GCMS）QP2020</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0.02mg/kg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87"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46</w:t>
            </w:r>
          </w:p>
        </w:tc>
        <w:tc>
          <w:tcPr>
            <w:tcW w:w="1688" w:type="dxa"/>
            <w:shd w:val="clear" w:color="auto" w:fill="auto"/>
            <w:vAlign w:val="center"/>
          </w:tcPr>
          <w:p>
            <w:pPr>
              <w:pStyle w:val="104"/>
              <w:jc w:val="center"/>
              <w:rPr>
                <w:rStyle w:val="328"/>
                <w:rFonts w:hint="default" w:ascii="Times New Roman" w:hAnsi="Times New Roman" w:eastAsia="宋体" w:cs="Times New Roman"/>
                <w:i w:val="0"/>
                <w:iCs w:val="0"/>
                <w:color w:val="auto"/>
                <w:szCs w:val="21"/>
                <w:highlight w:val="none"/>
              </w:rPr>
            </w:pPr>
            <w:r>
              <w:rPr>
                <w:rStyle w:val="328"/>
                <w:rFonts w:hint="default" w:ascii="Times New Roman" w:hAnsi="Times New Roman" w:eastAsia="宋体" w:cs="Times New Roman"/>
                <w:i w:val="0"/>
                <w:iCs w:val="0"/>
                <w:color w:val="auto"/>
                <w:szCs w:val="21"/>
                <w:highlight w:val="none"/>
              </w:rPr>
              <w:t>全盐量</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土壤检测第16部分：土壤水溶性盐总量的测定</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重量法NY/T1121.16-2006</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电热鼓风干燥箱DHG-9140A</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电子天平BT125D</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0.1g/kg</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87" w:hRule="atLeast"/>
          <w:jc w:val="center"/>
        </w:trPr>
        <w:tc>
          <w:tcPr>
            <w:tcW w:w="792"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47</w:t>
            </w:r>
          </w:p>
        </w:tc>
        <w:tc>
          <w:tcPr>
            <w:tcW w:w="1688"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w:t>
            </w:r>
          </w:p>
        </w:tc>
        <w:tc>
          <w:tcPr>
            <w:tcW w:w="310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森林土壤pH的测定LY/T1239-1999</w:t>
            </w:r>
          </w:p>
        </w:tc>
        <w:tc>
          <w:tcPr>
            <w:tcW w:w="2156"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酸度计PHS-25</w:t>
            </w:r>
          </w:p>
        </w:tc>
        <w:tc>
          <w:tcPr>
            <w:tcW w:w="1545" w:type="dxa"/>
            <w:shd w:val="clear" w:color="auto" w:fill="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bl>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（3）评价标准</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建设用地土壤环境评价执行《土壤环境质量建设用地土壤污染风险管控标准》（试行）（GB36600-2018）第二类用地要求。</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（4）监测结果</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土壤监测结果见表</w:t>
      </w:r>
      <w:r>
        <w:rPr>
          <w:rFonts w:hint="default" w:ascii="Times New Roman" w:hAnsi="Times New Roman" w:eastAsia="宋体" w:cs="Times New Roman"/>
          <w:color w:val="auto"/>
          <w:highlight w:val="none"/>
          <w:lang w:eastAsia="zh-CN"/>
        </w:rPr>
        <w:t>4.2-</w:t>
      </w:r>
      <w:r>
        <w:rPr>
          <w:rFonts w:hint="default"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val="0"/>
        <w:snapToGrid w:val="0"/>
        <w:spacing w:before="253" w:beforeLines="5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eastAsia="zh-CN"/>
        </w:rPr>
        <w:t>4.2-</w:t>
      </w:r>
      <w:r>
        <w:rPr>
          <w:rFonts w:hint="default" w:ascii="Times New Roman" w:hAnsi="Times New Roman" w:eastAsia="宋体" w:cs="Times New Roman"/>
          <w:b/>
          <w:bCs/>
          <w:color w:val="auto"/>
          <w:sz w:val="21"/>
          <w:szCs w:val="21"/>
          <w:highlight w:val="none"/>
        </w:rPr>
        <w:t>1</w:t>
      </w:r>
      <w:r>
        <w:rPr>
          <w:rFonts w:hint="default" w:ascii="Times New Roman" w:hAnsi="Times New Roman" w:eastAsia="宋体"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rPr>
        <w:t>建设用地土壤环境质量现状监测结果</w:t>
      </w:r>
    </w:p>
    <w:tbl>
      <w:tblPr>
        <w:tblStyle w:val="45"/>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724"/>
        <w:gridCol w:w="1581"/>
        <w:gridCol w:w="981"/>
        <w:gridCol w:w="948"/>
        <w:gridCol w:w="975"/>
        <w:gridCol w:w="1140"/>
        <w:gridCol w:w="961"/>
        <w:gridCol w:w="959"/>
        <w:gridCol w:w="84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采样日期</w:t>
            </w:r>
          </w:p>
        </w:tc>
        <w:tc>
          <w:tcPr>
            <w:tcW w:w="86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检测项目</w:t>
            </w:r>
          </w:p>
        </w:tc>
        <w:tc>
          <w:tcPr>
            <w:tcW w:w="538"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单位</w:t>
            </w:r>
          </w:p>
        </w:tc>
        <w:tc>
          <w:tcPr>
            <w:tcW w:w="1680" w:type="pct"/>
            <w:gridSpan w:val="3"/>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检测结果</w:t>
            </w:r>
          </w:p>
        </w:tc>
        <w:tc>
          <w:tcPr>
            <w:tcW w:w="52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筛选值（mg/kg）</w:t>
            </w:r>
          </w:p>
        </w:tc>
        <w:tc>
          <w:tcPr>
            <w:tcW w:w="526"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最大指数</w:t>
            </w:r>
          </w:p>
        </w:tc>
        <w:tc>
          <w:tcPr>
            <w:tcW w:w="462"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867"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538"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1#厂区北侧表层</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2#厂东侧表层</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3#厂区南侧表层</w:t>
            </w:r>
          </w:p>
        </w:tc>
        <w:tc>
          <w:tcPr>
            <w:tcW w:w="52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526"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462"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2022年7月04日</w:t>
            </w: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2.88</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2.49</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2.78</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0.048 </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镉</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0.12</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0.11</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0.003 </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铬（六价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≤5.7</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铜</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≤18000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0.003 </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铅</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112</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108</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115</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0.144 </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汞</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0.186</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0.148</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0.157</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0.005 </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镍</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0.028 </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四氯化碳</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氯仿</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≤0.9</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氯甲烷*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1,1-二氯乙烷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1,2-二氯乙烷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1,1-二氯乙烯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≤66</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顺-1,2-二氯乙烯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≤596</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反-1,2-二氯乙烯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二氯甲烷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≤616</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1,2-二氯丙烷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1,1,1,2-四氯乙烷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1,1,2,2-四氯乙烷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四氯乙烯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7.6</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12.4</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0.234 </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1,1,1-三氯乙烷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≤840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1,1,2-三氯乙烷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三氯乙烯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1,2,3-三氯丙烷</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氯乙烯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≤0.43</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氯苯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1,2-二氯苯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≤560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1,4-二氯苯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μg/kg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乙苯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苯乙烯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≤1290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甲苯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6.8</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0.006 </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间二甲苯+对二甲苯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≤570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邻二甲苯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≤640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硝基苯</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≤76</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苯胺</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2-氯酚</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≤2256</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苯并[a]蒽</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苯并[a]芘</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苯并[b]荧蒽</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苯并[k]荧蒽</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≤151</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䓛</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≤1293</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2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二苯并[a,h]蒽</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40"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茚并[1,2,3-cd]芘</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萘</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未检出</w:t>
            </w:r>
          </w:p>
        </w:tc>
        <w:tc>
          <w:tcPr>
            <w:tcW w:w="52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7.12</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7.33</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7.09</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含盐量</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g/kg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阳离子交换量</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cmol</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/kg</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12.5</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12.4</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12.1</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氧化还原电位</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mV</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524</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520</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519</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10"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饱和导水率</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cm/s</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1.41</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1.38</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1.36</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土壤容重</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g/cm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1.15</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1.14</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1.12</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397" w:type="pct"/>
            <w:vMerge w:val="continue"/>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1"/>
                <w:szCs w:val="21"/>
                <w:highlight w:val="none"/>
                <w:u w:val="none"/>
              </w:rPr>
            </w:pPr>
          </w:p>
        </w:tc>
        <w:tc>
          <w:tcPr>
            <w:tcW w:w="867"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总孔隙度</w:t>
            </w:r>
          </w:p>
        </w:tc>
        <w:tc>
          <w:tcPr>
            <w:tcW w:w="53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0"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21.6</w:t>
            </w:r>
          </w:p>
        </w:tc>
        <w:tc>
          <w:tcPr>
            <w:tcW w:w="53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21.7</w:t>
            </w:r>
          </w:p>
        </w:tc>
        <w:tc>
          <w:tcPr>
            <w:tcW w:w="6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21.4</w:t>
            </w:r>
          </w:p>
        </w:tc>
        <w:tc>
          <w:tcPr>
            <w:tcW w:w="52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526"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46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r>
    </w:tbl>
    <w:p>
      <w:pPr>
        <w:ind w:left="0" w:leftChars="0" w:firstLine="0" w:firstLineChars="0"/>
        <w:rPr>
          <w:rFonts w:hint="default" w:ascii="Times New Roman" w:hAnsi="Times New Roman" w:eastAsia="宋体" w:cs="Times New Roman"/>
          <w:b w:val="0"/>
          <w:bCs w:val="0"/>
          <w:color w:val="auto"/>
          <w:sz w:val="21"/>
          <w:szCs w:val="21"/>
          <w:highlight w:val="none"/>
        </w:rPr>
      </w:pP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由上表可知，土壤各监测因子均满足《土壤环境质量建设用地土壤污染风险管控标准》（GB36600-2018）中第二类用地筛选值要求。</w:t>
      </w:r>
    </w:p>
    <w:p>
      <w:pPr>
        <w:ind w:firstLine="0" w:firstLineChars="0"/>
        <w:rPr>
          <w:rFonts w:hint="default" w:ascii="Times New Roman" w:hAnsi="Times New Roman" w:eastAsia="宋体" w:cs="Times New Roman"/>
          <w:color w:val="auto"/>
          <w:highlight w:val="none"/>
        </w:rPr>
      </w:pPr>
    </w:p>
    <w:p>
      <w:pPr>
        <w:ind w:firstLine="0" w:firstLineChars="0"/>
        <w:rPr>
          <w:rFonts w:hint="default" w:ascii="Times New Roman" w:hAnsi="Times New Roman" w:eastAsia="宋体" w:cs="Times New Roman"/>
          <w:color w:val="auto"/>
          <w:highlight w:val="none"/>
        </w:rPr>
        <w:sectPr>
          <w:footerReference r:id="rId22" w:type="default"/>
          <w:pgSz w:w="11907" w:h="16840"/>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58"/>
        <w:ind w:left="0" w:leftChars="0" w:firstLine="0" w:firstLineChars="0"/>
        <w:jc w:val="center"/>
        <w:rPr>
          <w:rFonts w:hint="default" w:ascii="Times New Roman" w:hAnsi="Times New Roman" w:eastAsia="宋体" w:cs="Times New Roman"/>
          <w:color w:val="auto"/>
          <w:highlight w:val="none"/>
        </w:rPr>
      </w:pPr>
      <w:r>
        <w:rPr>
          <w:color w:val="auto"/>
          <w:highlight w:val="none"/>
        </w:rPr>
        <w:drawing>
          <wp:inline distT="0" distB="0" distL="114300" distR="114300">
            <wp:extent cx="6395085" cy="5311140"/>
            <wp:effectExtent l="12700" t="12700" r="31115" b="29210"/>
            <wp:docPr id="1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8"/>
                    <pic:cNvPicPr>
                      <a:picLocks noChangeAspect="1"/>
                    </pic:cNvPicPr>
                  </pic:nvPicPr>
                  <pic:blipFill>
                    <a:blip r:embed="rId76"/>
                    <a:stretch>
                      <a:fillRect/>
                    </a:stretch>
                  </pic:blipFill>
                  <pic:spPr>
                    <a:xfrm>
                      <a:off x="0" y="0"/>
                      <a:ext cx="6395085" cy="5311140"/>
                    </a:xfrm>
                    <a:prstGeom prst="rect">
                      <a:avLst/>
                    </a:prstGeom>
                    <a:noFill/>
                    <a:ln w="12700">
                      <a:solidFill>
                        <a:schemeClr val="tx1"/>
                      </a:solidFill>
                    </a:ln>
                  </pic:spPr>
                </pic:pic>
              </a:graphicData>
            </a:graphic>
          </wp:inline>
        </w:drawing>
      </w:r>
    </w:p>
    <w:p>
      <w:pPr>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图4.2-1建项目监测点位图</w:t>
      </w:r>
    </w:p>
    <w:p>
      <w:pPr>
        <w:pStyle w:val="58"/>
        <w:ind w:left="0" w:leftChars="0" w:firstLine="0" w:firstLineChars="0"/>
        <w:rPr>
          <w:rFonts w:hint="default" w:ascii="Times New Roman" w:hAnsi="Times New Roman" w:eastAsia="宋体" w:cs="Times New Roman"/>
          <w:b/>
          <w:bCs/>
          <w:color w:val="auto"/>
          <w:highlight w:val="none"/>
          <w:lang w:val="en-US" w:eastAsia="zh-CN"/>
        </w:rPr>
        <w:sectPr>
          <w:pgSz w:w="16840" w:h="11907" w:orient="landscape"/>
          <w:pgMar w:top="1418" w:right="1418" w:bottom="158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3"/>
        <w:numPr>
          <w:ilvl w:val="0"/>
          <w:numId w:val="12"/>
        </w:numPr>
        <w:rPr>
          <w:rFonts w:hint="default" w:ascii="Times New Roman" w:hAnsi="Times New Roman" w:eastAsia="宋体" w:cs="Times New Roman"/>
          <w:color w:val="auto"/>
          <w:highlight w:val="none"/>
        </w:rPr>
      </w:pPr>
      <w:bookmarkStart w:id="299" w:name="_Toc28502"/>
      <w:r>
        <w:rPr>
          <w:rFonts w:hint="default" w:ascii="Times New Roman" w:hAnsi="Times New Roman" w:eastAsia="宋体" w:cs="Times New Roman"/>
          <w:color w:val="auto"/>
          <w:highlight w:val="none"/>
        </w:rPr>
        <w:t>生态</w:t>
      </w:r>
      <w:r>
        <w:rPr>
          <w:rFonts w:hint="default" w:ascii="Times New Roman" w:hAnsi="Times New Roman" w:eastAsia="宋体" w:cs="Times New Roman"/>
          <w:color w:val="auto"/>
          <w:highlight w:val="none"/>
          <w:lang w:val="en-US" w:eastAsia="zh-CN"/>
        </w:rPr>
        <w:t>环境</w:t>
      </w:r>
      <w:r>
        <w:rPr>
          <w:rFonts w:hint="default" w:ascii="Times New Roman" w:hAnsi="Times New Roman" w:eastAsia="宋体" w:cs="Times New Roman"/>
          <w:color w:val="auto"/>
          <w:highlight w:val="none"/>
        </w:rPr>
        <w:t>影响</w:t>
      </w:r>
      <w:r>
        <w:rPr>
          <w:rFonts w:hint="eastAsia" w:eastAsia="宋体" w:cs="Times New Roman"/>
          <w:color w:val="auto"/>
          <w:highlight w:val="none"/>
          <w:lang w:val="en-US" w:eastAsia="zh-CN"/>
        </w:rPr>
        <w:t>分析</w:t>
      </w:r>
      <w:r>
        <w:rPr>
          <w:rFonts w:hint="default" w:ascii="Times New Roman" w:hAnsi="Times New Roman" w:eastAsia="宋体" w:cs="Times New Roman"/>
          <w:color w:val="auto"/>
          <w:highlight w:val="none"/>
          <w:lang w:val="en-US" w:eastAsia="zh-CN"/>
        </w:rPr>
        <w:t>及保护措施</w:t>
      </w:r>
      <w:bookmarkEnd w:id="299"/>
    </w:p>
    <w:p>
      <w:pPr>
        <w:pStyle w:val="4"/>
        <w:numPr>
          <w:ilvl w:val="1"/>
          <w:numId w:val="12"/>
        </w:numPr>
        <w:spacing w:before="120" w:after="120"/>
        <w:ind w:left="0" w:leftChars="0" w:firstLineChars="0"/>
        <w:rPr>
          <w:rFonts w:hint="default" w:ascii="Times New Roman" w:hAnsi="Times New Roman" w:eastAsia="宋体" w:cs="Times New Roman"/>
          <w:color w:val="auto"/>
          <w:highlight w:val="none"/>
        </w:rPr>
      </w:pPr>
      <w:bookmarkStart w:id="300" w:name="_Toc515537859"/>
      <w:bookmarkStart w:id="301" w:name="_Toc302329523"/>
      <w:bookmarkStart w:id="302" w:name="_Toc450827072"/>
      <w:bookmarkStart w:id="303" w:name="_Toc15376193"/>
      <w:bookmarkStart w:id="304" w:name="_Toc311394786"/>
      <w:bookmarkStart w:id="305" w:name="_Toc23697"/>
      <w:bookmarkStart w:id="306" w:name="_Toc395187033"/>
      <w:r>
        <w:rPr>
          <w:rFonts w:hint="default" w:ascii="Times New Roman" w:hAnsi="Times New Roman" w:eastAsia="宋体" w:cs="Times New Roman"/>
          <w:color w:val="auto"/>
          <w:highlight w:val="none"/>
        </w:rPr>
        <w:t>生态环境现状调查与评价</w:t>
      </w:r>
      <w:bookmarkEnd w:id="300"/>
      <w:bookmarkEnd w:id="301"/>
      <w:bookmarkEnd w:id="302"/>
      <w:bookmarkEnd w:id="303"/>
      <w:bookmarkEnd w:id="304"/>
      <w:bookmarkEnd w:id="305"/>
      <w:bookmarkEnd w:id="306"/>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基础信息获取过程</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1、遥感解译</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解译使用的信息源为高分一号卫星遥感影像，其全色分辨率为1m，多光谱空间分辨率为4m。高分一号卫星遥感影像各谱段具体用途见表5.</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-1。</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表5.</w:t>
      </w:r>
      <w:r>
        <w:rPr>
          <w:rFonts w:hint="default"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-1          高分一号卫星遥感影像各谱段具体用途表</w:t>
      </w:r>
    </w:p>
    <w:tbl>
      <w:tblPr>
        <w:tblStyle w:val="45"/>
        <w:tblW w:w="0" w:type="auto"/>
        <w:jc w:val="center"/>
        <w:tblLayout w:type="fixed"/>
        <w:tblCellMar>
          <w:top w:w="15" w:type="dxa"/>
          <w:left w:w="15" w:type="dxa"/>
          <w:bottom w:w="15" w:type="dxa"/>
          <w:right w:w="15" w:type="dxa"/>
        </w:tblCellMar>
      </w:tblPr>
      <w:tblGrid>
        <w:gridCol w:w="1575"/>
        <w:gridCol w:w="1685"/>
        <w:gridCol w:w="1821"/>
        <w:gridCol w:w="3846"/>
      </w:tblGrid>
      <w:tr>
        <w:tblPrEx>
          <w:tblCellMar>
            <w:top w:w="15" w:type="dxa"/>
            <w:left w:w="15" w:type="dxa"/>
            <w:bottom w:w="15" w:type="dxa"/>
            <w:right w:w="15" w:type="dxa"/>
          </w:tblCellMar>
        </w:tblPrEx>
        <w:trPr>
          <w:jc w:val="center"/>
        </w:trPr>
        <w:tc>
          <w:tcPr>
            <w:tcW w:w="1575" w:type="dxa"/>
            <w:vMerge w:val="restart"/>
            <w:tcBorders>
              <w:top w:val="single" w:color="auto" w:sz="12" w:space="0"/>
              <w:left w:val="nil"/>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参  数</w:t>
            </w:r>
          </w:p>
        </w:tc>
        <w:tc>
          <w:tcPr>
            <w:tcW w:w="7352" w:type="dxa"/>
            <w:gridSpan w:val="3"/>
            <w:tcBorders>
              <w:top w:val="single" w:color="auto" w:sz="12"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1m分辨率全色/4m分辨率多光谱相机</w:t>
            </w:r>
          </w:p>
        </w:tc>
      </w:tr>
      <w:tr>
        <w:tblPrEx>
          <w:tblCellMar>
            <w:top w:w="15" w:type="dxa"/>
            <w:left w:w="15" w:type="dxa"/>
            <w:bottom w:w="15" w:type="dxa"/>
            <w:right w:w="15" w:type="dxa"/>
          </w:tblCellMar>
        </w:tblPrEx>
        <w:trPr>
          <w:jc w:val="center"/>
        </w:trPr>
        <w:tc>
          <w:tcPr>
            <w:tcW w:w="1575" w:type="dxa"/>
            <w:vMerge w:val="continue"/>
            <w:tcBorders>
              <w:top w:val="single" w:color="auto" w:sz="4" w:space="0"/>
              <w:left w:val="nil"/>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3506" w:type="dxa"/>
            <w:gridSpan w:val="2"/>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波长</w:t>
            </w:r>
          </w:p>
        </w:tc>
        <w:tc>
          <w:tcPr>
            <w:tcW w:w="3846" w:type="dxa"/>
            <w:tcBorders>
              <w:top w:val="single" w:color="auto" w:sz="4"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功能</w:t>
            </w:r>
          </w:p>
        </w:tc>
      </w:tr>
      <w:tr>
        <w:tblPrEx>
          <w:tblCellMar>
            <w:top w:w="15" w:type="dxa"/>
            <w:left w:w="15" w:type="dxa"/>
            <w:bottom w:w="15" w:type="dxa"/>
            <w:right w:w="15" w:type="dxa"/>
          </w:tblCellMar>
        </w:tblPrEx>
        <w:trPr>
          <w:jc w:val="center"/>
        </w:trPr>
        <w:tc>
          <w:tcPr>
            <w:tcW w:w="1575" w:type="dxa"/>
            <w:vMerge w:val="restart"/>
            <w:tcBorders>
              <w:top w:val="single" w:color="auto" w:sz="4" w:space="0"/>
              <w:left w:val="nil"/>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光谱范围</w:t>
            </w:r>
          </w:p>
        </w:tc>
        <w:tc>
          <w:tcPr>
            <w:tcW w:w="16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全色</w:t>
            </w:r>
          </w:p>
        </w:tc>
        <w:tc>
          <w:tcPr>
            <w:tcW w:w="18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0.45—0.90μm</w:t>
            </w:r>
          </w:p>
        </w:tc>
        <w:tc>
          <w:tcPr>
            <w:tcW w:w="3846" w:type="dxa"/>
            <w:tcBorders>
              <w:top w:val="single" w:color="auto" w:sz="4"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地物分辨</w:t>
            </w:r>
          </w:p>
        </w:tc>
      </w:tr>
      <w:tr>
        <w:tblPrEx>
          <w:tblCellMar>
            <w:top w:w="15" w:type="dxa"/>
            <w:left w:w="15" w:type="dxa"/>
            <w:bottom w:w="15" w:type="dxa"/>
            <w:right w:w="15" w:type="dxa"/>
          </w:tblCellMar>
        </w:tblPrEx>
        <w:trPr>
          <w:jc w:val="center"/>
        </w:trPr>
        <w:tc>
          <w:tcPr>
            <w:tcW w:w="1575" w:type="dxa"/>
            <w:vMerge w:val="continue"/>
            <w:tcBorders>
              <w:top w:val="single" w:color="auto" w:sz="4" w:space="0"/>
              <w:left w:val="nil"/>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85" w:type="dxa"/>
            <w:vMerge w:val="restart"/>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多光谱</w:t>
            </w:r>
          </w:p>
        </w:tc>
        <w:tc>
          <w:tcPr>
            <w:tcW w:w="18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0.45—0.52μm</w:t>
            </w:r>
          </w:p>
        </w:tc>
        <w:tc>
          <w:tcPr>
            <w:tcW w:w="3846" w:type="dxa"/>
            <w:tcBorders>
              <w:top w:val="single" w:color="auto" w:sz="4"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绘制水系图和森林图，识别土壤和常绿、落叶植被</w:t>
            </w:r>
          </w:p>
        </w:tc>
      </w:tr>
      <w:tr>
        <w:tblPrEx>
          <w:tblCellMar>
            <w:top w:w="15" w:type="dxa"/>
            <w:left w:w="15" w:type="dxa"/>
            <w:bottom w:w="15" w:type="dxa"/>
            <w:right w:w="15" w:type="dxa"/>
          </w:tblCellMar>
        </w:tblPrEx>
        <w:trPr>
          <w:jc w:val="center"/>
        </w:trPr>
        <w:tc>
          <w:tcPr>
            <w:tcW w:w="1575" w:type="dxa"/>
            <w:vMerge w:val="continue"/>
            <w:tcBorders>
              <w:top w:val="single" w:color="auto" w:sz="4" w:space="0"/>
              <w:left w:val="nil"/>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8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0.52—0.59μm</w:t>
            </w:r>
          </w:p>
        </w:tc>
        <w:tc>
          <w:tcPr>
            <w:tcW w:w="3846" w:type="dxa"/>
            <w:tcBorders>
              <w:top w:val="single" w:color="auto" w:sz="4"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探测健康植物绿色反射率和反映水下特征</w:t>
            </w:r>
          </w:p>
        </w:tc>
      </w:tr>
      <w:tr>
        <w:tblPrEx>
          <w:tblCellMar>
            <w:top w:w="15" w:type="dxa"/>
            <w:left w:w="15" w:type="dxa"/>
            <w:bottom w:w="15" w:type="dxa"/>
            <w:right w:w="15" w:type="dxa"/>
          </w:tblCellMar>
        </w:tblPrEx>
        <w:trPr>
          <w:jc w:val="center"/>
        </w:trPr>
        <w:tc>
          <w:tcPr>
            <w:tcW w:w="1575" w:type="dxa"/>
            <w:vMerge w:val="continue"/>
            <w:tcBorders>
              <w:top w:val="single" w:color="auto" w:sz="4" w:space="0"/>
              <w:left w:val="nil"/>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8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0.63—0.69μm</w:t>
            </w:r>
          </w:p>
        </w:tc>
        <w:tc>
          <w:tcPr>
            <w:tcW w:w="3846" w:type="dxa"/>
            <w:tcBorders>
              <w:top w:val="single" w:color="auto" w:sz="4"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进行植被分类，鉴别人工建筑物、水质</w:t>
            </w:r>
          </w:p>
        </w:tc>
      </w:tr>
      <w:tr>
        <w:tblPrEx>
          <w:tblCellMar>
            <w:top w:w="15" w:type="dxa"/>
            <w:left w:w="15" w:type="dxa"/>
            <w:bottom w:w="15" w:type="dxa"/>
            <w:right w:w="15" w:type="dxa"/>
          </w:tblCellMar>
        </w:tblPrEx>
        <w:trPr>
          <w:jc w:val="center"/>
        </w:trPr>
        <w:tc>
          <w:tcPr>
            <w:tcW w:w="1575" w:type="dxa"/>
            <w:vMerge w:val="continue"/>
            <w:tcBorders>
              <w:top w:val="single" w:color="auto" w:sz="4" w:space="0"/>
              <w:left w:val="nil"/>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85"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821"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0.77—0.89μm</w:t>
            </w:r>
          </w:p>
        </w:tc>
        <w:tc>
          <w:tcPr>
            <w:tcW w:w="3846" w:type="dxa"/>
            <w:tcBorders>
              <w:top w:val="single" w:color="auto" w:sz="4"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用于生物量和作物长势的测定，绘制水体边界</w:t>
            </w:r>
          </w:p>
        </w:tc>
      </w:tr>
      <w:tr>
        <w:tblPrEx>
          <w:tblCellMar>
            <w:top w:w="15" w:type="dxa"/>
            <w:left w:w="15" w:type="dxa"/>
            <w:bottom w:w="15" w:type="dxa"/>
            <w:right w:w="15" w:type="dxa"/>
          </w:tblCellMar>
        </w:tblPrEx>
        <w:trPr>
          <w:jc w:val="center"/>
        </w:trPr>
        <w:tc>
          <w:tcPr>
            <w:tcW w:w="1575" w:type="dxa"/>
            <w:vMerge w:val="restart"/>
            <w:tcBorders>
              <w:top w:val="single" w:color="auto" w:sz="4" w:space="0"/>
              <w:left w:val="nil"/>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空间分辨率</w:t>
            </w:r>
          </w:p>
        </w:tc>
        <w:tc>
          <w:tcPr>
            <w:tcW w:w="168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全色</w:t>
            </w:r>
          </w:p>
        </w:tc>
        <w:tc>
          <w:tcPr>
            <w:tcW w:w="5667" w:type="dxa"/>
            <w:gridSpan w:val="2"/>
            <w:tcBorders>
              <w:top w:val="single" w:color="auto" w:sz="4" w:space="0"/>
              <w:left w:val="single" w:color="auto" w:sz="4" w:space="0"/>
              <w:bottom w:val="single" w:color="auto" w:sz="4"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1m</w:t>
            </w:r>
          </w:p>
        </w:tc>
      </w:tr>
      <w:tr>
        <w:tblPrEx>
          <w:tblCellMar>
            <w:top w:w="15" w:type="dxa"/>
            <w:left w:w="15" w:type="dxa"/>
            <w:bottom w:w="15" w:type="dxa"/>
            <w:right w:w="15" w:type="dxa"/>
          </w:tblCellMar>
        </w:tblPrEx>
        <w:trPr>
          <w:jc w:val="center"/>
        </w:trPr>
        <w:tc>
          <w:tcPr>
            <w:tcW w:w="1575" w:type="dxa"/>
            <w:vMerge w:val="continue"/>
            <w:tcBorders>
              <w:top w:val="single" w:color="auto" w:sz="4" w:space="0"/>
              <w:left w:val="nil"/>
              <w:bottom w:val="single" w:color="auto" w:sz="12"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685" w:type="dxa"/>
            <w:tcBorders>
              <w:top w:val="single" w:color="auto" w:sz="4" w:space="0"/>
              <w:left w:val="single" w:color="auto" w:sz="4" w:space="0"/>
              <w:bottom w:val="single" w:color="auto" w:sz="12" w:space="0"/>
              <w:right w:val="single" w:color="auto" w:sz="4"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多光谱</w:t>
            </w:r>
          </w:p>
        </w:tc>
        <w:tc>
          <w:tcPr>
            <w:tcW w:w="5667" w:type="dxa"/>
            <w:gridSpan w:val="2"/>
            <w:tcBorders>
              <w:top w:val="single" w:color="auto" w:sz="4" w:space="0"/>
              <w:left w:val="single" w:color="auto" w:sz="4" w:space="0"/>
              <w:bottom w:val="single" w:color="auto" w:sz="12"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4m</w:t>
            </w:r>
          </w:p>
        </w:tc>
      </w:tr>
    </w:tbl>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2、现场调查</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月对评价区内的生态环境现状进行了现场调查，采取的调查方法为资料收集和现场踏勘，主要调查评价区有无生态敏感区以及当地主要植被类型、植物物种等，并对典型区域进行了样方调查。</w:t>
      </w: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mc:AlternateContent>
          <mc:Choice Requires="wpg">
            <w:drawing>
              <wp:anchor distT="0" distB="0" distL="114300" distR="114300" simplePos="0" relativeHeight="251735040" behindDoc="0" locked="0" layoutInCell="1" allowOverlap="1">
                <wp:simplePos x="0" y="0"/>
                <wp:positionH relativeFrom="column">
                  <wp:posOffset>866775</wp:posOffset>
                </wp:positionH>
                <wp:positionV relativeFrom="paragraph">
                  <wp:posOffset>142240</wp:posOffset>
                </wp:positionV>
                <wp:extent cx="4029075" cy="4565015"/>
                <wp:effectExtent l="5080" t="5080" r="4445" b="20955"/>
                <wp:wrapNone/>
                <wp:docPr id="284" name="组合 284"/>
                <wp:cNvGraphicFramePr/>
                <a:graphic xmlns:a="http://schemas.openxmlformats.org/drawingml/2006/main">
                  <a:graphicData uri="http://schemas.microsoft.com/office/word/2010/wordprocessingGroup">
                    <wpg:wgp>
                      <wpg:cNvGrpSpPr/>
                      <wpg:grpSpPr>
                        <a:xfrm>
                          <a:off x="0" y="0"/>
                          <a:ext cx="4029075" cy="4565015"/>
                          <a:chOff x="2839" y="2641"/>
                          <a:chExt cx="6345" cy="7189"/>
                        </a:xfrm>
                      </wpg:grpSpPr>
                      <wps:wsp>
                        <wps:cNvPr id="267" name="流程图: 过程 267"/>
                        <wps:cNvSpPr/>
                        <wps:spPr>
                          <a:xfrm>
                            <a:off x="2839" y="2641"/>
                            <a:ext cx="6345" cy="44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sz w:val="21"/>
                                  <w:szCs w:val="21"/>
                                </w:rPr>
                                <w:t>信息源：高分一号卫星遥感影像，1:10000各类专业图，文献资料</w:t>
                              </w:r>
                            </w:p>
                          </w:txbxContent>
                        </wps:txbx>
                        <wps:bodyPr upright="1"/>
                      </wps:wsp>
                      <wps:wsp>
                        <wps:cNvPr id="268" name="直接箭头连接符 268"/>
                        <wps:cNvCnPr/>
                        <wps:spPr>
                          <a:xfrm>
                            <a:off x="6019" y="3072"/>
                            <a:ext cx="0" cy="367"/>
                          </a:xfrm>
                          <a:prstGeom prst="straightConnector1">
                            <a:avLst/>
                          </a:prstGeom>
                          <a:ln w="9525" cap="flat" cmpd="sng">
                            <a:solidFill>
                              <a:srgbClr val="000000"/>
                            </a:solidFill>
                            <a:prstDash val="solid"/>
                            <a:headEnd type="none" w="med" len="med"/>
                            <a:tailEnd type="triangle" w="med" len="med"/>
                          </a:ln>
                        </wps:spPr>
                        <wps:bodyPr/>
                      </wps:wsp>
                      <wps:wsp>
                        <wps:cNvPr id="269" name="流程图: 过程 269"/>
                        <wps:cNvSpPr/>
                        <wps:spPr>
                          <a:xfrm>
                            <a:off x="4054" y="3451"/>
                            <a:ext cx="3930" cy="44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室内预解译标志确定</w:t>
                              </w:r>
                            </w:p>
                          </w:txbxContent>
                        </wps:txbx>
                        <wps:bodyPr upright="1"/>
                      </wps:wsp>
                      <wps:wsp>
                        <wps:cNvPr id="270" name="直接箭头连接符 270"/>
                        <wps:cNvCnPr/>
                        <wps:spPr>
                          <a:xfrm>
                            <a:off x="6019" y="3882"/>
                            <a:ext cx="0" cy="367"/>
                          </a:xfrm>
                          <a:prstGeom prst="straightConnector1">
                            <a:avLst/>
                          </a:prstGeom>
                          <a:ln w="9525" cap="flat" cmpd="sng">
                            <a:solidFill>
                              <a:srgbClr val="000000"/>
                            </a:solidFill>
                            <a:prstDash val="solid"/>
                            <a:headEnd type="none" w="med" len="med"/>
                            <a:tailEnd type="triangle" w="med" len="med"/>
                          </a:ln>
                        </wps:spPr>
                        <wps:bodyPr/>
                      </wps:wsp>
                      <wps:wsp>
                        <wps:cNvPr id="271" name="流程图: 过程 271"/>
                        <wps:cNvSpPr/>
                        <wps:spPr>
                          <a:xfrm>
                            <a:off x="4054" y="4261"/>
                            <a:ext cx="3930" cy="44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野外考察、建立解译标志，勾绘草图</w:t>
                              </w:r>
                            </w:p>
                          </w:txbxContent>
                        </wps:txbx>
                        <wps:bodyPr upright="1"/>
                      </wps:wsp>
                      <wps:wsp>
                        <wps:cNvPr id="272" name="直接箭头连接符 272"/>
                        <wps:cNvCnPr/>
                        <wps:spPr>
                          <a:xfrm>
                            <a:off x="6019" y="4692"/>
                            <a:ext cx="0" cy="367"/>
                          </a:xfrm>
                          <a:prstGeom prst="straightConnector1">
                            <a:avLst/>
                          </a:prstGeom>
                          <a:ln w="9525" cap="flat" cmpd="sng">
                            <a:solidFill>
                              <a:srgbClr val="000000"/>
                            </a:solidFill>
                            <a:prstDash val="solid"/>
                            <a:headEnd type="none" w="med" len="med"/>
                            <a:tailEnd type="triangle" w="med" len="med"/>
                          </a:ln>
                        </wps:spPr>
                        <wps:bodyPr/>
                      </wps:wsp>
                      <wps:wsp>
                        <wps:cNvPr id="273" name="流程图: 过程 273"/>
                        <wps:cNvSpPr/>
                        <wps:spPr>
                          <a:xfrm>
                            <a:off x="4054" y="5071"/>
                            <a:ext cx="3930" cy="44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室内解译及数字化</w:t>
                              </w:r>
                            </w:p>
                          </w:txbxContent>
                        </wps:txbx>
                        <wps:bodyPr upright="1"/>
                      </wps:wsp>
                      <wps:wsp>
                        <wps:cNvPr id="274" name="直接箭头连接符 274"/>
                        <wps:cNvCnPr/>
                        <wps:spPr>
                          <a:xfrm>
                            <a:off x="6019" y="5502"/>
                            <a:ext cx="0" cy="367"/>
                          </a:xfrm>
                          <a:prstGeom prst="straightConnector1">
                            <a:avLst/>
                          </a:prstGeom>
                          <a:ln w="9525" cap="flat" cmpd="sng">
                            <a:solidFill>
                              <a:srgbClr val="000000"/>
                            </a:solidFill>
                            <a:prstDash val="solid"/>
                            <a:headEnd type="none" w="med" len="med"/>
                            <a:tailEnd type="triangle" w="med" len="med"/>
                          </a:ln>
                        </wps:spPr>
                        <wps:bodyPr/>
                      </wps:wsp>
                      <wps:wsp>
                        <wps:cNvPr id="275" name="流程图: 过程 275"/>
                        <wps:cNvSpPr/>
                        <wps:spPr>
                          <a:xfrm>
                            <a:off x="4054" y="5869"/>
                            <a:ext cx="3930" cy="44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建立数据库、GIS数据采集</w:t>
                              </w:r>
                            </w:p>
                          </w:txbxContent>
                        </wps:txbx>
                        <wps:bodyPr upright="1"/>
                      </wps:wsp>
                      <wps:wsp>
                        <wps:cNvPr id="276" name="直接箭头连接符 276"/>
                        <wps:cNvCnPr/>
                        <wps:spPr>
                          <a:xfrm>
                            <a:off x="6019" y="6312"/>
                            <a:ext cx="0" cy="367"/>
                          </a:xfrm>
                          <a:prstGeom prst="straightConnector1">
                            <a:avLst/>
                          </a:prstGeom>
                          <a:ln w="9525" cap="flat" cmpd="sng">
                            <a:solidFill>
                              <a:srgbClr val="000000"/>
                            </a:solidFill>
                            <a:prstDash val="solid"/>
                            <a:headEnd type="none" w="med" len="med"/>
                            <a:tailEnd type="triangle" w="med" len="med"/>
                          </a:ln>
                        </wps:spPr>
                        <wps:bodyPr/>
                      </wps:wsp>
                      <wps:wsp>
                        <wps:cNvPr id="277" name="流程图: 过程 277"/>
                        <wps:cNvSpPr/>
                        <wps:spPr>
                          <a:xfrm>
                            <a:off x="3244" y="6680"/>
                            <a:ext cx="5550" cy="72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评价区1/5000生态图</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（植被类型图、土地利用现状图、土壤侵蚀现状图）</w:t>
                              </w:r>
                            </w:p>
                          </w:txbxContent>
                        </wps:txbx>
                        <wps:bodyPr upright="1"/>
                      </wps:wsp>
                      <wps:wsp>
                        <wps:cNvPr id="278" name="直接箭头连接符 278"/>
                        <wps:cNvCnPr/>
                        <wps:spPr>
                          <a:xfrm>
                            <a:off x="6019" y="7399"/>
                            <a:ext cx="0" cy="367"/>
                          </a:xfrm>
                          <a:prstGeom prst="straightConnector1">
                            <a:avLst/>
                          </a:prstGeom>
                          <a:ln w="9525" cap="flat" cmpd="sng">
                            <a:solidFill>
                              <a:srgbClr val="000000"/>
                            </a:solidFill>
                            <a:prstDash val="solid"/>
                            <a:headEnd type="none" w="med" len="med"/>
                            <a:tailEnd type="triangle" w="med" len="med"/>
                          </a:ln>
                        </wps:spPr>
                        <wps:bodyPr/>
                      </wps:wsp>
                      <wps:wsp>
                        <wps:cNvPr id="279" name="流程图: 过程 279"/>
                        <wps:cNvSpPr/>
                        <wps:spPr>
                          <a:xfrm>
                            <a:off x="4924" y="7767"/>
                            <a:ext cx="2190" cy="44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结果输出</w:t>
                              </w:r>
                            </w:p>
                          </w:txbxContent>
                        </wps:txbx>
                        <wps:bodyPr upright="1"/>
                      </wps:wsp>
                      <wps:wsp>
                        <wps:cNvPr id="280" name="直接箭头连接符 280"/>
                        <wps:cNvCnPr/>
                        <wps:spPr>
                          <a:xfrm>
                            <a:off x="6019" y="8209"/>
                            <a:ext cx="0" cy="367"/>
                          </a:xfrm>
                          <a:prstGeom prst="straightConnector1">
                            <a:avLst/>
                          </a:prstGeom>
                          <a:ln w="9525" cap="flat" cmpd="sng">
                            <a:solidFill>
                              <a:srgbClr val="000000"/>
                            </a:solidFill>
                            <a:prstDash val="solid"/>
                            <a:headEnd type="none" w="med" len="med"/>
                            <a:tailEnd type="triangle" w="med" len="med"/>
                          </a:ln>
                        </wps:spPr>
                        <wps:bodyPr/>
                      </wps:wsp>
                      <wps:wsp>
                        <wps:cNvPr id="281" name="流程图: 过程 281"/>
                        <wps:cNvSpPr/>
                        <wps:spPr>
                          <a:xfrm>
                            <a:off x="4924" y="8577"/>
                            <a:ext cx="2190" cy="44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现状评价</w:t>
                              </w:r>
                            </w:p>
                          </w:txbxContent>
                        </wps:txbx>
                        <wps:bodyPr upright="1"/>
                      </wps:wsp>
                      <wps:wsp>
                        <wps:cNvPr id="282" name="直接箭头连接符 282"/>
                        <wps:cNvCnPr/>
                        <wps:spPr>
                          <a:xfrm>
                            <a:off x="6019" y="9019"/>
                            <a:ext cx="0" cy="367"/>
                          </a:xfrm>
                          <a:prstGeom prst="straightConnector1">
                            <a:avLst/>
                          </a:prstGeom>
                          <a:ln w="9525" cap="flat" cmpd="sng">
                            <a:solidFill>
                              <a:srgbClr val="000000"/>
                            </a:solidFill>
                            <a:prstDash val="solid"/>
                            <a:headEnd type="none" w="med" len="med"/>
                            <a:tailEnd type="triangle" w="med" len="med"/>
                          </a:ln>
                        </wps:spPr>
                        <wps:bodyPr/>
                      </wps:wsp>
                      <wps:wsp>
                        <wps:cNvPr id="283" name="流程图: 过程 283"/>
                        <wps:cNvSpPr/>
                        <wps:spPr>
                          <a:xfrm>
                            <a:off x="4924" y="9387"/>
                            <a:ext cx="2190" cy="443"/>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评价结论</w:t>
                              </w:r>
                            </w:p>
                          </w:txbxContent>
                        </wps:txbx>
                        <wps:bodyPr upright="1"/>
                      </wps:wsp>
                    </wpg:wgp>
                  </a:graphicData>
                </a:graphic>
              </wp:anchor>
            </w:drawing>
          </mc:Choice>
          <mc:Fallback>
            <w:pict>
              <v:group id="_x0000_s1026" o:spid="_x0000_s1026" o:spt="203" style="position:absolute;left:0pt;margin-left:68.25pt;margin-top:11.2pt;height:359.45pt;width:317.25pt;z-index:251735040;mso-width-relative:page;mso-height-relative:page;" coordorigin="2839,2641" coordsize="6345,7189" o:gfxdata="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D34XJP2QAA&#10;AAoBAAAPAAAAAAAAAAEAIAAAACIAAABkcnMvZG93bnJldi54bWxQSwECFAAUAAAACACHTuJAzqMG&#10;X5AEAABpKQAADgAAAAAAAAABACAAAAAoAQAAZHJzL2Uyb0RvYy54bWxQSwUGAAAAAAYABgBZAQAA&#10;KggAAAAA&#10;">
                <o:lock v:ext="edit" aspectratio="f"/>
                <v:shape id="_x0000_s1026" o:spid="_x0000_s1026" o:spt="109" type="#_x0000_t109" style="position:absolute;left:2839;top:2641;height:443;width:6345;" fillcolor="#FFFFFF" filled="t" stroked="t" coordsize="21600,21600" o:gfxdata="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xURB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sz w:val="21"/>
                            <w:szCs w:val="21"/>
                          </w:rPr>
                          <w:t>信息源：高分一号卫星遥感影像，1:10000各类专业图，文献资料</w:t>
                        </w:r>
                      </w:p>
                    </w:txbxContent>
                  </v:textbox>
                </v:shape>
                <v:shape id="_x0000_s1026" o:spid="_x0000_s1026" o:spt="32" type="#_x0000_t32" style="position:absolute;left:6019;top:3072;height:367;width:0;" filled="f" stroked="t" coordsize="21600,21600" o:gfxdata="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8EHVugAAANwA&#10;AAAPAAAAAAAAAAEAIAAAACIAAABkcnMvZG93bnJldi54bWxQSwECFAAUAAAACACHTuJAMy8FnjsA&#10;AAA5AAAAEAAAAAAAAAABACAAAAAJAQAAZHJzL3NoYXBleG1sLnhtbFBLBQYAAAAABgAGAFsBAACz&#10;AwAAAAA=&#10;">
                  <v:fill on="f" focussize="0,0"/>
                  <v:stroke color="#000000" joinstyle="round" endarrow="block"/>
                  <v:imagedata o:title=""/>
                  <o:lock v:ext="edit" aspectratio="f"/>
                </v:shape>
                <v:shape id="_x0000_s1026" o:spid="_x0000_s1026" o:spt="109" type="#_x0000_t109" style="position:absolute;left:4054;top:3451;height:443;width:3930;" fillcolor="#FFFFFF" filled="t" stroked="t" coordsize="21600,21600" o:gfxdata="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xiDu&#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室内预解译标志确定</w:t>
                        </w:r>
                      </w:p>
                    </w:txbxContent>
                  </v:textbox>
                </v:shape>
                <v:shape id="_x0000_s1026" o:spid="_x0000_s1026" o:spt="32" type="#_x0000_t32" style="position:absolute;left:6019;top:3882;height:367;width:0;" filled="f" stroked="t" coordsize="21600,21600" o:gfxdata="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f2w6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109" type="#_x0000_t109" style="position:absolute;left:4054;top:4261;height:443;width:3930;" fillcolor="#FFFFFF" filled="t" stroked="t" coordsize="21600,21600" o:gfxdata="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pujW/&#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野外考察、建立解译标志，勾绘草图</w:t>
                        </w:r>
                      </w:p>
                    </w:txbxContent>
                  </v:textbox>
                </v:shape>
                <v:shape id="_x0000_s1026" o:spid="_x0000_s1026" o:spt="32" type="#_x0000_t32" style="position:absolute;left:6019;top:4692;height:367;width:0;" filled="f" stroked="t" coordsize="21600,21600" o:gfxdata="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B4OK/&#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09" type="#_x0000_t109" style="position:absolute;left:4054;top:5071;height:443;width:3930;" fillcolor="#FFFFFF" filled="t" stroked="t" coordsize="21600,21600" o:gfxdata="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94HZ&#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室内解译及数字化</w:t>
                        </w:r>
                      </w:p>
                    </w:txbxContent>
                  </v:textbox>
                </v:shape>
                <v:shape id="_x0000_s1026" o:spid="_x0000_s1026" o:spt="32" type="#_x0000_t32" style="position:absolute;left:6019;top:5502;height:367;width:0;" filled="f" stroked="t" coordsize="21600,21600" o:gfxdata="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k3Q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_x0000_s1026" o:spid="_x0000_s1026" o:spt="109" type="#_x0000_t109" style="position:absolute;left:4054;top:5869;height:443;width:3930;" fillcolor="#FFFFFF" filled="t" stroked="t" coordsize="21600,21600" o:gfxdata="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Urw2&#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建立数据库、GIS数据采集</w:t>
                        </w:r>
                      </w:p>
                    </w:txbxContent>
                  </v:textbox>
                </v:shape>
                <v:shape id="_x0000_s1026" o:spid="_x0000_s1026" o:spt="32" type="#_x0000_t32" style="position:absolute;left:6019;top:6312;height:367;width:0;" filled="f" stroked="t" coordsize="21600,21600" o:gfxdata="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frm4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109" type="#_x0000_t109" style="position:absolute;left:3244;top:6680;height:720;width:5550;" fillcolor="#FFFFFF" filled="t" stroked="t" coordsize="21600,21600" o:gfxdata="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zIfa&#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评价区1/5000生态图</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（植被类型图、土地利用现状图、土壤侵蚀现状图）</w:t>
                        </w:r>
                      </w:p>
                    </w:txbxContent>
                  </v:textbox>
                </v:shape>
                <v:shape id="_x0000_s1026" o:spid="_x0000_s1026" o:spt="32" type="#_x0000_t32" style="position:absolute;left:6019;top:7399;height:367;width:0;" filled="f" stroked="t" coordsize="21600,21600" o:gfxdata="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p1wi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_x0000_s1026" o:spid="_x0000_s1026" o:spt="109" type="#_x0000_t109" style="position:absolute;left:4924;top:7767;height:443;width:2190;" fillcolor="#FFFFFF" filled="t" stroked="t" coordsize="21600,21600" o:gfxdata="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ftjO/&#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结果输出</w:t>
                        </w:r>
                      </w:p>
                    </w:txbxContent>
                  </v:textbox>
                </v:shape>
                <v:shape id="_x0000_s1026" o:spid="_x0000_s1026" o:spt="32" type="#_x0000_t32" style="position:absolute;left:6019;top:8209;height:367;width:0;" filled="f" stroked="t" coordsize="21600,21600" o:gfxdata="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IqrKb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_x0000_s1026" o:spid="_x0000_s1026" o:spt="109" type="#_x0000_t109" style="position:absolute;left:4924;top:8577;height:443;width:2190;" fillcolor="#FFFFFF" filled="t" stroked="t" coordsize="21600,21600" o:gfxdata="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7zKE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现状评价</w:t>
                        </w:r>
                      </w:p>
                    </w:txbxContent>
                  </v:textbox>
                </v:shape>
                <v:shape id="_x0000_s1026" o:spid="_x0000_s1026" o:spt="32" type="#_x0000_t32" style="position:absolute;left:6019;top:9019;height:367;width:0;" filled="f" stroked="t" coordsize="21600,21600" o:gfxdata="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xSQxb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_x0000_s1026" o:spid="_x0000_s1026" o:spt="109" type="#_x0000_t109" style="position:absolute;left:4924;top:9387;height:443;width:2190;" fillcolor="#FFFFFF" filled="t" stroked="t" coordsize="21600,21600" o:gfxdata="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CLx/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sz w:val="21"/>
                            <w:szCs w:val="21"/>
                          </w:rPr>
                        </w:pPr>
                        <w:r>
                          <w:rPr>
                            <w:rFonts w:hint="eastAsia"/>
                            <w:sz w:val="21"/>
                            <w:szCs w:val="21"/>
                          </w:rPr>
                          <w:t>评价结论</w:t>
                        </w:r>
                      </w:p>
                    </w:txbxContent>
                  </v:textbox>
                </v:shape>
              </v:group>
            </w:pict>
          </mc:Fallback>
        </mc:AlternateContent>
      </w: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spacing w:line="480" w:lineRule="exact"/>
        <w:ind w:firstLine="554" w:firstLineChars="197"/>
        <w:rPr>
          <w:rFonts w:hint="default" w:ascii="Times New Roman" w:hAnsi="Times New Roman" w:eastAsia="宋体" w:cs="Times New Roman"/>
          <w:b/>
          <w:color w:val="auto"/>
          <w:sz w:val="28"/>
          <w:szCs w:val="28"/>
          <w:highlight w:val="none"/>
        </w:rPr>
      </w:pPr>
    </w:p>
    <w:p>
      <w:pPr>
        <w:pStyle w:val="37"/>
        <w:rPr>
          <w:rFonts w:hint="default" w:ascii="Times New Roman" w:hAnsi="Times New Roman" w:eastAsia="宋体" w:cs="Times New Roman"/>
          <w:b/>
          <w:color w:val="auto"/>
          <w:sz w:val="28"/>
          <w:szCs w:val="28"/>
          <w:highlight w:val="none"/>
        </w:rPr>
      </w:pPr>
    </w:p>
    <w:p>
      <w:pPr>
        <w:bidi w:val="0"/>
        <w:rPr>
          <w:rFonts w:hint="default" w:ascii="Times New Roman" w:hAnsi="Times New Roman" w:eastAsia="宋体" w:cs="Times New Roman"/>
          <w:color w:val="auto"/>
          <w:highlight w:val="none"/>
        </w:rPr>
      </w:pPr>
    </w:p>
    <w:p>
      <w:pPr>
        <w:bidi w:val="0"/>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图5.1-1  调查方法于技术路线框图</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本项目生态现状评价采用《</w:t>
      </w:r>
      <w:r>
        <w:rPr>
          <w:rFonts w:hint="eastAsia" w:cs="Times New Roman"/>
          <w:color w:val="auto"/>
          <w:sz w:val="24"/>
          <w:szCs w:val="24"/>
          <w:highlight w:val="none"/>
          <w:lang w:eastAsia="zh-CN"/>
        </w:rPr>
        <w:t>环境影响评价技术导则—生态影响</w:t>
      </w:r>
      <w:r>
        <w:rPr>
          <w:rFonts w:hint="default" w:ascii="Times New Roman" w:hAnsi="Times New Roman" w:eastAsia="宋体" w:cs="Times New Roman"/>
          <w:color w:val="auto"/>
          <w:sz w:val="24"/>
          <w:szCs w:val="24"/>
          <w:highlight w:val="none"/>
        </w:rPr>
        <w:t>》（HJ19-2022）附录B中的资料收集法、现场调查法、遥感调查法相结合的方法，进行定性或定量的分析评价；生态环境影响预测采用导则附录C中的图形叠置法、类比分析法相结合的方法，进行定性或半定量预测评价。</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生态功能区划</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评价区域在辽宁省生态功能区划中，一级功能属于</w:t>
      </w:r>
      <w:r>
        <w:rPr>
          <w:rFonts w:hint="eastAsia" w:cs="Times New Roman"/>
          <w:color w:val="auto"/>
          <w:highlight w:val="none"/>
          <w:lang w:eastAsia="zh-CN"/>
        </w:rPr>
        <w:t>“</w:t>
      </w:r>
      <w:r>
        <w:rPr>
          <w:rFonts w:hint="default" w:ascii="Times New Roman" w:hAnsi="Times New Roman" w:eastAsia="宋体" w:cs="Times New Roman"/>
          <w:color w:val="auto"/>
          <w:highlight w:val="none"/>
        </w:rPr>
        <w:t>Ⅰ辽东山地丘陵温带湿润、半湿润生态区</w:t>
      </w:r>
      <w:r>
        <w:rPr>
          <w:rFonts w:hint="eastAsia" w:cs="Times New Roman"/>
          <w:color w:val="auto"/>
          <w:highlight w:val="none"/>
          <w:lang w:eastAsia="zh-CN"/>
        </w:rPr>
        <w:t>”</w:t>
      </w:r>
      <w:r>
        <w:rPr>
          <w:rFonts w:hint="default" w:ascii="Times New Roman" w:hAnsi="Times New Roman" w:eastAsia="宋体" w:cs="Times New Roman"/>
          <w:color w:val="auto"/>
          <w:highlight w:val="none"/>
        </w:rPr>
        <w:t>，二级区属于</w:t>
      </w:r>
      <w:r>
        <w:rPr>
          <w:rFonts w:hint="eastAsia" w:cs="Times New Roman"/>
          <w:color w:val="auto"/>
          <w:highlight w:val="none"/>
          <w:lang w:eastAsia="zh-CN"/>
        </w:rPr>
        <w:t>“</w:t>
      </w:r>
      <w:r>
        <w:rPr>
          <w:rFonts w:hint="default" w:ascii="Times New Roman" w:hAnsi="Times New Roman" w:eastAsia="宋体" w:cs="Times New Roman"/>
          <w:color w:val="auto"/>
          <w:highlight w:val="none"/>
        </w:rPr>
        <w:t>Ⅰ1辽东山地针阔混交林生态亚区</w:t>
      </w:r>
      <w:r>
        <w:rPr>
          <w:rFonts w:hint="eastAsia" w:cs="Times New Roman"/>
          <w:color w:val="auto"/>
          <w:highlight w:val="none"/>
          <w:lang w:eastAsia="zh-CN"/>
        </w:rPr>
        <w:t>”</w:t>
      </w:r>
      <w:r>
        <w:rPr>
          <w:rFonts w:hint="default" w:ascii="Times New Roman" w:hAnsi="Times New Roman" w:eastAsia="宋体" w:cs="Times New Roman"/>
          <w:color w:val="auto"/>
          <w:highlight w:val="none"/>
        </w:rPr>
        <w:t>，三级区属于</w:t>
      </w:r>
      <w:r>
        <w:rPr>
          <w:rFonts w:hint="eastAsia" w:cs="Times New Roman"/>
          <w:color w:val="auto"/>
          <w:highlight w:val="none"/>
          <w:lang w:eastAsia="zh-CN"/>
        </w:rPr>
        <w:t>“</w:t>
      </w:r>
      <w:r>
        <w:rPr>
          <w:rFonts w:hint="default" w:ascii="Times New Roman" w:hAnsi="Times New Roman" w:eastAsia="宋体" w:cs="Times New Roman"/>
          <w:color w:val="auto"/>
          <w:highlight w:val="none"/>
        </w:rPr>
        <w:t>Ⅰ1-4宽甸—凤城—岫岩泥石流防治与水源涵养生态功能区，见图</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eastAsia" w:cs="Times New Roman"/>
          <w:color w:val="auto"/>
          <w:highlight w:val="none"/>
          <w:lang w:eastAsia="zh-CN"/>
        </w:rPr>
        <w:t>“</w:t>
      </w:r>
      <w:r>
        <w:rPr>
          <w:rFonts w:hint="default" w:ascii="Times New Roman" w:hAnsi="Times New Roman" w:eastAsia="宋体" w:cs="Times New Roman"/>
          <w:color w:val="auto"/>
          <w:highlight w:val="none"/>
        </w:rPr>
        <w:t>本区位于辽东半岛北部，千山山脉南段东南麓，瑷河、大洋河流域，包括凤城、岫岩县全部，宽甸、本溪县和盖州市、大石桥市部分地区，面积为17523km</w:t>
      </w:r>
      <w:r>
        <w:rPr>
          <w:rFonts w:hint="default" w:ascii="Times New Roman" w:hAnsi="Times New Roman" w:eastAsia="宋体" w:cs="Times New Roman"/>
          <w:color w:val="auto"/>
          <w:highlight w:val="none"/>
          <w:vertAlign w:val="superscript"/>
        </w:rPr>
        <w:t>2</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eastAsia" w:cs="Times New Roman"/>
          <w:color w:val="auto"/>
          <w:highlight w:val="none"/>
          <w:lang w:eastAsia="zh-CN"/>
        </w:rPr>
        <w:t>“</w:t>
      </w:r>
      <w:r>
        <w:rPr>
          <w:rFonts w:hint="default" w:ascii="Times New Roman" w:hAnsi="Times New Roman" w:eastAsia="宋体" w:cs="Times New Roman"/>
          <w:color w:val="auto"/>
          <w:highlight w:val="none"/>
        </w:rPr>
        <w:t>主要生态环境问题：是省内降雨中心，雨量大而集中，为洪涝、滑坡、泥石流多发区。山势较陡，河流从北向南，分布比较密集，加之林地质量较差，防护功能低，使土壤侵蚀较重。该区域是我省的主要柞蚕放养区，蚕场面积大，部分蚕场退化严重，历史上曾经大规模毁天然林开发成为蚕场，尤其是凤城、岫岩县等地区，水土流失、地质灾害严重。小矿场无序开采，加剧了水土流失，宽甸、凤城是我国主要的硼矿产区，硼泥污染较为突出</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eastAsia" w:cs="Times New Roman"/>
          <w:color w:val="auto"/>
          <w:highlight w:val="none"/>
          <w:lang w:eastAsia="zh-CN"/>
        </w:rPr>
        <w:t>“</w:t>
      </w:r>
      <w:r>
        <w:rPr>
          <w:rFonts w:hint="default" w:ascii="Times New Roman" w:hAnsi="Times New Roman" w:eastAsia="宋体" w:cs="Times New Roman"/>
          <w:color w:val="auto"/>
          <w:highlight w:val="none"/>
        </w:rPr>
        <w:t>生态环境敏感性：综合评价为高度、中度敏感。土壤侵蚀高度、中度敏感</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eastAsia" w:cs="Times New Roman"/>
          <w:color w:val="auto"/>
          <w:highlight w:val="none"/>
          <w:lang w:eastAsia="zh-CN"/>
        </w:rPr>
        <w:t>“</w:t>
      </w:r>
      <w:r>
        <w:rPr>
          <w:rFonts w:hint="default" w:ascii="Times New Roman" w:hAnsi="Times New Roman" w:eastAsia="宋体" w:cs="Times New Roman"/>
          <w:color w:val="auto"/>
          <w:highlight w:val="none"/>
        </w:rPr>
        <w:t>生态服务功能重要性：综合评价为极重要、中等重要。水源涵养、营养物质保持极重要、一般地区。土壤保持极重要、中等重要</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eastAsia" w:cs="Times New Roman"/>
          <w:color w:val="auto"/>
          <w:highlight w:val="none"/>
          <w:lang w:eastAsia="zh-CN"/>
        </w:rPr>
        <w:t>“</w:t>
      </w:r>
      <w:r>
        <w:rPr>
          <w:rFonts w:hint="default" w:ascii="Times New Roman" w:hAnsi="Times New Roman" w:eastAsia="宋体" w:cs="Times New Roman"/>
          <w:color w:val="auto"/>
          <w:highlight w:val="none"/>
        </w:rPr>
        <w:t>保护措施与发展方向：调整森林结构，加强防护林建设，搞好封育，提高森林生态功能。强化蚕场整治，提高蚕场质量，部分退化蚕场要退蚕还林。保持水土，防治泥石流、滑坡等地质灾害，是本区重要任务。整治矿山开采秩序，取缔不合理开采，科学处置矿渣和废弃矿场，恢复植被。调整畜牧业结构，合理确定载畜量，严禁牛、羊破坏山林。加大自然保护区建设与管理力度，保护好生物多样性。本区分布有</w:t>
      </w:r>
      <w:r>
        <w:rPr>
          <w:rFonts w:hint="eastAsia" w:cs="Times New Roman"/>
          <w:color w:val="auto"/>
          <w:highlight w:val="none"/>
          <w:lang w:eastAsia="zh-CN"/>
        </w:rPr>
        <w:t>“</w:t>
      </w:r>
      <w:r>
        <w:rPr>
          <w:rFonts w:hint="default" w:ascii="Times New Roman" w:hAnsi="Times New Roman" w:eastAsia="宋体" w:cs="Times New Roman"/>
          <w:color w:val="auto"/>
          <w:highlight w:val="none"/>
        </w:rPr>
        <w:t>白石砬子国家级自然保护区</w:t>
      </w:r>
      <w:r>
        <w:rPr>
          <w:rFonts w:hint="eastAsia" w:cs="Times New Roman"/>
          <w:color w:val="auto"/>
          <w:highlight w:val="none"/>
          <w:lang w:eastAsia="zh-CN"/>
        </w:rPr>
        <w:t>”</w:t>
      </w:r>
      <w:r>
        <w:rPr>
          <w:rFonts w:hint="default" w:ascii="Times New Roman" w:hAnsi="Times New Roman" w:eastAsia="宋体" w:cs="Times New Roman"/>
          <w:color w:val="auto"/>
          <w:highlight w:val="none"/>
        </w:rPr>
        <w:t>，保护原生型红松阔叶混交林；</w:t>
      </w:r>
      <w:r>
        <w:rPr>
          <w:rFonts w:hint="eastAsia" w:cs="Times New Roman"/>
          <w:color w:val="auto"/>
          <w:highlight w:val="none"/>
          <w:lang w:eastAsia="zh-CN"/>
        </w:rPr>
        <w:t>“</w:t>
      </w:r>
      <w:r>
        <w:rPr>
          <w:rFonts w:hint="default" w:ascii="Times New Roman" w:hAnsi="Times New Roman" w:eastAsia="宋体" w:cs="Times New Roman"/>
          <w:color w:val="auto"/>
          <w:highlight w:val="none"/>
        </w:rPr>
        <w:t>凤凰山省级自然保护区</w:t>
      </w:r>
      <w:r>
        <w:rPr>
          <w:rFonts w:hint="eastAsia" w:cs="Times New Roman"/>
          <w:color w:val="auto"/>
          <w:highlight w:val="none"/>
          <w:lang w:eastAsia="zh-CN"/>
        </w:rPr>
        <w:t>”</w:t>
      </w:r>
      <w:r>
        <w:rPr>
          <w:rFonts w:hint="default" w:ascii="Times New Roman" w:hAnsi="Times New Roman" w:eastAsia="宋体" w:cs="Times New Roman"/>
          <w:color w:val="auto"/>
          <w:highlight w:val="none"/>
        </w:rPr>
        <w:t>，保护华北、长白植物区系交汇带珍稀物种和风景林；</w:t>
      </w:r>
      <w:r>
        <w:rPr>
          <w:rFonts w:hint="eastAsia" w:cs="Times New Roman"/>
          <w:color w:val="auto"/>
          <w:highlight w:val="none"/>
          <w:lang w:eastAsia="zh-CN"/>
        </w:rPr>
        <w:t>“</w:t>
      </w:r>
      <w:r>
        <w:rPr>
          <w:rFonts w:hint="default" w:ascii="Times New Roman" w:hAnsi="Times New Roman" w:eastAsia="宋体" w:cs="Times New Roman"/>
          <w:color w:val="auto"/>
          <w:highlight w:val="none"/>
        </w:rPr>
        <w:t>岫岩清凉山省级自然保护区</w:t>
      </w:r>
      <w:r>
        <w:rPr>
          <w:rFonts w:hint="eastAsia" w:cs="Times New Roman"/>
          <w:color w:val="auto"/>
          <w:highlight w:val="none"/>
          <w:lang w:eastAsia="zh-CN"/>
        </w:rPr>
        <w:t>”</w:t>
      </w:r>
      <w:r>
        <w:rPr>
          <w:rFonts w:hint="default" w:ascii="Times New Roman" w:hAnsi="Times New Roman" w:eastAsia="宋体" w:cs="Times New Roman"/>
          <w:color w:val="auto"/>
          <w:highlight w:val="none"/>
        </w:rPr>
        <w:t>，保护华北、长白区系交汇带的森林生态系统。保护碧流河、英那河水库汇水区生态环境，限制水污染项目及矿山开采。依托凤凰山、青山沟等旅游景点发展旅游产业。对传统的养蚕业科学管理，减少水土流失。对特色矿产硼、岫岩玉等实行有计划开采，保护资源与环境，进行精深加工，提高产品附加值</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占地范围内无基本保护农田、无重要保护野生动植物。本建设项目评价范围内没有自然保护区、森林公园、风景名胜区、水源保护区、国家重点保护文物及野生动物的重要栖息地、重要或特殊的植物群落的分布。</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对生态、土壤水土保持的负面影响主要是占地对地表植被的占压，不会对所处功能区的生态功能构成威胁，并随着矿山地质环境的综合治理以及已服务期满的植被恢复的实施，可以满足该区生态功能区划的要求。</w:t>
      </w:r>
    </w:p>
    <w:p>
      <w:pPr>
        <w:ind w:firstLine="480"/>
        <w:rPr>
          <w:rFonts w:hint="default" w:ascii="Times New Roman" w:hAnsi="Times New Roman" w:eastAsia="宋体" w:cs="Times New Roman"/>
          <w:color w:val="auto"/>
          <w:highlight w:val="none"/>
        </w:rPr>
        <w:sectPr>
          <w:footerReference r:id="rId23" w:type="default"/>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8041640" cy="5407660"/>
            <wp:effectExtent l="0" t="0" r="16510" b="2540"/>
            <wp:docPr id="90" name="图片 90" descr="辽宁省生态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辽宁省生态功能区划图"/>
                    <pic:cNvPicPr>
                      <a:picLocks noChangeAspect="1"/>
                    </pic:cNvPicPr>
                  </pic:nvPicPr>
                  <pic:blipFill>
                    <a:blip r:embed="rId77"/>
                    <a:stretch>
                      <a:fillRect/>
                    </a:stretch>
                  </pic:blipFill>
                  <pic:spPr>
                    <a:xfrm>
                      <a:off x="0" y="0"/>
                      <a:ext cx="8041640" cy="5407660"/>
                    </a:xfrm>
                    <a:prstGeom prst="rect">
                      <a:avLst/>
                    </a:prstGeom>
                  </pic:spPr>
                </pic:pic>
              </a:graphicData>
            </a:graphic>
          </wp:inline>
        </w:drawing>
      </w:r>
    </w:p>
    <w:p>
      <w:pPr>
        <w:ind w:firstLine="0" w:firstLineChars="0"/>
        <w:jc w:val="center"/>
        <w:rPr>
          <w:rFonts w:hint="default" w:ascii="Times New Roman" w:hAnsi="Times New Roman" w:eastAsia="宋体" w:cs="Times New Roman"/>
          <w:b/>
          <w:bCs/>
          <w:color w:val="auto"/>
          <w:sz w:val="21"/>
          <w:szCs w:val="21"/>
          <w:highlight w:val="none"/>
        </w:rPr>
        <w:sectPr>
          <w:pgSz w:w="16840" w:h="11907"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bCs/>
          <w:color w:val="auto"/>
          <w:sz w:val="21"/>
          <w:szCs w:val="21"/>
          <w:highlight w:val="none"/>
        </w:rPr>
        <w:t>图</w:t>
      </w:r>
      <w:r>
        <w:rPr>
          <w:rFonts w:hint="default" w:ascii="Times New Roman" w:hAnsi="Times New Roman" w:eastAsia="宋体"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rPr>
        <w:t>.1-</w:t>
      </w:r>
      <w:r>
        <w:rPr>
          <w:rFonts w:hint="default"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辽宁省生态功能区划图</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生物多样性</w:t>
      </w:r>
      <w:r>
        <w:rPr>
          <w:rFonts w:hint="default" w:ascii="Times New Roman" w:hAnsi="Times New Roman" w:eastAsia="宋体" w:cs="Times New Roman"/>
          <w:color w:val="auto"/>
          <w:highlight w:val="none"/>
          <w:lang w:val="en-US" w:eastAsia="zh-CN"/>
        </w:rPr>
        <w:t>调查</w:t>
      </w:r>
    </w:p>
    <w:p>
      <w:pPr>
        <w:ind w:firstLine="0" w:firstLineChars="0"/>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lang w:val="en-US" w:eastAsia="zh-CN"/>
        </w:rPr>
        <w:t>5</w:t>
      </w:r>
      <w:r>
        <w:rPr>
          <w:rFonts w:hint="default" w:ascii="Times New Roman" w:hAnsi="Times New Roman" w:eastAsia="宋体" w:cs="Times New Roman"/>
          <w:b/>
          <w:color w:val="auto"/>
          <w:highlight w:val="none"/>
        </w:rPr>
        <w:t>.2.3.1植物资源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（1）资料收集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辽东半岛北部，下辽河平原东缘与辽东山地丘陵过渡带，区内植被属华北植物区系，夹杂长白山区系植物，华北植物区系的代表树种为油松、辽东栎、榆、桦树和代表草本植物的糙隐子草、拂子茅等；长白植物区系代表树种有榆、刺槐等木本植物和羊胡草、白羊草等草本植物。项目区内自然植被主要是次生草本植物及少量阔叶林，多以刺槐和杂木类灌木为主。</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岫岩县域范围内存有野生植物300余种，其中国家和省级重点保护野生植物16种。但根据区域植物信息资料的查询和现场野外植被调查，本项目占地范围及其周边未发现珍稀濒危保护植物。受人类活动干扰强烈，本项目区域原有的森林植被受到人工破坏，已逐步退化成了灌丛生态系统，现有的乔木林全部为人工次生林。自然植被主要是次生草本植物及少量灌木林，植物群落一般，而且分布不均匀，树种油松、刺槐、榛子丛等灌木相杂生为主，辅以杂草，植被覆盖状况中等。</w:t>
      </w:r>
    </w:p>
    <w:p>
      <w:pPr>
        <w:spacing w:beforeLines="0" w:afterLines="0"/>
        <w:jc w:val="left"/>
        <w:rPr>
          <w:rFonts w:hint="default" w:ascii="Times New Roman" w:hAnsi="Times New Roman" w:eastAsia="宋体" w:cs="Times New Roman"/>
          <w:b/>
          <w:color w:val="auto"/>
          <w:highlight w:val="none"/>
          <w:lang w:val="en-US" w:eastAsia="zh-CN"/>
        </w:rPr>
      </w:pPr>
      <w:r>
        <w:rPr>
          <w:rFonts w:hint="default" w:ascii="Times New Roman" w:hAnsi="Times New Roman" w:eastAsia="宋体" w:cs="Times New Roman"/>
          <w:color w:val="auto"/>
          <w:sz w:val="24"/>
          <w:szCs w:val="24"/>
          <w:highlight w:val="none"/>
        </w:rPr>
        <w:t>根据《辽宁植被与植被区划》，本项目评价区处于辽东半岛北部蒙古栎、麻栎、辽东栎蚕场矮林及暖温性蒙古栎林地区，植被区系为华北植物区系，地带性自然植被已被破坏殆尽，项目区及其周边乔木植物主要有蒙古栎、刺槐、油松、辽东栎等，灌木植被主要有榛子、酸枣、胡枝子等。草本植物有白羊草、野古草等，本项目矿区内无国家级及省级重要保护生境。植被区系见图</w:t>
      </w:r>
      <w:r>
        <w:rPr>
          <w:rFonts w:hint="default" w:ascii="Times New Roman" w:hAnsi="Times New Roman" w:eastAsia="宋体" w:cs="Times New Roman"/>
          <w:color w:val="auto"/>
          <w:sz w:val="24"/>
          <w:szCs w:val="24"/>
          <w:highlight w:val="none"/>
          <w:lang w:val="en-US" w:eastAsia="zh-CN"/>
        </w:rPr>
        <w:t>5.1-3</w:t>
      </w:r>
      <w:r>
        <w:rPr>
          <w:rFonts w:hint="default" w:ascii="Times New Roman" w:hAnsi="Times New Roman" w:eastAsia="宋体" w:cs="Times New Roman"/>
          <w:color w:val="auto"/>
          <w:sz w:val="24"/>
          <w:szCs w:val="24"/>
          <w:highlight w:val="none"/>
        </w:rPr>
        <w:t>，评价区植被类型见图</w:t>
      </w:r>
      <w:r>
        <w:rPr>
          <w:rFonts w:hint="default" w:ascii="Times New Roman" w:hAnsi="Times New Roman" w:eastAsia="宋体" w:cs="Times New Roman"/>
          <w:color w:val="auto"/>
          <w:sz w:val="24"/>
          <w:szCs w:val="24"/>
          <w:highlight w:val="none"/>
          <w:lang w:val="en-US" w:eastAsia="zh-CN"/>
        </w:rPr>
        <w:t>5.1-4</w:t>
      </w:r>
      <w:r>
        <w:rPr>
          <w:rFonts w:hint="default" w:ascii="Times New Roman" w:hAnsi="Times New Roman" w:eastAsia="宋体" w:cs="Times New Roman"/>
          <w:color w:val="auto"/>
          <w:sz w:val="24"/>
          <w:szCs w:val="24"/>
          <w:highlight w:val="none"/>
        </w:rPr>
        <w:t>。评价区常见植物名录见下表</w:t>
      </w:r>
      <w:r>
        <w:rPr>
          <w:rFonts w:hint="default" w:ascii="Times New Roman" w:hAnsi="Times New Roman" w:eastAsia="宋体" w:cs="Times New Roman"/>
          <w:color w:val="auto"/>
          <w:sz w:val="24"/>
          <w:szCs w:val="24"/>
          <w:highlight w:val="none"/>
          <w:lang w:val="en-US" w:eastAsia="zh-CN"/>
        </w:rPr>
        <w:t>5.1-2</w:t>
      </w:r>
      <w:r>
        <w:rPr>
          <w:rFonts w:hint="default" w:ascii="Times New Roman" w:hAnsi="Times New Roman" w:eastAsia="宋体" w:cs="Times New Roman"/>
          <w:color w:val="auto"/>
          <w:sz w:val="24"/>
          <w:szCs w:val="24"/>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评价区常见植物名录</w:t>
      </w:r>
    </w:p>
    <w:tbl>
      <w:tblPr>
        <w:tblStyle w:val="45"/>
        <w:tblW w:w="4996"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76"/>
        <w:gridCol w:w="3232"/>
        <w:gridCol w:w="1911"/>
        <w:gridCol w:w="27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拉丁文</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生活型</w:t>
            </w:r>
          </w:p>
        </w:tc>
        <w:tc>
          <w:tcPr>
            <w:tcW w:w="0" w:type="auto"/>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1.糙隐子草</w:t>
            </w:r>
          </w:p>
        </w:tc>
        <w:tc>
          <w:tcPr>
            <w:tcW w:w="0" w:type="auto"/>
            <w:vAlign w:val="center"/>
          </w:tcPr>
          <w:p>
            <w:pPr>
              <w:pStyle w:val="104"/>
              <w:jc w:val="center"/>
              <w:rPr>
                <w:rFonts w:hint="default" w:ascii="Times New Roman" w:hAnsi="Times New Roman" w:eastAsia="宋体" w:cs="Times New Roman"/>
                <w:i/>
                <w:color w:val="auto"/>
                <w:highlight w:val="none"/>
              </w:rPr>
            </w:pPr>
            <w:r>
              <w:rPr>
                <w:rFonts w:hint="default" w:ascii="Times New Roman" w:hAnsi="Times New Roman" w:eastAsia="宋体" w:cs="Times New Roman"/>
                <w:i/>
                <w:color w:val="auto"/>
                <w:highlight w:val="none"/>
              </w:rPr>
              <w:t>Cleistogeneskitagawae</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多年生草本禾草</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304925" cy="1163955"/>
                  <wp:effectExtent l="0" t="0" r="9525" b="17145"/>
                  <wp:docPr id="12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0"/>
                          <pic:cNvPicPr>
                            <a:picLocks noChangeAspect="1"/>
                          </pic:cNvPicPr>
                        </pic:nvPicPr>
                        <pic:blipFill>
                          <a:blip r:embed="rId78"/>
                          <a:stretch>
                            <a:fillRect/>
                          </a:stretch>
                        </pic:blipFill>
                        <pic:spPr>
                          <a:xfrm>
                            <a:off x="0" y="0"/>
                            <a:ext cx="1304925" cy="116395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kern w:val="0"/>
                <w:highlight w:val="none"/>
              </w:rPr>
              <w:t>白羊草</w:t>
            </w:r>
          </w:p>
        </w:tc>
        <w:tc>
          <w:tcPr>
            <w:tcW w:w="0" w:type="auto"/>
            <w:vAlign w:val="center"/>
          </w:tcPr>
          <w:p>
            <w:pPr>
              <w:pStyle w:val="104"/>
              <w:jc w:val="center"/>
              <w:rPr>
                <w:rStyle w:val="92"/>
                <w:rFonts w:hint="default" w:ascii="Times New Roman" w:hAnsi="Times New Roman" w:eastAsia="宋体" w:cs="Times New Roman"/>
                <w:i/>
                <w:color w:val="auto"/>
                <w:szCs w:val="21"/>
                <w:highlight w:val="none"/>
              </w:rPr>
            </w:pPr>
            <w:r>
              <w:rPr>
                <w:rStyle w:val="92"/>
                <w:rFonts w:hint="default" w:ascii="Times New Roman" w:hAnsi="Times New Roman" w:eastAsia="宋体" w:cs="Times New Roman"/>
                <w:i/>
                <w:color w:val="auto"/>
                <w:szCs w:val="21"/>
                <w:highlight w:val="none"/>
              </w:rPr>
              <w:t>Bothriochloaischcemum</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一年生根茎禾草</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310640" cy="1149985"/>
                  <wp:effectExtent l="0" t="0" r="3810" b="12065"/>
                  <wp:docPr id="12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41"/>
                          <pic:cNvPicPr>
                            <a:picLocks noChangeAspect="1"/>
                          </pic:cNvPicPr>
                        </pic:nvPicPr>
                        <pic:blipFill>
                          <a:blip r:embed="rId79"/>
                          <a:stretch>
                            <a:fillRect/>
                          </a:stretch>
                        </pic:blipFill>
                        <pic:spPr>
                          <a:xfrm>
                            <a:off x="0" y="0"/>
                            <a:ext cx="1310640" cy="114998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3.拂子茅</w:t>
            </w:r>
          </w:p>
        </w:tc>
        <w:tc>
          <w:tcPr>
            <w:tcW w:w="0" w:type="auto"/>
            <w:vAlign w:val="center"/>
          </w:tcPr>
          <w:p>
            <w:pPr>
              <w:pStyle w:val="104"/>
              <w:jc w:val="center"/>
              <w:rPr>
                <w:rFonts w:hint="default" w:ascii="Times New Roman" w:hAnsi="Times New Roman" w:eastAsia="宋体" w:cs="Times New Roman"/>
                <w:i/>
                <w:color w:val="auto"/>
                <w:highlight w:val="none"/>
              </w:rPr>
            </w:pPr>
            <w:r>
              <w:rPr>
                <w:rStyle w:val="92"/>
                <w:rFonts w:hint="default" w:ascii="Times New Roman" w:hAnsi="Times New Roman" w:eastAsia="宋体" w:cs="Times New Roman"/>
                <w:i/>
                <w:color w:val="auto"/>
                <w:szCs w:val="21"/>
                <w:highlight w:val="none"/>
              </w:rPr>
              <w:t>Calamagrostisepigeios(L.)Roth</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多年生草本</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346200" cy="1159510"/>
                  <wp:effectExtent l="0" t="0" r="6350" b="2540"/>
                  <wp:docPr id="13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2"/>
                          <pic:cNvPicPr>
                            <a:picLocks noChangeAspect="1"/>
                          </pic:cNvPicPr>
                        </pic:nvPicPr>
                        <pic:blipFill>
                          <a:blip r:embed="rId80"/>
                          <a:stretch>
                            <a:fillRect/>
                          </a:stretch>
                        </pic:blipFill>
                        <pic:spPr>
                          <a:xfrm>
                            <a:off x="0" y="0"/>
                            <a:ext cx="1346200" cy="115951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val="en-US" w:eastAsia="zh-CN"/>
              </w:rPr>
              <w:t>4</w:t>
            </w:r>
            <w:r>
              <w:rPr>
                <w:rFonts w:hint="default" w:ascii="Times New Roman" w:hAnsi="Times New Roman" w:eastAsia="宋体" w:cs="Times New Roman"/>
                <w:color w:val="auto"/>
                <w:kern w:val="0"/>
                <w:highlight w:val="none"/>
              </w:rPr>
              <w:t>.虎榛子</w:t>
            </w:r>
          </w:p>
        </w:tc>
        <w:tc>
          <w:tcPr>
            <w:tcW w:w="0" w:type="auto"/>
            <w:vAlign w:val="center"/>
          </w:tcPr>
          <w:p>
            <w:pPr>
              <w:pStyle w:val="104"/>
              <w:jc w:val="center"/>
              <w:rPr>
                <w:rFonts w:hint="default" w:ascii="Times New Roman" w:hAnsi="Times New Roman" w:eastAsia="宋体" w:cs="Times New Roman"/>
                <w:i/>
                <w:iCs/>
                <w:color w:val="auto"/>
                <w:highlight w:val="none"/>
              </w:rPr>
            </w:pPr>
            <w:r>
              <w:rPr>
                <w:rStyle w:val="92"/>
                <w:rFonts w:hint="default" w:ascii="Times New Roman" w:hAnsi="Times New Roman" w:eastAsia="宋体" w:cs="Times New Roman"/>
                <w:i/>
                <w:color w:val="auto"/>
                <w:szCs w:val="21"/>
                <w:highlight w:val="none"/>
              </w:rPr>
              <w:t>Ostryopsisdavidiana</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灌木</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290955" cy="1095375"/>
                  <wp:effectExtent l="0" t="0" r="4445" b="9525"/>
                  <wp:docPr id="13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3"/>
                          <pic:cNvPicPr>
                            <a:picLocks noChangeAspect="1"/>
                          </pic:cNvPicPr>
                        </pic:nvPicPr>
                        <pic:blipFill>
                          <a:blip r:embed="rId81"/>
                          <a:stretch>
                            <a:fillRect/>
                          </a:stretch>
                        </pic:blipFill>
                        <pic:spPr>
                          <a:xfrm>
                            <a:off x="0" y="0"/>
                            <a:ext cx="1290955" cy="109537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.胡枝子</w:t>
            </w:r>
          </w:p>
        </w:tc>
        <w:tc>
          <w:tcPr>
            <w:tcW w:w="0" w:type="auto"/>
            <w:vAlign w:val="center"/>
          </w:tcPr>
          <w:p>
            <w:pPr>
              <w:pStyle w:val="104"/>
              <w:jc w:val="center"/>
              <w:rPr>
                <w:rFonts w:hint="default" w:ascii="Times New Roman" w:hAnsi="Times New Roman" w:eastAsia="宋体" w:cs="Times New Roman"/>
                <w:i/>
                <w:iCs/>
                <w:color w:val="auto"/>
                <w:highlight w:val="none"/>
              </w:rPr>
            </w:pPr>
            <w:r>
              <w:rPr>
                <w:rStyle w:val="92"/>
                <w:rFonts w:hint="default" w:ascii="Times New Roman" w:hAnsi="Times New Roman" w:eastAsia="宋体" w:cs="Times New Roman"/>
                <w:i/>
                <w:color w:val="auto"/>
                <w:szCs w:val="21"/>
                <w:highlight w:val="none"/>
              </w:rPr>
              <w:t>LespedezafloribundaBunge</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木本</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287780" cy="1071880"/>
                  <wp:effectExtent l="0" t="0" r="7620" b="13970"/>
                  <wp:docPr id="13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4"/>
                          <pic:cNvPicPr>
                            <a:picLocks noChangeAspect="1"/>
                          </pic:cNvPicPr>
                        </pic:nvPicPr>
                        <pic:blipFill>
                          <a:blip r:embed="rId82"/>
                          <a:stretch>
                            <a:fillRect/>
                          </a:stretch>
                        </pic:blipFill>
                        <pic:spPr>
                          <a:xfrm>
                            <a:off x="0" y="0"/>
                            <a:ext cx="1287780" cy="107188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.连翘</w:t>
            </w:r>
          </w:p>
        </w:tc>
        <w:tc>
          <w:tcPr>
            <w:tcW w:w="0" w:type="auto"/>
            <w:vAlign w:val="center"/>
          </w:tcPr>
          <w:p>
            <w:pPr>
              <w:pStyle w:val="104"/>
              <w:jc w:val="center"/>
              <w:rPr>
                <w:rStyle w:val="92"/>
                <w:rFonts w:hint="default" w:ascii="Times New Roman" w:hAnsi="Times New Roman" w:eastAsia="宋体" w:cs="Times New Roman"/>
                <w:i/>
                <w:color w:val="auto"/>
                <w:szCs w:val="21"/>
                <w:highlight w:val="none"/>
              </w:rPr>
            </w:pPr>
            <w:r>
              <w:rPr>
                <w:rStyle w:val="92"/>
                <w:rFonts w:hint="default" w:ascii="Times New Roman" w:hAnsi="Times New Roman" w:eastAsia="宋体" w:cs="Times New Roman"/>
                <w:i/>
                <w:color w:val="auto"/>
                <w:szCs w:val="21"/>
                <w:highlight w:val="none"/>
              </w:rPr>
              <w:t>Forsythiasuspensa</w:t>
            </w:r>
          </w:p>
        </w:tc>
        <w:tc>
          <w:tcPr>
            <w:tcW w:w="0" w:type="auto"/>
            <w:vAlign w:val="center"/>
          </w:tcPr>
          <w:p>
            <w:pPr>
              <w:pStyle w:val="104"/>
              <w:jc w:val="center"/>
              <w:rPr>
                <w:rStyle w:val="92"/>
                <w:rFonts w:hint="default" w:ascii="Times New Roman" w:hAnsi="Times New Roman" w:eastAsia="宋体" w:cs="Times New Roman"/>
                <w:color w:val="auto"/>
                <w:szCs w:val="21"/>
                <w:highlight w:val="none"/>
              </w:rPr>
            </w:pPr>
            <w:r>
              <w:rPr>
                <w:rStyle w:val="92"/>
                <w:rFonts w:hint="default" w:ascii="Times New Roman" w:hAnsi="Times New Roman" w:eastAsia="宋体" w:cs="Times New Roman"/>
                <w:color w:val="auto"/>
                <w:szCs w:val="21"/>
                <w:highlight w:val="none"/>
              </w:rPr>
              <w:t>灌木</w:t>
            </w:r>
          </w:p>
        </w:tc>
        <w:tc>
          <w:tcPr>
            <w:tcW w:w="0" w:type="auto"/>
            <w:vAlign w:val="center"/>
          </w:tcPr>
          <w:p>
            <w:pPr>
              <w:pStyle w:val="104"/>
              <w:jc w:val="center"/>
              <w:rPr>
                <w:rStyle w:val="92"/>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drawing>
                <wp:inline distT="0" distB="0" distL="114300" distR="114300">
                  <wp:extent cx="1283970" cy="1176020"/>
                  <wp:effectExtent l="0" t="0" r="11430" b="5080"/>
                  <wp:docPr id="1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5"/>
                          <pic:cNvPicPr>
                            <a:picLocks noChangeAspect="1"/>
                          </pic:cNvPicPr>
                        </pic:nvPicPr>
                        <pic:blipFill>
                          <a:blip r:embed="rId83"/>
                          <a:stretch>
                            <a:fillRect/>
                          </a:stretch>
                        </pic:blipFill>
                        <pic:spPr>
                          <a:xfrm>
                            <a:off x="0" y="0"/>
                            <a:ext cx="1283970" cy="117602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15" w:hRule="atLeast"/>
          <w:jc w:val="center"/>
        </w:trPr>
        <w:tc>
          <w:tcPr>
            <w:tcW w:w="0" w:type="auto"/>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榛子</w:t>
            </w:r>
          </w:p>
        </w:tc>
        <w:tc>
          <w:tcPr>
            <w:tcW w:w="0" w:type="auto"/>
            <w:vAlign w:val="center"/>
          </w:tcPr>
          <w:p>
            <w:pPr>
              <w:pStyle w:val="104"/>
              <w:jc w:val="center"/>
              <w:rPr>
                <w:rFonts w:hint="default" w:ascii="Times New Roman" w:hAnsi="Times New Roman" w:eastAsia="宋体" w:cs="Times New Roman"/>
                <w:i/>
                <w:color w:val="auto"/>
                <w:highlight w:val="none"/>
              </w:rPr>
            </w:pPr>
            <w:r>
              <w:rPr>
                <w:rFonts w:hint="default" w:ascii="Times New Roman" w:hAnsi="Times New Roman" w:eastAsia="宋体" w:cs="Times New Roman"/>
                <w:i/>
                <w:color w:val="auto"/>
                <w:sz w:val="18"/>
                <w:szCs w:val="24"/>
                <w:highlight w:val="none"/>
              </w:rPr>
              <w:t>Hazelnut</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18"/>
                <w:szCs w:val="24"/>
                <w:highlight w:val="none"/>
              </w:rPr>
              <w:t>小灌木</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392555" cy="1138555"/>
                  <wp:effectExtent l="0" t="0" r="17145" b="4445"/>
                  <wp:docPr id="13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9"/>
                          <pic:cNvPicPr>
                            <a:picLocks noChangeAspect="1"/>
                          </pic:cNvPicPr>
                        </pic:nvPicPr>
                        <pic:blipFill>
                          <a:blip r:embed="rId84"/>
                          <a:stretch>
                            <a:fillRect/>
                          </a:stretch>
                        </pic:blipFill>
                        <pic:spPr>
                          <a:xfrm>
                            <a:off x="0" y="0"/>
                            <a:ext cx="1392555" cy="113855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highlight w:val="none"/>
                <w:lang w:val="en-US" w:eastAsia="zh-CN"/>
              </w:rPr>
              <w:t>8</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酸枣</w:t>
            </w:r>
          </w:p>
        </w:tc>
        <w:tc>
          <w:tcPr>
            <w:tcW w:w="0" w:type="auto"/>
            <w:vAlign w:val="center"/>
          </w:tcPr>
          <w:p>
            <w:pPr>
              <w:pStyle w:val="104"/>
              <w:jc w:val="center"/>
              <w:rPr>
                <w:rStyle w:val="92"/>
                <w:rFonts w:hint="default" w:ascii="Times New Roman" w:hAnsi="Times New Roman" w:eastAsia="宋体" w:cs="Times New Roman"/>
                <w:i/>
                <w:color w:val="auto"/>
                <w:szCs w:val="21"/>
                <w:highlight w:val="none"/>
              </w:rPr>
            </w:pPr>
            <w:r>
              <w:rPr>
                <w:rStyle w:val="92"/>
                <w:rFonts w:hint="default" w:ascii="Times New Roman" w:hAnsi="Times New Roman" w:eastAsia="宋体" w:cs="Times New Roman"/>
                <w:i/>
                <w:color w:val="auto"/>
                <w:szCs w:val="21"/>
                <w:highlight w:val="none"/>
              </w:rPr>
              <w:t>Ziziphusjujuba</w:t>
            </w:r>
          </w:p>
        </w:tc>
        <w:tc>
          <w:tcPr>
            <w:tcW w:w="0" w:type="auto"/>
            <w:vAlign w:val="center"/>
          </w:tcPr>
          <w:p>
            <w:pPr>
              <w:pStyle w:val="104"/>
              <w:jc w:val="center"/>
              <w:rPr>
                <w:rStyle w:val="92"/>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 w:val="18"/>
                <w:szCs w:val="24"/>
                <w:highlight w:val="none"/>
              </w:rPr>
              <w:t>半灌木</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210310" cy="852170"/>
                  <wp:effectExtent l="0" t="0" r="8890" b="5080"/>
                  <wp:docPr id="13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48"/>
                          <pic:cNvPicPr>
                            <a:picLocks noChangeAspect="1"/>
                          </pic:cNvPicPr>
                        </pic:nvPicPr>
                        <pic:blipFill>
                          <a:blip r:embed="rId85"/>
                          <a:stretch>
                            <a:fillRect/>
                          </a:stretch>
                        </pic:blipFill>
                        <pic:spPr>
                          <a:xfrm>
                            <a:off x="0" y="0"/>
                            <a:ext cx="1210310" cy="85217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.油松</w:t>
            </w:r>
          </w:p>
        </w:tc>
        <w:tc>
          <w:tcPr>
            <w:tcW w:w="0" w:type="auto"/>
            <w:vAlign w:val="center"/>
          </w:tcPr>
          <w:p>
            <w:pPr>
              <w:pStyle w:val="104"/>
              <w:jc w:val="center"/>
              <w:rPr>
                <w:rFonts w:hint="default" w:ascii="Times New Roman" w:hAnsi="Times New Roman" w:eastAsia="宋体" w:cs="Times New Roman"/>
                <w:i/>
                <w:color w:val="auto"/>
                <w:highlight w:val="none"/>
              </w:rPr>
            </w:pPr>
            <w:r>
              <w:rPr>
                <w:rFonts w:hint="default" w:ascii="Times New Roman" w:hAnsi="Times New Roman" w:eastAsia="宋体" w:cs="Times New Roman"/>
                <w:i/>
                <w:iCs/>
                <w:color w:val="auto"/>
                <w:highlight w:val="none"/>
              </w:rPr>
              <w:t>Pinaceae.tabuliformis</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木本</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217295" cy="974090"/>
                  <wp:effectExtent l="0" t="0" r="1905" b="16510"/>
                  <wp:docPr id="14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0"/>
                          <pic:cNvPicPr>
                            <a:picLocks noChangeAspect="1"/>
                          </pic:cNvPicPr>
                        </pic:nvPicPr>
                        <pic:blipFill>
                          <a:blip r:embed="rId86"/>
                          <a:stretch>
                            <a:fillRect/>
                          </a:stretch>
                        </pic:blipFill>
                        <pic:spPr>
                          <a:xfrm>
                            <a:off x="0" y="0"/>
                            <a:ext cx="1217295" cy="974090"/>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1</w:t>
            </w:r>
            <w:r>
              <w:rPr>
                <w:rFonts w:hint="default" w:ascii="Times New Roman" w:hAnsi="Times New Roman" w:eastAsia="宋体" w:cs="Times New Roman"/>
                <w:color w:val="auto"/>
                <w:kern w:val="0"/>
                <w:highlight w:val="none"/>
                <w:lang w:val="en-US" w:eastAsia="zh-CN"/>
              </w:rPr>
              <w:t>0</w:t>
            </w:r>
            <w:r>
              <w:rPr>
                <w:rFonts w:hint="default" w:ascii="Times New Roman" w:hAnsi="Times New Roman" w:eastAsia="宋体" w:cs="Times New Roman"/>
                <w:color w:val="auto"/>
                <w:kern w:val="0"/>
                <w:highlight w:val="none"/>
              </w:rPr>
              <w:t>.刺槐</w:t>
            </w:r>
          </w:p>
        </w:tc>
        <w:tc>
          <w:tcPr>
            <w:tcW w:w="0" w:type="auto"/>
            <w:vAlign w:val="center"/>
          </w:tcPr>
          <w:p>
            <w:pPr>
              <w:pStyle w:val="104"/>
              <w:jc w:val="center"/>
              <w:rPr>
                <w:rFonts w:hint="default" w:ascii="Times New Roman" w:hAnsi="Times New Roman" w:eastAsia="宋体" w:cs="Times New Roman"/>
                <w:i/>
                <w:iCs/>
                <w:color w:val="auto"/>
                <w:highlight w:val="none"/>
              </w:rPr>
            </w:pPr>
            <w:r>
              <w:rPr>
                <w:rStyle w:val="92"/>
                <w:rFonts w:hint="default" w:ascii="Times New Roman" w:hAnsi="Times New Roman" w:eastAsia="宋体" w:cs="Times New Roman"/>
                <w:i/>
                <w:color w:val="auto"/>
                <w:szCs w:val="21"/>
                <w:highlight w:val="none"/>
              </w:rPr>
              <w:t>Robiniapseudoacacia</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木本</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232535" cy="951865"/>
                  <wp:effectExtent l="0" t="0" r="5715" b="635"/>
                  <wp:docPr id="14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1"/>
                          <pic:cNvPicPr>
                            <a:picLocks noChangeAspect="1"/>
                          </pic:cNvPicPr>
                        </pic:nvPicPr>
                        <pic:blipFill>
                          <a:blip r:embed="rId87"/>
                          <a:stretch>
                            <a:fillRect/>
                          </a:stretch>
                        </pic:blipFill>
                        <pic:spPr>
                          <a:xfrm>
                            <a:off x="0" y="0"/>
                            <a:ext cx="1232535" cy="95186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w:t>
            </w:r>
            <w:r>
              <w:rPr>
                <w:rFonts w:hint="default" w:ascii="Times New Roman" w:hAnsi="Times New Roman" w:eastAsia="宋体" w:cs="Times New Roman"/>
                <w:color w:val="auto"/>
                <w:kern w:val="0"/>
                <w:highlight w:val="none"/>
                <w:lang w:val="en-US" w:eastAsia="zh-CN"/>
              </w:rPr>
              <w:t>1</w:t>
            </w:r>
            <w:r>
              <w:rPr>
                <w:rFonts w:hint="default" w:ascii="Times New Roman" w:hAnsi="Times New Roman" w:eastAsia="宋体" w:cs="Times New Roman"/>
                <w:color w:val="auto"/>
                <w:kern w:val="0"/>
                <w:highlight w:val="none"/>
              </w:rPr>
              <w:t>.辽东栎</w:t>
            </w:r>
          </w:p>
        </w:tc>
        <w:tc>
          <w:tcPr>
            <w:tcW w:w="0" w:type="auto"/>
            <w:vAlign w:val="center"/>
          </w:tcPr>
          <w:p>
            <w:pPr>
              <w:pStyle w:val="104"/>
              <w:jc w:val="center"/>
              <w:rPr>
                <w:rFonts w:hint="default" w:ascii="Times New Roman" w:hAnsi="Times New Roman" w:eastAsia="宋体" w:cs="Times New Roman"/>
                <w:i/>
                <w:iCs/>
                <w:color w:val="auto"/>
                <w:kern w:val="0"/>
                <w:highlight w:val="none"/>
              </w:rPr>
            </w:pPr>
            <w:r>
              <w:rPr>
                <w:rFonts w:hint="default" w:ascii="Times New Roman" w:hAnsi="Times New Roman" w:eastAsia="宋体" w:cs="Times New Roman"/>
                <w:i/>
                <w:iCs/>
                <w:color w:val="auto"/>
                <w:kern w:val="0"/>
                <w:highlight w:val="none"/>
              </w:rPr>
              <w:t>QuercuswutaishanseaMary</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落叶乔木</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216025" cy="1097915"/>
                  <wp:effectExtent l="0" t="0" r="3175" b="6985"/>
                  <wp:docPr id="14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53"/>
                          <pic:cNvPicPr>
                            <a:picLocks noChangeAspect="1"/>
                          </pic:cNvPicPr>
                        </pic:nvPicPr>
                        <pic:blipFill>
                          <a:blip r:embed="rId88"/>
                          <a:stretch>
                            <a:fillRect/>
                          </a:stretch>
                        </pic:blipFill>
                        <pic:spPr>
                          <a:xfrm>
                            <a:off x="0" y="0"/>
                            <a:ext cx="1216025" cy="109791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1</w:t>
            </w:r>
            <w:r>
              <w:rPr>
                <w:rFonts w:hint="default" w:ascii="Times New Roman" w:hAnsi="Times New Roman" w:eastAsia="宋体" w:cs="Times New Roman"/>
                <w:color w:val="auto"/>
                <w:kern w:val="0"/>
                <w:highlight w:val="none"/>
                <w:lang w:val="en-US" w:eastAsia="zh-CN"/>
              </w:rPr>
              <w:t>2</w:t>
            </w:r>
            <w:r>
              <w:rPr>
                <w:rFonts w:hint="default" w:ascii="Times New Roman" w:hAnsi="Times New Roman" w:eastAsia="宋体" w:cs="Times New Roman"/>
                <w:color w:val="auto"/>
                <w:kern w:val="0"/>
                <w:highlight w:val="none"/>
              </w:rPr>
              <w:t>.蒙古栎</w:t>
            </w:r>
          </w:p>
        </w:tc>
        <w:tc>
          <w:tcPr>
            <w:tcW w:w="0" w:type="auto"/>
            <w:vAlign w:val="center"/>
          </w:tcPr>
          <w:p>
            <w:pPr>
              <w:pStyle w:val="104"/>
              <w:jc w:val="center"/>
              <w:rPr>
                <w:rStyle w:val="92"/>
                <w:rFonts w:hint="default" w:ascii="Times New Roman" w:hAnsi="Times New Roman" w:eastAsia="宋体" w:cs="Times New Roman"/>
                <w:i/>
                <w:color w:val="auto"/>
                <w:szCs w:val="21"/>
                <w:highlight w:val="none"/>
              </w:rPr>
            </w:pPr>
            <w:r>
              <w:rPr>
                <w:rStyle w:val="92"/>
                <w:rFonts w:hint="default" w:ascii="Times New Roman" w:hAnsi="Times New Roman" w:eastAsia="宋体" w:cs="Times New Roman"/>
                <w:i/>
                <w:color w:val="auto"/>
                <w:szCs w:val="21"/>
                <w:highlight w:val="none"/>
              </w:rPr>
              <w:t>Quecusmongolica</w:t>
            </w:r>
          </w:p>
        </w:tc>
        <w:tc>
          <w:tcPr>
            <w:tcW w:w="0" w:type="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落叶乔木</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329690" cy="1151255"/>
                  <wp:effectExtent l="0" t="0" r="3810" b="10795"/>
                  <wp:docPr id="14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2"/>
                          <pic:cNvPicPr>
                            <a:picLocks noChangeAspect="1"/>
                          </pic:cNvPicPr>
                        </pic:nvPicPr>
                        <pic:blipFill>
                          <a:blip r:embed="rId89"/>
                          <a:stretch>
                            <a:fillRect/>
                          </a:stretch>
                        </pic:blipFill>
                        <pic:spPr>
                          <a:xfrm>
                            <a:off x="0" y="0"/>
                            <a:ext cx="1329690" cy="115125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13.檞</w:t>
            </w:r>
            <w:r>
              <w:rPr>
                <w:rFonts w:hint="default" w:ascii="Times New Roman" w:hAnsi="Times New Roman" w:eastAsia="宋体" w:cs="Times New Roman"/>
                <w:color w:val="auto"/>
                <w:kern w:val="0"/>
                <w:highlight w:val="none"/>
              </w:rPr>
              <w:t>栎</w:t>
            </w:r>
          </w:p>
        </w:tc>
        <w:tc>
          <w:tcPr>
            <w:tcW w:w="0" w:type="auto"/>
            <w:vAlign w:val="center"/>
          </w:tcPr>
          <w:p>
            <w:pPr>
              <w:pStyle w:val="104"/>
              <w:jc w:val="center"/>
              <w:rPr>
                <w:rStyle w:val="92"/>
                <w:rFonts w:hint="default" w:ascii="Times New Roman" w:hAnsi="Times New Roman" w:eastAsia="宋体" w:cs="Times New Roman"/>
                <w:i/>
                <w:color w:val="auto"/>
                <w:szCs w:val="21"/>
                <w:highlight w:val="none"/>
              </w:rPr>
            </w:pPr>
            <w:r>
              <w:rPr>
                <w:rFonts w:hint="default" w:ascii="Times New Roman" w:hAnsi="Times New Roman" w:eastAsia="宋体" w:cs="Times New Roman"/>
                <w:i/>
                <w:color w:val="auto"/>
                <w:sz w:val="18"/>
                <w:szCs w:val="24"/>
                <w:highlight w:val="none"/>
              </w:rPr>
              <w:t>QuercusalienaBl.</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落叶乔木</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363345" cy="1470025"/>
                  <wp:effectExtent l="0" t="0" r="8255" b="15875"/>
                  <wp:docPr id="14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4"/>
                          <pic:cNvPicPr>
                            <a:picLocks noChangeAspect="1"/>
                          </pic:cNvPicPr>
                        </pic:nvPicPr>
                        <pic:blipFill>
                          <a:blip r:embed="rId90"/>
                          <a:stretch>
                            <a:fillRect/>
                          </a:stretch>
                        </pic:blipFill>
                        <pic:spPr>
                          <a:xfrm>
                            <a:off x="0" y="0"/>
                            <a:ext cx="1363345" cy="147002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0" w:type="auto"/>
            <w:vAlign w:val="center"/>
          </w:tcPr>
          <w:p>
            <w:pPr>
              <w:pStyle w:val="104"/>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14.麻</w:t>
            </w:r>
            <w:r>
              <w:rPr>
                <w:rFonts w:hint="default" w:ascii="Times New Roman" w:hAnsi="Times New Roman" w:eastAsia="宋体" w:cs="Times New Roman"/>
                <w:color w:val="auto"/>
                <w:kern w:val="0"/>
                <w:highlight w:val="none"/>
              </w:rPr>
              <w:t>栎</w:t>
            </w:r>
          </w:p>
        </w:tc>
        <w:tc>
          <w:tcPr>
            <w:tcW w:w="0" w:type="auto"/>
            <w:vAlign w:val="center"/>
          </w:tcPr>
          <w:p>
            <w:pPr>
              <w:spacing w:beforeLines="0" w:afterLines="0"/>
              <w:jc w:val="left"/>
              <w:rPr>
                <w:rStyle w:val="92"/>
                <w:rFonts w:hint="default" w:ascii="Times New Roman" w:hAnsi="Times New Roman" w:eastAsia="宋体" w:cs="Times New Roman"/>
                <w:i/>
                <w:color w:val="auto"/>
                <w:szCs w:val="21"/>
                <w:highlight w:val="none"/>
              </w:rPr>
            </w:pPr>
            <w:r>
              <w:rPr>
                <w:rFonts w:hint="default" w:ascii="Times New Roman" w:hAnsi="Times New Roman" w:eastAsia="宋体" w:cs="Times New Roman"/>
                <w:i/>
                <w:color w:val="auto"/>
                <w:sz w:val="18"/>
                <w:szCs w:val="24"/>
                <w:highlight w:val="none"/>
              </w:rPr>
              <w:t>QuercusacutissimaCarruth.</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落叶乔木</w:t>
            </w:r>
          </w:p>
        </w:tc>
        <w:tc>
          <w:tcPr>
            <w:tcW w:w="0" w:type="auto"/>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400175" cy="1500505"/>
                  <wp:effectExtent l="0" t="0" r="9525" b="4445"/>
                  <wp:docPr id="14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5"/>
                          <pic:cNvPicPr>
                            <a:picLocks noChangeAspect="1"/>
                          </pic:cNvPicPr>
                        </pic:nvPicPr>
                        <pic:blipFill>
                          <a:blip r:embed="rId91"/>
                          <a:stretch>
                            <a:fillRect/>
                          </a:stretch>
                        </pic:blipFill>
                        <pic:spPr>
                          <a:xfrm>
                            <a:off x="0" y="0"/>
                            <a:ext cx="1400175" cy="1500505"/>
                          </a:xfrm>
                          <a:prstGeom prst="rect">
                            <a:avLst/>
                          </a:prstGeom>
                          <a:noFill/>
                          <a:ln>
                            <a:noFill/>
                          </a:ln>
                        </pic:spPr>
                      </pic:pic>
                    </a:graphicData>
                  </a:graphic>
                </wp:inline>
              </w:drawing>
            </w:r>
          </w:p>
        </w:tc>
      </w:tr>
    </w:tbl>
    <w:p>
      <w:pPr>
        <w:rPr>
          <w:rFonts w:hint="default" w:ascii="Times New Roman" w:hAnsi="Times New Roman" w:eastAsia="宋体" w:cs="Times New Roman"/>
          <w:color w:val="auto"/>
          <w:sz w:val="24"/>
          <w:szCs w:val="24"/>
          <w:highlight w:val="none"/>
        </w:rPr>
      </w:pPr>
    </w:p>
    <w:p>
      <w:pPr>
        <w:pStyle w:val="37"/>
        <w:rPr>
          <w:rFonts w:hint="default" w:ascii="Times New Roman" w:hAnsi="Times New Roman" w:eastAsia="宋体" w:cs="Times New Roman"/>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spacing w:line="240" w:lineRule="auto"/>
        <w:ind w:left="0" w:leftChars="0" w:right="0" w:firstLine="0" w:firstLineChars="0"/>
        <w:jc w:val="both"/>
        <w:rPr>
          <w:rFonts w:hint="default" w:ascii="Times New Roman" w:hAnsi="Times New Roman" w:eastAsia="宋体" w:cs="Times New Roman"/>
          <w:color w:val="auto"/>
          <w:sz w:val="20"/>
          <w:szCs w:val="20"/>
          <w:highlight w:val="none"/>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39136" behindDoc="0" locked="0" layoutInCell="1" allowOverlap="1">
                <wp:simplePos x="0" y="0"/>
                <wp:positionH relativeFrom="column">
                  <wp:posOffset>5618480</wp:posOffset>
                </wp:positionH>
                <wp:positionV relativeFrom="paragraph">
                  <wp:posOffset>107315</wp:posOffset>
                </wp:positionV>
                <wp:extent cx="3275965" cy="3288665"/>
                <wp:effectExtent l="2018030" t="6350" r="20955" b="38735"/>
                <wp:wrapNone/>
                <wp:docPr id="285" name="矩形标注 285"/>
                <wp:cNvGraphicFramePr/>
                <a:graphic xmlns:a="http://schemas.openxmlformats.org/drawingml/2006/main">
                  <a:graphicData uri="http://schemas.microsoft.com/office/word/2010/wordprocessingShape">
                    <wps:wsp>
                      <wps:cNvSpPr/>
                      <wps:spPr>
                        <a:xfrm>
                          <a:off x="0" y="0"/>
                          <a:ext cx="3275965" cy="3288665"/>
                        </a:xfrm>
                        <a:prstGeom prst="wedgeRectCallout">
                          <a:avLst>
                            <a:gd name="adj1" fmla="val -110534"/>
                            <a:gd name="adj2" fmla="val 5063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42.4pt;margin-top:8.45pt;height:258.95pt;width:257.95pt;z-index:251739136;v-text-anchor:middle;mso-width-relative:page;mso-height-relative:page;" filled="f" stroked="t" coordsize="21600,21600" o:gfxdata="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6Fwjv2gAAAAsBAAAPAAAAAAAA&#10;AAEAIAAAACIAAABkcnMvZG93bnJldi54bWxQSwECFAAUAAAACACHTuJA7y3d4rsCAABhBQAADgAA&#10;AAAAAAABACAAAAApAQAAZHJzL2Uyb0RvYy54bWxQSwUGAAAAAAYABgBZAQAAVgYAAAAA&#10;" adj="-13075,21738">
                <v:fill on="f" focussize="0,0"/>
                <v:stroke weight="1pt" color="#41719C [3204]" miterlimit="8" joinstyle="miter"/>
                <v:imagedata o:title=""/>
                <o:lock v:ext="edit" aspectratio="f"/>
                <v:textbox>
                  <w:txbxContent>
                    <w:p>
                      <w:pPr>
                        <w:jc w:val="center"/>
                      </w:pPr>
                    </w:p>
                  </w:txbxContent>
                </v:textbox>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738112" behindDoc="0" locked="0" layoutInCell="1" allowOverlap="1">
            <wp:simplePos x="0" y="0"/>
            <wp:positionH relativeFrom="column">
              <wp:posOffset>5638800</wp:posOffset>
            </wp:positionH>
            <wp:positionV relativeFrom="paragraph">
              <wp:posOffset>88900</wp:posOffset>
            </wp:positionV>
            <wp:extent cx="3232785" cy="3301365"/>
            <wp:effectExtent l="0" t="0" r="5715" b="13335"/>
            <wp:wrapNone/>
            <wp:docPr id="28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42"/>
                    <pic:cNvPicPr>
                      <a:picLocks noChangeAspect="1"/>
                    </pic:cNvPicPr>
                  </pic:nvPicPr>
                  <pic:blipFill>
                    <a:blip r:embed="rId92"/>
                    <a:stretch>
                      <a:fillRect/>
                    </a:stretch>
                  </pic:blipFill>
                  <pic:spPr>
                    <a:xfrm>
                      <a:off x="0" y="0"/>
                      <a:ext cx="3232785" cy="3301365"/>
                    </a:xfrm>
                    <a:prstGeom prst="rect">
                      <a:avLst/>
                    </a:prstGeom>
                    <a:noFill/>
                    <a:ln>
                      <a:noFill/>
                    </a:ln>
                  </pic:spPr>
                </pic:pic>
              </a:graphicData>
            </a:graphic>
          </wp:anchor>
        </w:drawing>
      </w:r>
      <w:r>
        <w:rPr>
          <w:rFonts w:hint="default" w:ascii="Times New Roman" w:hAnsi="Times New Roman" w:eastAsia="宋体" w:cs="Times New Roman"/>
          <w:color w:val="auto"/>
          <w:sz w:val="20"/>
          <w:szCs w:val="20"/>
          <w:highlight w:val="none"/>
        </w:rPr>
        <w:drawing>
          <wp:inline distT="0" distB="0" distL="0" distR="0">
            <wp:extent cx="6269355" cy="5207635"/>
            <wp:effectExtent l="0" t="0" r="17145" b="12065"/>
            <wp:docPr id="28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43.jpeg"/>
                    <pic:cNvPicPr>
                      <a:picLocks noChangeAspect="1"/>
                    </pic:cNvPicPr>
                  </pic:nvPicPr>
                  <pic:blipFill>
                    <a:blip r:embed="rId93" cstate="print"/>
                    <a:stretch>
                      <a:fillRect/>
                    </a:stretch>
                  </pic:blipFill>
                  <pic:spPr>
                    <a:xfrm>
                      <a:off x="0" y="0"/>
                      <a:ext cx="6269355" cy="5207635"/>
                    </a:xfrm>
                    <a:prstGeom prst="rect">
                      <a:avLst/>
                    </a:prstGeom>
                  </pic:spPr>
                </pic:pic>
              </a:graphicData>
            </a:graphic>
          </wp:inline>
        </w:drawing>
      </w:r>
    </w:p>
    <w:p>
      <w:pPr>
        <w:spacing w:before="1" w:line="240" w:lineRule="auto"/>
        <w:ind w:right="0"/>
        <w:rPr>
          <w:rFonts w:hint="default" w:ascii="Times New Roman" w:hAnsi="Times New Roman" w:eastAsia="宋体" w:cs="Times New Roman"/>
          <w:color w:val="auto"/>
          <w:sz w:val="6"/>
          <w:szCs w:val="6"/>
          <w:highlight w:val="none"/>
        </w:rPr>
      </w:pPr>
    </w:p>
    <w:p>
      <w:pPr>
        <w:spacing w:before="34"/>
        <w:ind w:left="6" w:right="0" w:firstLine="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图</w:t>
      </w:r>
      <w:r>
        <w:rPr>
          <w:rFonts w:hint="default" w:ascii="Times New Roman" w:hAnsi="Times New Roman" w:eastAsia="宋体" w:cs="Times New Roman"/>
          <w:b/>
          <w:bCs/>
          <w:color w:val="auto"/>
          <w:sz w:val="21"/>
          <w:szCs w:val="21"/>
          <w:highlight w:val="none"/>
          <w:lang w:val="en-US" w:eastAsia="zh-CN"/>
        </w:rPr>
        <w:t>5.1-3</w:t>
      </w:r>
      <w:r>
        <w:rPr>
          <w:rFonts w:hint="default" w:ascii="Times New Roman" w:hAnsi="Times New Roman" w:eastAsia="宋体" w:cs="Times New Roman"/>
          <w:b/>
          <w:bCs/>
          <w:color w:val="auto"/>
          <w:sz w:val="21"/>
          <w:szCs w:val="21"/>
          <w:highlight w:val="none"/>
        </w:rPr>
        <w:t>区域植被区划图</w:t>
      </w:r>
    </w:p>
    <w:p>
      <w:pPr>
        <w:spacing w:before="34"/>
        <w:ind w:left="0" w:leftChars="0" w:right="0" w:firstLine="0" w:firstLineChars="0"/>
        <w:jc w:val="both"/>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737088" behindDoc="0" locked="0" layoutInCell="1" allowOverlap="1">
                <wp:simplePos x="0" y="0"/>
                <wp:positionH relativeFrom="column">
                  <wp:posOffset>5787390</wp:posOffset>
                </wp:positionH>
                <wp:positionV relativeFrom="paragraph">
                  <wp:posOffset>12700</wp:posOffset>
                </wp:positionV>
                <wp:extent cx="3138170" cy="3034030"/>
                <wp:effectExtent l="2089150" t="6350" r="11430" b="331470"/>
                <wp:wrapNone/>
                <wp:docPr id="288" name="矩形标注 288"/>
                <wp:cNvGraphicFramePr/>
                <a:graphic xmlns:a="http://schemas.openxmlformats.org/drawingml/2006/main">
                  <a:graphicData uri="http://schemas.microsoft.com/office/word/2010/wordprocessingShape">
                    <wps:wsp>
                      <wps:cNvSpPr/>
                      <wps:spPr>
                        <a:xfrm>
                          <a:off x="4582795" y="2608580"/>
                          <a:ext cx="3138170" cy="3034030"/>
                        </a:xfrm>
                        <a:prstGeom prst="wedgeRectCallout">
                          <a:avLst>
                            <a:gd name="adj1" fmla="val -115306"/>
                            <a:gd name="adj2" fmla="val 5960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5.7pt;margin-top:1pt;height:238.9pt;width:247.1pt;z-index:251737088;v-text-anchor:middle;mso-width-relative:page;mso-height-relative:page;" filled="f" stroked="t" coordsize="21600,21600" o:gfxdata="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MSKUMbaAAAA&#10;CgEAAA8AAAAAAAAAAQAgAAAAIgAAAGRycy9kb3ducmV2LnhtbFBLAQIUABQAAAAIAIdO4kDnKq/W&#10;xgIAAG0FAAAOAAAAAAAAAAEAIAAAACkBAABkcnMvZTJvRG9jLnhtbFBLBQYAAAAABgAGAFkBAABh&#10;BgAAAAA=&#10;" adj="-14106,23675">
                <v:fill on="f" focussize="0,0"/>
                <v:stroke weight="1pt" color="#41719C [3204]" miterlimit="8" joinstyle="miter"/>
                <v:imagedata o:title=""/>
                <o:lock v:ext="edit" aspectratio="f"/>
                <v:textbox>
                  <w:txbxContent>
                    <w:p>
                      <w:pPr>
                        <w:jc w:val="center"/>
                      </w:pPr>
                    </w:p>
                  </w:txbxContent>
                </v:textbox>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736064" behindDoc="0" locked="0" layoutInCell="1" allowOverlap="1">
            <wp:simplePos x="0" y="0"/>
            <wp:positionH relativeFrom="column">
              <wp:posOffset>5796915</wp:posOffset>
            </wp:positionH>
            <wp:positionV relativeFrom="paragraph">
              <wp:posOffset>22860</wp:posOffset>
            </wp:positionV>
            <wp:extent cx="3134360" cy="3032125"/>
            <wp:effectExtent l="0" t="0" r="8890" b="15875"/>
            <wp:wrapNone/>
            <wp:docPr id="28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40"/>
                    <pic:cNvPicPr>
                      <a:picLocks noChangeAspect="1"/>
                    </pic:cNvPicPr>
                  </pic:nvPicPr>
                  <pic:blipFill>
                    <a:blip r:embed="rId94"/>
                    <a:stretch>
                      <a:fillRect/>
                    </a:stretch>
                  </pic:blipFill>
                  <pic:spPr>
                    <a:xfrm>
                      <a:off x="0" y="0"/>
                      <a:ext cx="3134360" cy="3032125"/>
                    </a:xfrm>
                    <a:prstGeom prst="rect">
                      <a:avLst/>
                    </a:prstGeom>
                    <a:noFill/>
                    <a:ln>
                      <a:noFill/>
                    </a:ln>
                  </pic:spPr>
                </pic:pic>
              </a:graphicData>
            </a:graphic>
          </wp:anchor>
        </w:drawing>
      </w:r>
      <w:r>
        <w:rPr>
          <w:rFonts w:hint="default" w:ascii="Times New Roman" w:hAnsi="Times New Roman" w:eastAsia="宋体" w:cs="Times New Roman"/>
          <w:b w:val="0"/>
          <w:bCs w:val="0"/>
          <w:color w:val="auto"/>
          <w:sz w:val="21"/>
          <w:szCs w:val="21"/>
          <w:highlight w:val="none"/>
          <w:lang w:eastAsia="zh-CN"/>
        </w:rPr>
        <w:drawing>
          <wp:inline distT="0" distB="0" distL="114300" distR="114300">
            <wp:extent cx="6348095" cy="5409565"/>
            <wp:effectExtent l="0" t="0" r="14605" b="635"/>
            <wp:docPr id="290" name="图片 290" descr="辽宁省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辽宁省植被类型图"/>
                    <pic:cNvPicPr>
                      <a:picLocks noChangeAspect="1"/>
                    </pic:cNvPicPr>
                  </pic:nvPicPr>
                  <pic:blipFill>
                    <a:blip r:embed="rId95"/>
                    <a:srcRect l="12706" t="5013" r="14029" b="6684"/>
                    <a:stretch>
                      <a:fillRect/>
                    </a:stretch>
                  </pic:blipFill>
                  <pic:spPr>
                    <a:xfrm>
                      <a:off x="0" y="0"/>
                      <a:ext cx="6348095" cy="5409565"/>
                    </a:xfrm>
                    <a:prstGeom prst="rect">
                      <a:avLst/>
                    </a:prstGeom>
                  </pic:spPr>
                </pic:pic>
              </a:graphicData>
            </a:graphic>
          </wp:inline>
        </w:drawing>
      </w:r>
    </w:p>
    <w:p>
      <w:pPr>
        <w:jc w:val="center"/>
        <w:rPr>
          <w:rFonts w:hint="default" w:ascii="Times New Roman" w:hAnsi="Times New Roman" w:eastAsia="宋体" w:cs="Times New Roman"/>
          <w:color w:val="auto"/>
          <w:highlight w:val="none"/>
        </w:rPr>
        <w:sectPr>
          <w:pgSz w:w="16838" w:h="11906"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bCs/>
          <w:color w:val="auto"/>
          <w:sz w:val="21"/>
          <w:szCs w:val="21"/>
          <w:highlight w:val="none"/>
        </w:rPr>
        <w:t>图</w:t>
      </w:r>
      <w:r>
        <w:rPr>
          <w:rFonts w:hint="default" w:ascii="Times New Roman" w:hAnsi="Times New Roman" w:eastAsia="宋体" w:cs="Times New Roman"/>
          <w:b/>
          <w:bCs/>
          <w:color w:val="auto"/>
          <w:sz w:val="21"/>
          <w:szCs w:val="21"/>
          <w:highlight w:val="none"/>
          <w:lang w:val="en-US" w:eastAsia="zh-CN"/>
        </w:rPr>
        <w:t>5.1-4</w:t>
      </w:r>
      <w:r>
        <w:rPr>
          <w:rFonts w:hint="default" w:ascii="Times New Roman" w:hAnsi="Times New Roman" w:eastAsia="宋体" w:cs="Times New Roman"/>
          <w:b/>
          <w:bCs/>
          <w:color w:val="auto"/>
          <w:sz w:val="21"/>
          <w:szCs w:val="21"/>
          <w:highlight w:val="none"/>
        </w:rPr>
        <w:t>区域植被</w:t>
      </w:r>
      <w:r>
        <w:rPr>
          <w:rFonts w:hint="default" w:ascii="Times New Roman" w:hAnsi="Times New Roman" w:eastAsia="宋体" w:cs="Times New Roman"/>
          <w:b/>
          <w:bCs/>
          <w:color w:val="auto"/>
          <w:sz w:val="21"/>
          <w:szCs w:val="21"/>
          <w:highlight w:val="none"/>
          <w:lang w:val="en-US" w:eastAsia="zh-CN"/>
        </w:rPr>
        <w:t>类型</w:t>
      </w:r>
      <w:r>
        <w:rPr>
          <w:rFonts w:hint="default" w:ascii="Times New Roman" w:hAnsi="Times New Roman" w:eastAsia="宋体" w:cs="Times New Roman"/>
          <w:b/>
          <w:bCs/>
          <w:color w:val="auto"/>
          <w:sz w:val="21"/>
          <w:szCs w:val="21"/>
          <w:highlight w:val="none"/>
        </w:rPr>
        <w:t>图</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（2）样方调查</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本次环评于202</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月对评价区内植被进行样方调查，针对区域植被特点，草本植物设置1m×1m的样方</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个，高大乔木设置10m×10m的样方</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个。现场调查中记录数据主要有：各个样方的坐标，海拔高度，水文条件，样方内及周围植物种名称、优势植物、平均高度等信息。</w:t>
      </w:r>
    </w:p>
    <w:p>
      <w:pPr>
        <w:pStyle w:val="96"/>
        <w:keepNext w:val="0"/>
        <w:keepLines w:val="0"/>
        <w:pageBreakBefore w:val="0"/>
        <w:widowControl w:val="0"/>
        <w:kinsoku w:val="0"/>
        <w:wordWrap/>
        <w:overflowPunct w:val="0"/>
        <w:topLinePunct w:val="0"/>
        <w:autoSpaceDE/>
        <w:autoSpaceDN/>
        <w:bidi w:val="0"/>
        <w:adjustRightInd w:val="0"/>
        <w:snapToGrid w:val="0"/>
        <w:spacing w:before="120" w:beforeLines="0" w:afterLines="0" w:line="240" w:lineRule="atLeast"/>
        <w:ind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表5.1-3  1#样方调查登记表</w:t>
      </w:r>
    </w:p>
    <w:tbl>
      <w:tblPr>
        <w:tblStyle w:val="45"/>
        <w:tblW w:w="499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133"/>
        <w:gridCol w:w="1447"/>
        <w:gridCol w:w="1134"/>
        <w:gridCol w:w="2295"/>
        <w:gridCol w:w="1134"/>
        <w:gridCol w:w="213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位置</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矿区</w:t>
            </w:r>
            <w:r>
              <w:rPr>
                <w:rFonts w:hint="default" w:ascii="Times New Roman" w:hAnsi="Times New Roman" w:eastAsia="宋体" w:cs="Times New Roman"/>
                <w:color w:val="auto"/>
                <w:sz w:val="21"/>
                <w:szCs w:val="21"/>
                <w:highlight w:val="none"/>
                <w:lang w:val="en-US" w:eastAsia="zh-CN"/>
              </w:rPr>
              <w:t>南侧</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样方号</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时间</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2022.7.04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样方面积</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1m×1m</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123.370941300</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40.449231510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海拔高度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445</w:t>
            </w:r>
            <w:r>
              <w:rPr>
                <w:rFonts w:hint="default" w:ascii="Times New Roman" w:hAnsi="Times New Roman" w:eastAsia="宋体" w:cs="Times New Roman"/>
                <w:color w:val="auto"/>
                <w:sz w:val="21"/>
                <w:szCs w:val="21"/>
                <w:highlight w:val="none"/>
              </w:rPr>
              <w:t>m</w:t>
            </w:r>
          </w:p>
        </w:tc>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水文条件</w:t>
            </w:r>
          </w:p>
        </w:tc>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大气降水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主要植物</w:t>
            </w:r>
          </w:p>
        </w:tc>
        <w:tc>
          <w:tcPr>
            <w:tcW w:w="0" w:type="auto"/>
            <w:gridSpan w:val="5"/>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白羊草、糙隐子草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群落盖度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平均高度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cm</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珍稀植物</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优势植物</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白羊草</w:t>
            </w:r>
          </w:p>
        </w:tc>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样方外植物</w:t>
            </w:r>
          </w:p>
        </w:tc>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白羊草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植物长势</w:t>
            </w:r>
          </w:p>
        </w:tc>
        <w:tc>
          <w:tcPr>
            <w:tcW w:w="0" w:type="auto"/>
            <w:gridSpan w:val="4"/>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gridSpan w:val="6"/>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highlight w:val="none"/>
              </w:rPr>
              <w:drawing>
                <wp:inline distT="0" distB="0" distL="114300" distR="114300">
                  <wp:extent cx="5305425" cy="4124325"/>
                  <wp:effectExtent l="0" t="0" r="9525" b="9525"/>
                  <wp:docPr id="32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44"/>
                          <pic:cNvPicPr>
                            <a:picLocks noChangeAspect="1"/>
                          </pic:cNvPicPr>
                        </pic:nvPicPr>
                        <pic:blipFill>
                          <a:blip r:embed="rId96"/>
                          <a:stretch>
                            <a:fillRect/>
                          </a:stretch>
                        </pic:blipFill>
                        <pic:spPr>
                          <a:xfrm>
                            <a:off x="0" y="0"/>
                            <a:ext cx="5305425" cy="4124325"/>
                          </a:xfrm>
                          <a:prstGeom prst="rect">
                            <a:avLst/>
                          </a:prstGeom>
                          <a:noFill/>
                          <a:ln>
                            <a:noFill/>
                          </a:ln>
                        </pic:spPr>
                      </pic:pic>
                    </a:graphicData>
                  </a:graphic>
                </wp:inline>
              </w:drawing>
            </w:r>
          </w:p>
        </w:tc>
      </w:tr>
    </w:tbl>
    <w:p>
      <w:pPr>
        <w:spacing w:beforeLines="0" w:afterLines="0"/>
        <w:jc w:val="left"/>
        <w:rPr>
          <w:rFonts w:hint="default" w:ascii="Times New Roman" w:hAnsi="Times New Roman" w:eastAsia="宋体" w:cs="Times New Roman"/>
          <w:color w:val="auto"/>
          <w:sz w:val="24"/>
          <w:szCs w:val="24"/>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pStyle w:val="96"/>
        <w:keepNext w:val="0"/>
        <w:keepLines w:val="0"/>
        <w:pageBreakBefore w:val="0"/>
        <w:widowControl w:val="0"/>
        <w:kinsoku w:val="0"/>
        <w:wordWrap/>
        <w:overflowPunct w:val="0"/>
        <w:topLinePunct w:val="0"/>
        <w:autoSpaceDE/>
        <w:autoSpaceDN/>
        <w:bidi w:val="0"/>
        <w:adjustRightInd w:val="0"/>
        <w:snapToGrid w:val="0"/>
        <w:spacing w:before="120" w:beforeLines="0" w:afterLines="0" w:line="240" w:lineRule="atLeast"/>
        <w:ind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表5.1-</w:t>
      </w:r>
      <w:r>
        <w:rPr>
          <w:rFonts w:hint="eastAsia" w:ascii="Times New Roman" w:hAnsi="Times New Roman" w:eastAsia="宋体" w:cs="Times New Roman"/>
          <w:b/>
          <w:color w:val="auto"/>
          <w:kern w:val="2"/>
          <w:sz w:val="21"/>
          <w:szCs w:val="21"/>
          <w:highlight w:val="none"/>
          <w:lang w:val="en-US" w:eastAsia="zh-CN" w:bidi="ar-SA"/>
        </w:rPr>
        <w:t>4</w:t>
      </w:r>
      <w:r>
        <w:rPr>
          <w:rFonts w:hint="default" w:ascii="Times New Roman" w:hAnsi="Times New Roman" w:eastAsia="宋体" w:cs="Times New Roman"/>
          <w:b/>
          <w:color w:val="auto"/>
          <w:kern w:val="2"/>
          <w:sz w:val="21"/>
          <w:szCs w:val="21"/>
          <w:highlight w:val="none"/>
          <w:lang w:val="en-US" w:eastAsia="zh-CN" w:bidi="ar-SA"/>
        </w:rPr>
        <w:t xml:space="preserve">  1#样方调查登记表</w:t>
      </w:r>
    </w:p>
    <w:tbl>
      <w:tblPr>
        <w:tblStyle w:val="45"/>
        <w:tblW w:w="499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66"/>
        <w:gridCol w:w="1347"/>
        <w:gridCol w:w="1067"/>
        <w:gridCol w:w="2440"/>
        <w:gridCol w:w="1067"/>
        <w:gridCol w:w="22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位置</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矿区</w:t>
            </w:r>
            <w:r>
              <w:rPr>
                <w:rFonts w:hint="default" w:ascii="Times New Roman" w:hAnsi="Times New Roman" w:eastAsia="宋体" w:cs="Times New Roman"/>
                <w:color w:val="auto"/>
                <w:sz w:val="21"/>
                <w:szCs w:val="21"/>
                <w:highlight w:val="none"/>
                <w:lang w:val="en-US" w:eastAsia="zh-CN"/>
              </w:rPr>
              <w:t>南侧</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样方号</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时间</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2022.7.04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样方面积</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1m×1m</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123°22′12.42873″</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40°26′54.64078″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海拔高度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381</w:t>
            </w:r>
            <w:r>
              <w:rPr>
                <w:rFonts w:hint="default" w:ascii="Times New Roman" w:hAnsi="Times New Roman" w:eastAsia="宋体" w:cs="Times New Roman"/>
                <w:color w:val="auto"/>
                <w:sz w:val="21"/>
                <w:szCs w:val="21"/>
                <w:highlight w:val="none"/>
              </w:rPr>
              <w:t>m</w:t>
            </w:r>
          </w:p>
        </w:tc>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水文条件</w:t>
            </w:r>
          </w:p>
        </w:tc>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大气降水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主要植物</w:t>
            </w:r>
          </w:p>
        </w:tc>
        <w:tc>
          <w:tcPr>
            <w:tcW w:w="0" w:type="auto"/>
            <w:gridSpan w:val="5"/>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白羊草、糙隐子草</w:t>
            </w:r>
            <w:r>
              <w:rPr>
                <w:rFonts w:hint="eastAsia" w:ascii="Times New Roman" w:hAnsi="Times New Roman" w:eastAsia="宋体" w:cs="Times New Roman"/>
                <w:color w:val="auto"/>
                <w:sz w:val="21"/>
                <w:szCs w:val="21"/>
                <w:highlight w:val="none"/>
                <w:lang w:eastAsia="zh-CN"/>
              </w:rPr>
              <w:t>、拂子茅</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群落盖度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0％</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平均高度</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cm</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珍稀植物</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优势植物</w:t>
            </w:r>
          </w:p>
        </w:tc>
        <w:tc>
          <w:tcPr>
            <w:tcW w:w="0" w:type="auto"/>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白羊草</w:t>
            </w:r>
          </w:p>
        </w:tc>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样方外植物</w:t>
            </w:r>
          </w:p>
        </w:tc>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白羊草</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植物长势</w:t>
            </w:r>
          </w:p>
        </w:tc>
        <w:tc>
          <w:tcPr>
            <w:tcW w:w="0" w:type="auto"/>
            <w:gridSpan w:val="4"/>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0" w:type="auto"/>
            <w:gridSpan w:val="6"/>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rPr>
              <w:drawing>
                <wp:inline distT="0" distB="0" distL="114300" distR="114300">
                  <wp:extent cx="5633720" cy="4805045"/>
                  <wp:effectExtent l="0" t="0" r="5080" b="14605"/>
                  <wp:docPr id="29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57"/>
                          <pic:cNvPicPr>
                            <a:picLocks noChangeAspect="1"/>
                          </pic:cNvPicPr>
                        </pic:nvPicPr>
                        <pic:blipFill>
                          <a:blip r:embed="rId97"/>
                          <a:stretch>
                            <a:fillRect/>
                          </a:stretch>
                        </pic:blipFill>
                        <pic:spPr>
                          <a:xfrm>
                            <a:off x="0" y="0"/>
                            <a:ext cx="5633720" cy="4805045"/>
                          </a:xfrm>
                          <a:prstGeom prst="rect">
                            <a:avLst/>
                          </a:prstGeom>
                          <a:noFill/>
                          <a:ln>
                            <a:noFill/>
                          </a:ln>
                        </pic:spPr>
                      </pic:pic>
                    </a:graphicData>
                  </a:graphic>
                </wp:inline>
              </w:drawing>
            </w:r>
          </w:p>
        </w:tc>
      </w:tr>
    </w:tbl>
    <w:p>
      <w:pPr>
        <w:pStyle w:val="96"/>
        <w:keepNext w:val="0"/>
        <w:keepLines w:val="0"/>
        <w:pageBreakBefore w:val="0"/>
        <w:widowControl w:val="0"/>
        <w:kinsoku w:val="0"/>
        <w:wordWrap/>
        <w:overflowPunct w:val="0"/>
        <w:topLinePunct w:val="0"/>
        <w:autoSpaceDE/>
        <w:autoSpaceDN/>
        <w:bidi w:val="0"/>
        <w:adjustRightInd w:val="0"/>
        <w:snapToGrid w:val="0"/>
        <w:spacing w:before="120" w:beforeLines="0" w:afterLines="0" w:line="240" w:lineRule="atLeast"/>
        <w:ind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pStyle w:val="96"/>
        <w:keepNext w:val="0"/>
        <w:keepLines w:val="0"/>
        <w:pageBreakBefore w:val="0"/>
        <w:widowControl w:val="0"/>
        <w:kinsoku w:val="0"/>
        <w:wordWrap/>
        <w:overflowPunct w:val="0"/>
        <w:topLinePunct w:val="0"/>
        <w:autoSpaceDE/>
        <w:autoSpaceDN/>
        <w:bidi w:val="0"/>
        <w:adjustRightInd w:val="0"/>
        <w:snapToGrid w:val="0"/>
        <w:spacing w:before="120" w:beforeLines="0" w:afterLines="0" w:line="240" w:lineRule="atLeast"/>
        <w:ind w:firstLine="0" w:firstLineChars="0"/>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表5.1-</w:t>
      </w:r>
      <w:r>
        <w:rPr>
          <w:rFonts w:hint="eastAsia" w:ascii="Times New Roman" w:hAnsi="Times New Roman" w:eastAsia="宋体" w:cs="Times New Roman"/>
          <w:b/>
          <w:color w:val="auto"/>
          <w:kern w:val="2"/>
          <w:sz w:val="21"/>
          <w:szCs w:val="21"/>
          <w:highlight w:val="none"/>
          <w:lang w:val="en-US" w:eastAsia="zh-CN" w:bidi="ar-SA"/>
        </w:rPr>
        <w:t>5</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ascii="Times New Roman" w:hAnsi="Times New Roman" w:eastAsia="宋体" w:cs="Times New Roman"/>
          <w:b/>
          <w:color w:val="auto"/>
          <w:kern w:val="2"/>
          <w:sz w:val="21"/>
          <w:szCs w:val="21"/>
          <w:highlight w:val="none"/>
          <w:lang w:val="en-US" w:eastAsia="zh-CN" w:bidi="ar-SA"/>
        </w:rPr>
        <w:t>3</w:t>
      </w:r>
      <w:r>
        <w:rPr>
          <w:rFonts w:hint="default" w:ascii="Times New Roman" w:hAnsi="Times New Roman" w:eastAsia="宋体" w:cs="Times New Roman"/>
          <w:b/>
          <w:color w:val="auto"/>
          <w:kern w:val="2"/>
          <w:sz w:val="21"/>
          <w:szCs w:val="21"/>
          <w:highlight w:val="none"/>
          <w:lang w:val="en-US" w:eastAsia="zh-CN" w:bidi="ar-SA"/>
        </w:rPr>
        <w:t xml:space="preserve">#样方调查登记表  </w:t>
      </w:r>
    </w:p>
    <w:tbl>
      <w:tblPr>
        <w:tblStyle w:val="45"/>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67"/>
        <w:gridCol w:w="1215"/>
        <w:gridCol w:w="1275"/>
        <w:gridCol w:w="2106"/>
        <w:gridCol w:w="1273"/>
        <w:gridCol w:w="198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9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位置</w:t>
            </w:r>
          </w:p>
        </w:tc>
        <w:tc>
          <w:tcPr>
            <w:tcW w:w="666"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矿区</w:t>
            </w:r>
            <w:r>
              <w:rPr>
                <w:rFonts w:hint="default" w:ascii="Times New Roman" w:hAnsi="Times New Roman" w:eastAsia="宋体" w:cs="Times New Roman"/>
                <w:color w:val="auto"/>
                <w:sz w:val="21"/>
                <w:szCs w:val="21"/>
                <w:highlight w:val="none"/>
                <w:lang w:val="en-US" w:eastAsia="zh-CN"/>
              </w:rPr>
              <w:t>南侧</w:t>
            </w:r>
          </w:p>
        </w:tc>
        <w:tc>
          <w:tcPr>
            <w:tcW w:w="1275"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样方号</w:t>
            </w:r>
          </w:p>
        </w:tc>
        <w:tc>
          <w:tcPr>
            <w:tcW w:w="210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w:t>
            </w:r>
          </w:p>
        </w:tc>
        <w:tc>
          <w:tcPr>
            <w:tcW w:w="127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时间</w:t>
            </w:r>
          </w:p>
        </w:tc>
        <w:tc>
          <w:tcPr>
            <w:tcW w:w="1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2022.7.04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5" w:hRule="atLeast"/>
          <w:jc w:val="center"/>
        </w:trPr>
        <w:tc>
          <w:tcPr>
            <w:tcW w:w="69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样方面积</w:t>
            </w:r>
          </w:p>
        </w:tc>
        <w:tc>
          <w:tcPr>
            <w:tcW w:w="666"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m</w:t>
            </w:r>
          </w:p>
        </w:tc>
        <w:tc>
          <w:tcPr>
            <w:tcW w:w="1275"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210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123°22′15.51863″</w:t>
            </w:r>
          </w:p>
        </w:tc>
        <w:tc>
          <w:tcPr>
            <w:tcW w:w="127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1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40°26′59.89362″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9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海拔高度</w:t>
            </w:r>
          </w:p>
        </w:tc>
        <w:tc>
          <w:tcPr>
            <w:tcW w:w="666"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487</w:t>
            </w:r>
            <w:r>
              <w:rPr>
                <w:rFonts w:hint="default" w:ascii="Times New Roman" w:hAnsi="Times New Roman" w:eastAsia="宋体" w:cs="Times New Roman"/>
                <w:color w:val="auto"/>
                <w:sz w:val="21"/>
                <w:szCs w:val="21"/>
                <w:highlight w:val="none"/>
              </w:rPr>
              <w:t>m</w:t>
            </w:r>
          </w:p>
        </w:tc>
        <w:tc>
          <w:tcPr>
            <w:tcW w:w="3379" w:type="dxa"/>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水文条件</w:t>
            </w:r>
          </w:p>
        </w:tc>
        <w:tc>
          <w:tcPr>
            <w:tcW w:w="3253" w:type="dxa"/>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大气降水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9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主要植物</w:t>
            </w:r>
          </w:p>
        </w:tc>
        <w:tc>
          <w:tcPr>
            <w:tcW w:w="4304" w:type="pct"/>
            <w:gridSpan w:val="5"/>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油松林、辽东栎矮林</w:t>
            </w:r>
            <w:r>
              <w:rPr>
                <w:rFonts w:hint="default" w:ascii="Times New Roman" w:hAnsi="Times New Roman" w:eastAsia="宋体" w:cs="Times New Roman"/>
                <w:color w:val="auto"/>
                <w:sz w:val="21"/>
                <w:szCs w:val="21"/>
                <w:highlight w:val="none"/>
                <w:lang w:eastAsia="zh-CN"/>
              </w:rPr>
              <w:t>、榛子灌丛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9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群落盖度</w:t>
            </w:r>
          </w:p>
        </w:tc>
        <w:tc>
          <w:tcPr>
            <w:tcW w:w="666"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w:t>
            </w:r>
          </w:p>
        </w:tc>
        <w:tc>
          <w:tcPr>
            <w:tcW w:w="1275"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平均高度</w:t>
            </w:r>
          </w:p>
        </w:tc>
        <w:tc>
          <w:tcPr>
            <w:tcW w:w="2104"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cm</w:t>
            </w:r>
          </w:p>
        </w:tc>
        <w:tc>
          <w:tcPr>
            <w:tcW w:w="1273"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珍稀植物</w:t>
            </w:r>
          </w:p>
        </w:tc>
        <w:tc>
          <w:tcPr>
            <w:tcW w:w="1980" w:type="dxa"/>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695"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优势植物</w:t>
            </w:r>
          </w:p>
        </w:tc>
        <w:tc>
          <w:tcPr>
            <w:tcW w:w="666" w:type="pct"/>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榛子</w:t>
            </w:r>
          </w:p>
        </w:tc>
        <w:tc>
          <w:tcPr>
            <w:tcW w:w="3379" w:type="dxa"/>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样方外植物</w:t>
            </w:r>
          </w:p>
        </w:tc>
        <w:tc>
          <w:tcPr>
            <w:tcW w:w="3253" w:type="dxa"/>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榛子灌丛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2485" w:type="dxa"/>
            <w:gridSpan w:val="2"/>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植物长势</w:t>
            </w:r>
          </w:p>
        </w:tc>
        <w:tc>
          <w:tcPr>
            <w:tcW w:w="6632" w:type="dxa"/>
            <w:gridSpan w:val="4"/>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较差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9117" w:type="dxa"/>
            <w:gridSpan w:val="6"/>
            <w:tcBorders>
              <w:top w:val="single" w:color="000000" w:sz="4" w:space="0"/>
              <w:left w:val="single" w:color="000000" w:sz="4" w:space="0"/>
              <w:bottom w:val="single" w:color="000000" w:sz="4" w:space="0"/>
              <w:right w:val="single" w:color="000000" w:sz="4" w:space="0"/>
              <w:tl2br w:val="nil"/>
              <w:tr2bl w:val="nil"/>
            </w:tcBorders>
            <w:noWrap w:val="0"/>
            <w:vAlign w:val="center"/>
          </w:tcPr>
          <w:p>
            <w:pPr>
              <w:pStyle w:val="144"/>
              <w:keepNext w:val="0"/>
              <w:keepLines w:val="0"/>
              <w:pageBreakBefore w:val="0"/>
              <w:widowControl w:val="0"/>
              <w:kinsoku w:val="0"/>
              <w:wordWrap/>
              <w:overflowPunct w:val="0"/>
              <w:topLinePunct w:val="0"/>
              <w:autoSpaceDE/>
              <w:autoSpaceDN/>
              <w:bidi w:val="0"/>
              <w:adjustRightInd w:val="0"/>
              <w:snapToGrid w:val="0"/>
              <w:spacing w:beforeLines="0" w:afterLines="0" w:line="240" w:lineRule="atLeast"/>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highlight w:val="none"/>
              </w:rPr>
              <w:drawing>
                <wp:inline distT="0" distB="0" distL="114300" distR="114300">
                  <wp:extent cx="5755005" cy="5025390"/>
                  <wp:effectExtent l="0" t="0" r="17145" b="3810"/>
                  <wp:docPr id="1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6"/>
                          <pic:cNvPicPr>
                            <a:picLocks noChangeAspect="1"/>
                          </pic:cNvPicPr>
                        </pic:nvPicPr>
                        <pic:blipFill>
                          <a:blip r:embed="rId98"/>
                          <a:stretch>
                            <a:fillRect/>
                          </a:stretch>
                        </pic:blipFill>
                        <pic:spPr>
                          <a:xfrm>
                            <a:off x="0" y="0"/>
                            <a:ext cx="5755005" cy="5025390"/>
                          </a:xfrm>
                          <a:prstGeom prst="rect">
                            <a:avLst/>
                          </a:prstGeom>
                          <a:noFill/>
                          <a:ln>
                            <a:noFill/>
                          </a:ln>
                        </pic:spPr>
                      </pic:pic>
                    </a:graphicData>
                  </a:graphic>
                </wp:inline>
              </w:drawing>
            </w:r>
          </w:p>
        </w:tc>
      </w:tr>
    </w:tbl>
    <w:p>
      <w:pPr>
        <w:ind w:firstLine="0" w:firstLineChars="0"/>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lang w:val="en-US" w:eastAsia="zh-CN"/>
        </w:rPr>
        <w:t>5</w:t>
      </w:r>
      <w:r>
        <w:rPr>
          <w:rFonts w:hint="default" w:ascii="Times New Roman" w:hAnsi="Times New Roman" w:eastAsia="宋体" w:cs="Times New Roman"/>
          <w:b/>
          <w:color w:val="auto"/>
          <w:highlight w:val="none"/>
        </w:rPr>
        <w:t>.2.3.2动物资源调查</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本项目地处辽东半岛北部，下辽河平原东缘与辽东山地丘陵过渡带，动物区系复杂，属于东北、华北、蒙古三大动物区系交汇地带。</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于人口大幅增加、矿山开采、农田开荒、频繁的人类活动，矿区周边分布的野生动物种类和数量都较少。通过走访当地群众、野外实地考察，并查阅已有研究资料，根据动物生活习性与生境分析，主要野生动物有野兔、乌鸦、麻雀、蟾蜍、枕纹锦蛇、褐家鼠等。</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br w:type="page"/>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植被类型</w:t>
      </w:r>
      <w:r>
        <w:rPr>
          <w:rFonts w:hint="default" w:ascii="Times New Roman" w:hAnsi="Times New Roman" w:eastAsia="宋体" w:cs="Times New Roman"/>
          <w:color w:val="auto"/>
          <w:highlight w:val="none"/>
          <w:lang w:val="en-US" w:eastAsia="zh-CN"/>
        </w:rPr>
        <w:t>调查</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参考辽宁大学董厚德教授编撰的《辽宁植被与植被区划》（2011年）、评价区图影像图及现场调查，本项目区内植被属华北植物区系，夹杂长白山区系植物。评价区植被类型共分为针叶林、针落混交林、灌草丛、农业植被。农作物植被有谷子、玉米等，森林主要为油松林、蒙古栎、刺槐林等；灌木主要有胡枝子、虎榛子、连翘等灌丛；草本植物以糙隐子草、白羊草等常见草类为主。</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（1）针叶林</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油松林大部分为天然次生或人工营造，并有部分阔叶油松混交林，分布在矿区北侧，面积较少。郁闭度0.3-0.6，林下层的植被多为胡枝子、白羊草等</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总面积为</w:t>
      </w:r>
      <w:r>
        <w:rPr>
          <w:rFonts w:hint="default" w:ascii="Times New Roman" w:hAnsi="Times New Roman" w:eastAsia="宋体" w:cs="Times New Roman"/>
          <w:color w:val="auto"/>
          <w:highlight w:val="none"/>
          <w:lang w:val="en-US" w:eastAsia="zh-CN"/>
        </w:rPr>
        <w:t>63</w:t>
      </w:r>
      <w:r>
        <w:rPr>
          <w:rFonts w:hint="default" w:ascii="Times New Roman" w:hAnsi="Times New Roman" w:eastAsia="宋体" w:cs="Times New Roman"/>
          <w:bCs/>
          <w:color w:val="auto"/>
          <w:kern w:val="0"/>
          <w:highlight w:val="none"/>
        </w:rPr>
        <w:t>m</w:t>
      </w:r>
      <w:r>
        <w:rPr>
          <w:rFonts w:hint="default" w:ascii="Times New Roman" w:hAnsi="Times New Roman" w:eastAsia="宋体" w:cs="Times New Roman"/>
          <w:bCs/>
          <w:color w:val="auto"/>
          <w:kern w:val="0"/>
          <w:highlight w:val="none"/>
          <w:vertAlign w:val="superscript"/>
        </w:rPr>
        <w:t>2</w:t>
      </w:r>
      <w:r>
        <w:rPr>
          <w:rFonts w:hint="default" w:ascii="Times New Roman" w:hAnsi="Times New Roman" w:eastAsia="宋体" w:cs="Times New Roman"/>
          <w:bCs/>
          <w:color w:val="auto"/>
          <w:kern w:val="0"/>
          <w:highlight w:val="none"/>
          <w:vertAlign w:val="baseline"/>
          <w:lang w:eastAsia="zh-CN"/>
        </w:rPr>
        <w:t>，</w:t>
      </w:r>
      <w:r>
        <w:rPr>
          <w:rFonts w:hint="default" w:ascii="Times New Roman" w:hAnsi="Times New Roman" w:eastAsia="宋体" w:cs="Times New Roman"/>
          <w:color w:val="auto"/>
          <w:highlight w:val="none"/>
        </w:rPr>
        <w:t>占评价区的</w:t>
      </w:r>
      <w:r>
        <w:rPr>
          <w:rFonts w:hint="default" w:ascii="Times New Roman" w:hAnsi="Times New Roman" w:eastAsia="宋体" w:cs="Times New Roman"/>
          <w:color w:val="auto"/>
          <w:highlight w:val="none"/>
          <w:lang w:val="en-US" w:eastAsia="zh-CN"/>
        </w:rPr>
        <w:t>22.6</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（2）针落混交林</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落混交林主要分布在矿区东、北、西侧，主要由油松、蒙古栎、辽东栎等组成。蒙古栎同属喜光耐寒树种，对温度和土壤均有很强适应性，无论是湿润肥沃阴坡还是干燥贫瘠阳坡和山脊均能生长成林。该类型混交林是多为原生植被遭到破坏后人工种植林，蒙古栎为优势种，蒙古栎20~40年生的群落高为10~15m，胸径10~20cm。油松为针叶林主要树种</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总面积为</w:t>
      </w:r>
      <w:r>
        <w:rPr>
          <w:rFonts w:hint="default" w:ascii="Times New Roman" w:hAnsi="Times New Roman" w:eastAsia="宋体" w:cs="Times New Roman"/>
          <w:color w:val="auto"/>
          <w:highlight w:val="none"/>
          <w:lang w:val="en-US" w:eastAsia="zh-CN"/>
        </w:rPr>
        <w:t>149.1h</w:t>
      </w:r>
      <w:r>
        <w:rPr>
          <w:rFonts w:hint="default" w:ascii="Times New Roman" w:hAnsi="Times New Roman" w:eastAsia="宋体" w:cs="Times New Roman"/>
          <w:bCs/>
          <w:color w:val="auto"/>
          <w:kern w:val="0"/>
          <w:highlight w:val="none"/>
        </w:rPr>
        <w:t>m</w:t>
      </w:r>
      <w:r>
        <w:rPr>
          <w:rFonts w:hint="default" w:ascii="Times New Roman" w:hAnsi="Times New Roman" w:eastAsia="宋体" w:cs="Times New Roman"/>
          <w:bCs/>
          <w:color w:val="auto"/>
          <w:kern w:val="0"/>
          <w:highlight w:val="none"/>
          <w:vertAlign w:val="superscript"/>
        </w:rPr>
        <w:t>2</w:t>
      </w:r>
      <w:r>
        <w:rPr>
          <w:rFonts w:hint="default" w:ascii="Times New Roman" w:hAnsi="Times New Roman" w:eastAsia="宋体" w:cs="Times New Roman"/>
          <w:bCs/>
          <w:color w:val="auto"/>
          <w:kern w:val="0"/>
          <w:highlight w:val="none"/>
          <w:vertAlign w:val="baseline"/>
          <w:lang w:eastAsia="zh-CN"/>
        </w:rPr>
        <w:t>，</w:t>
      </w:r>
      <w:r>
        <w:rPr>
          <w:rFonts w:hint="default" w:ascii="Times New Roman" w:hAnsi="Times New Roman" w:eastAsia="宋体" w:cs="Times New Roman"/>
          <w:color w:val="auto"/>
          <w:highlight w:val="none"/>
        </w:rPr>
        <w:t>占评价区的</w:t>
      </w:r>
      <w:r>
        <w:rPr>
          <w:rFonts w:hint="default" w:ascii="Times New Roman" w:hAnsi="Times New Roman" w:eastAsia="宋体" w:cs="Times New Roman"/>
          <w:color w:val="auto"/>
          <w:highlight w:val="none"/>
          <w:lang w:val="en-US" w:eastAsia="zh-CN"/>
        </w:rPr>
        <w:t>53.5</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（3）阔叶林</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阔叶林是评价范围内的主要植被类型，以蒙古栎为优势种。蒙古栎20~40年生的群落高为10~15m，胸径10~20cm</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总面积为</w:t>
      </w:r>
      <w:r>
        <w:rPr>
          <w:rFonts w:hint="default" w:ascii="Times New Roman" w:hAnsi="Times New Roman" w:eastAsia="宋体" w:cs="Times New Roman"/>
          <w:color w:val="auto"/>
          <w:highlight w:val="none"/>
          <w:lang w:val="en-US" w:eastAsia="zh-CN"/>
        </w:rPr>
        <w:t>42h</w:t>
      </w:r>
      <w:r>
        <w:rPr>
          <w:rFonts w:hint="default" w:ascii="Times New Roman" w:hAnsi="Times New Roman" w:eastAsia="宋体" w:cs="Times New Roman"/>
          <w:bCs/>
          <w:color w:val="auto"/>
          <w:kern w:val="0"/>
          <w:highlight w:val="none"/>
        </w:rPr>
        <w:t>m</w:t>
      </w:r>
      <w:r>
        <w:rPr>
          <w:rFonts w:hint="default" w:ascii="Times New Roman" w:hAnsi="Times New Roman" w:eastAsia="宋体" w:cs="Times New Roman"/>
          <w:bCs/>
          <w:color w:val="auto"/>
          <w:kern w:val="0"/>
          <w:highlight w:val="none"/>
          <w:vertAlign w:val="superscript"/>
        </w:rPr>
        <w:t>2</w:t>
      </w:r>
      <w:r>
        <w:rPr>
          <w:rFonts w:hint="default" w:ascii="Times New Roman" w:hAnsi="Times New Roman" w:eastAsia="宋体" w:cs="Times New Roman"/>
          <w:bCs/>
          <w:color w:val="auto"/>
          <w:kern w:val="0"/>
          <w:highlight w:val="none"/>
          <w:vertAlign w:val="baseline"/>
          <w:lang w:eastAsia="zh-CN"/>
        </w:rPr>
        <w:t>，</w:t>
      </w:r>
      <w:r>
        <w:rPr>
          <w:rFonts w:hint="default" w:ascii="Times New Roman" w:hAnsi="Times New Roman" w:eastAsia="宋体" w:cs="Times New Roman"/>
          <w:color w:val="auto"/>
          <w:highlight w:val="none"/>
        </w:rPr>
        <w:t>占评价区的</w:t>
      </w:r>
      <w:r>
        <w:rPr>
          <w:rFonts w:hint="default" w:ascii="Times New Roman" w:hAnsi="Times New Roman" w:eastAsia="宋体" w:cs="Times New Roman"/>
          <w:color w:val="auto"/>
          <w:highlight w:val="none"/>
          <w:lang w:val="en-US" w:eastAsia="zh-CN"/>
        </w:rPr>
        <w:t>15.1</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（4）灌丛</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灌丛植被主要是胡枝子、榛子等，均是较耐旱的灌木种类，土层一般浅薄，养分贫瘠。以榛子灌丛为优势种，高度1.0-1.5米，盖度约60%</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总面积为</w:t>
      </w:r>
      <w:r>
        <w:rPr>
          <w:rFonts w:hint="default" w:ascii="Times New Roman" w:hAnsi="Times New Roman" w:eastAsia="宋体" w:cs="Times New Roman"/>
          <w:color w:val="auto"/>
          <w:highlight w:val="none"/>
          <w:lang w:val="en-US" w:eastAsia="zh-CN"/>
        </w:rPr>
        <w:t>5.74h</w:t>
      </w:r>
      <w:r>
        <w:rPr>
          <w:rFonts w:hint="default" w:ascii="Times New Roman" w:hAnsi="Times New Roman" w:eastAsia="宋体" w:cs="Times New Roman"/>
          <w:bCs/>
          <w:color w:val="auto"/>
          <w:kern w:val="0"/>
          <w:highlight w:val="none"/>
        </w:rPr>
        <w:t>m</w:t>
      </w:r>
      <w:r>
        <w:rPr>
          <w:rFonts w:hint="default" w:ascii="Times New Roman" w:hAnsi="Times New Roman" w:eastAsia="宋体" w:cs="Times New Roman"/>
          <w:bCs/>
          <w:color w:val="auto"/>
          <w:kern w:val="0"/>
          <w:highlight w:val="none"/>
          <w:vertAlign w:val="superscript"/>
        </w:rPr>
        <w:t>2</w:t>
      </w:r>
      <w:r>
        <w:rPr>
          <w:rFonts w:hint="default" w:ascii="Times New Roman" w:hAnsi="Times New Roman" w:eastAsia="宋体" w:cs="Times New Roman"/>
          <w:bCs/>
          <w:color w:val="auto"/>
          <w:kern w:val="0"/>
          <w:highlight w:val="none"/>
          <w:vertAlign w:val="baseline"/>
          <w:lang w:eastAsia="zh-CN"/>
        </w:rPr>
        <w:t>，</w:t>
      </w:r>
      <w:r>
        <w:rPr>
          <w:rFonts w:hint="default" w:ascii="Times New Roman" w:hAnsi="Times New Roman" w:eastAsia="宋体" w:cs="Times New Roman"/>
          <w:color w:val="auto"/>
          <w:highlight w:val="none"/>
        </w:rPr>
        <w:t>占评价区的</w:t>
      </w:r>
      <w:r>
        <w:rPr>
          <w:rFonts w:hint="default" w:ascii="Times New Roman" w:hAnsi="Times New Roman" w:eastAsia="宋体" w:cs="Times New Roman"/>
          <w:color w:val="auto"/>
          <w:highlight w:val="none"/>
          <w:lang w:val="en-US" w:eastAsia="zh-CN"/>
        </w:rPr>
        <w:t>2.1</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（5）草丛</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草本植物主要有糙隐子草、白羊草、狗尾草、黄背草等。草丛主要分布于山脚、路边</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总面积为</w:t>
      </w:r>
      <w:r>
        <w:rPr>
          <w:rFonts w:hint="default" w:ascii="Times New Roman" w:hAnsi="Times New Roman" w:eastAsia="宋体" w:cs="Times New Roman"/>
          <w:color w:val="auto"/>
          <w:highlight w:val="none"/>
          <w:lang w:val="en-US" w:eastAsia="zh-CN"/>
        </w:rPr>
        <w:t>2.46h</w:t>
      </w:r>
      <w:r>
        <w:rPr>
          <w:rFonts w:hint="default" w:ascii="Times New Roman" w:hAnsi="Times New Roman" w:eastAsia="宋体" w:cs="Times New Roman"/>
          <w:bCs/>
          <w:color w:val="auto"/>
          <w:kern w:val="0"/>
          <w:highlight w:val="none"/>
        </w:rPr>
        <w:t>m</w:t>
      </w:r>
      <w:r>
        <w:rPr>
          <w:rFonts w:hint="default" w:ascii="Times New Roman" w:hAnsi="Times New Roman" w:eastAsia="宋体" w:cs="Times New Roman"/>
          <w:bCs/>
          <w:color w:val="auto"/>
          <w:kern w:val="0"/>
          <w:highlight w:val="none"/>
          <w:vertAlign w:val="superscript"/>
        </w:rPr>
        <w:t>2</w:t>
      </w:r>
      <w:r>
        <w:rPr>
          <w:rFonts w:hint="default" w:ascii="Times New Roman" w:hAnsi="Times New Roman" w:eastAsia="宋体" w:cs="Times New Roman"/>
          <w:bCs/>
          <w:color w:val="auto"/>
          <w:kern w:val="0"/>
          <w:highlight w:val="none"/>
          <w:vertAlign w:val="baseline"/>
          <w:lang w:eastAsia="zh-CN"/>
        </w:rPr>
        <w:t>，</w:t>
      </w:r>
      <w:r>
        <w:rPr>
          <w:rFonts w:hint="default" w:ascii="Times New Roman" w:hAnsi="Times New Roman" w:eastAsia="宋体" w:cs="Times New Roman"/>
          <w:color w:val="auto"/>
          <w:highlight w:val="none"/>
        </w:rPr>
        <w:t>占评价区的</w:t>
      </w:r>
      <w:r>
        <w:rPr>
          <w:rFonts w:hint="default" w:ascii="Times New Roman" w:hAnsi="Times New Roman" w:eastAsia="宋体" w:cs="Times New Roman"/>
          <w:color w:val="auto"/>
          <w:highlight w:val="none"/>
          <w:lang w:val="en-US" w:eastAsia="zh-CN"/>
        </w:rPr>
        <w:t>0.9</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（6）农业植被</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农田为旱田，主要种植农作物为玉米、大豆、谷子。呈规则斑块状分布于评价区境内的丘间缓坡低地等处</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总面积为</w:t>
      </w:r>
      <w:r>
        <w:rPr>
          <w:rFonts w:hint="default" w:ascii="Times New Roman" w:hAnsi="Times New Roman" w:eastAsia="宋体" w:cs="Times New Roman"/>
          <w:color w:val="auto"/>
          <w:highlight w:val="none"/>
          <w:lang w:val="en-US" w:eastAsia="zh-CN"/>
        </w:rPr>
        <w:t>7h</w:t>
      </w:r>
      <w:r>
        <w:rPr>
          <w:rFonts w:hint="default" w:ascii="Times New Roman" w:hAnsi="Times New Roman" w:eastAsia="宋体" w:cs="Times New Roman"/>
          <w:bCs/>
          <w:color w:val="auto"/>
          <w:kern w:val="0"/>
          <w:highlight w:val="none"/>
        </w:rPr>
        <w:t>m</w:t>
      </w:r>
      <w:r>
        <w:rPr>
          <w:rFonts w:hint="default" w:ascii="Times New Roman" w:hAnsi="Times New Roman" w:eastAsia="宋体" w:cs="Times New Roman"/>
          <w:bCs/>
          <w:color w:val="auto"/>
          <w:kern w:val="0"/>
          <w:highlight w:val="none"/>
          <w:vertAlign w:val="superscript"/>
        </w:rPr>
        <w:t>2</w:t>
      </w:r>
      <w:r>
        <w:rPr>
          <w:rFonts w:hint="default" w:ascii="Times New Roman" w:hAnsi="Times New Roman" w:eastAsia="宋体" w:cs="Times New Roman"/>
          <w:bCs/>
          <w:color w:val="auto"/>
          <w:kern w:val="0"/>
          <w:highlight w:val="none"/>
          <w:vertAlign w:val="baseline"/>
          <w:lang w:eastAsia="zh-CN"/>
        </w:rPr>
        <w:t>，</w:t>
      </w:r>
      <w:r>
        <w:rPr>
          <w:rFonts w:hint="default" w:ascii="Times New Roman" w:hAnsi="Times New Roman" w:eastAsia="宋体" w:cs="Times New Roman"/>
          <w:color w:val="auto"/>
          <w:highlight w:val="none"/>
        </w:rPr>
        <w:t>占评价区的</w:t>
      </w:r>
      <w:r>
        <w:rPr>
          <w:rFonts w:hint="default" w:ascii="Times New Roman" w:hAnsi="Times New Roman" w:eastAsia="宋体" w:cs="Times New Roman"/>
          <w:color w:val="auto"/>
          <w:highlight w:val="none"/>
          <w:lang w:val="en-US" w:eastAsia="zh-CN"/>
        </w:rPr>
        <w:t>2.5</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（7）无植被区</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无植被区主要是</w:t>
      </w:r>
      <w:r>
        <w:rPr>
          <w:rFonts w:hint="default" w:ascii="Times New Roman" w:hAnsi="Times New Roman" w:eastAsia="宋体" w:cs="Times New Roman"/>
          <w:color w:val="auto"/>
          <w:highlight w:val="none"/>
          <w:lang w:val="en-US" w:eastAsia="zh-CN"/>
        </w:rPr>
        <w:t>道路</w:t>
      </w:r>
      <w:r>
        <w:rPr>
          <w:rFonts w:hint="default" w:ascii="Times New Roman" w:hAnsi="Times New Roman" w:eastAsia="宋体" w:cs="Times New Roman"/>
          <w:color w:val="auto"/>
          <w:highlight w:val="none"/>
        </w:rPr>
        <w:t>、采矿用地等</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总面积为</w:t>
      </w:r>
      <w:r>
        <w:rPr>
          <w:rFonts w:hint="default" w:ascii="Times New Roman" w:hAnsi="Times New Roman" w:eastAsia="宋体" w:cs="Times New Roman"/>
          <w:color w:val="auto"/>
          <w:highlight w:val="none"/>
          <w:lang w:val="en-US" w:eastAsia="zh-CN"/>
        </w:rPr>
        <w:t>9.3h</w:t>
      </w:r>
      <w:r>
        <w:rPr>
          <w:rFonts w:hint="default" w:ascii="Times New Roman" w:hAnsi="Times New Roman" w:eastAsia="宋体" w:cs="Times New Roman"/>
          <w:bCs/>
          <w:color w:val="auto"/>
          <w:kern w:val="0"/>
          <w:highlight w:val="none"/>
        </w:rPr>
        <w:t>m</w:t>
      </w:r>
      <w:r>
        <w:rPr>
          <w:rFonts w:hint="default" w:ascii="Times New Roman" w:hAnsi="Times New Roman" w:eastAsia="宋体" w:cs="Times New Roman"/>
          <w:bCs/>
          <w:color w:val="auto"/>
          <w:kern w:val="0"/>
          <w:highlight w:val="none"/>
          <w:vertAlign w:val="superscript"/>
        </w:rPr>
        <w:t>2</w:t>
      </w:r>
      <w:r>
        <w:rPr>
          <w:rFonts w:hint="default" w:ascii="Times New Roman" w:hAnsi="Times New Roman" w:eastAsia="宋体" w:cs="Times New Roman"/>
          <w:bCs/>
          <w:color w:val="auto"/>
          <w:kern w:val="0"/>
          <w:highlight w:val="none"/>
          <w:vertAlign w:val="baseline"/>
          <w:lang w:eastAsia="zh-CN"/>
        </w:rPr>
        <w:t>，</w:t>
      </w:r>
      <w:r>
        <w:rPr>
          <w:rFonts w:hint="default" w:ascii="Times New Roman" w:hAnsi="Times New Roman" w:eastAsia="宋体" w:cs="Times New Roman"/>
          <w:color w:val="auto"/>
          <w:highlight w:val="none"/>
        </w:rPr>
        <w:t>占评价区的</w:t>
      </w:r>
      <w:r>
        <w:rPr>
          <w:rFonts w:hint="default" w:ascii="Times New Roman" w:hAnsi="Times New Roman" w:eastAsia="宋体" w:cs="Times New Roman"/>
          <w:color w:val="auto"/>
          <w:highlight w:val="none"/>
          <w:lang w:val="en-US" w:eastAsia="zh-CN"/>
        </w:rPr>
        <w:t>3.3</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评价区和矿区植被类型面积统计见表</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w:t>
      </w:r>
      <w:r>
        <w:rPr>
          <w:rFonts w:hint="eastAsia"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rPr>
        <w:t>评价植被类型面积统计表</w:t>
      </w:r>
    </w:p>
    <w:tbl>
      <w:tblPr>
        <w:tblStyle w:val="45"/>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73"/>
        <w:gridCol w:w="1958"/>
        <w:gridCol w:w="1958"/>
        <w:gridCol w:w="1958"/>
        <w:gridCol w:w="196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exact"/>
          <w:jc w:val="center"/>
        </w:trPr>
        <w:tc>
          <w:tcPr>
            <w:tcW w:w="699" w:type="pct"/>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植被类型</w:t>
            </w:r>
          </w:p>
        </w:tc>
        <w:tc>
          <w:tcPr>
            <w:tcW w:w="2148" w:type="pct"/>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评价区</w:t>
            </w:r>
          </w:p>
        </w:tc>
        <w:tc>
          <w:tcPr>
            <w:tcW w:w="2152" w:type="pct"/>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矿区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面积(hm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比例(%)</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面积(hm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针叶林</w:t>
            </w: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63</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22.6 </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11.46</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24.0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针落混交林</w:t>
            </w: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149.1</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53.5 </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22.6</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47.3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阔叶林</w:t>
            </w: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42</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15.1 </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7.64</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16.0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灌丛</w:t>
            </w: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5.74</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2.1 </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2.52</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5.3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草丛</w:t>
            </w: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2.46</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0.9 </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1.08</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2.3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农业植被</w:t>
            </w: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7</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2.5 </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0</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0.0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无植被区</w:t>
            </w: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9.3</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3.3 </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2.5</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 xml:space="preserve">5.2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699"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1074"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278.6</w:t>
            </w:r>
          </w:p>
        </w:tc>
        <w:tc>
          <w:tcPr>
            <w:tcW w:w="107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100</w:t>
            </w:r>
          </w:p>
        </w:tc>
        <w:tc>
          <w:tcPr>
            <w:tcW w:w="1958"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47.8</w:t>
            </w:r>
          </w:p>
        </w:tc>
        <w:tc>
          <w:tcPr>
            <w:tcW w:w="196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2"/>
                <w:szCs w:val="22"/>
                <w:highlight w:val="none"/>
                <w:u w:val="none"/>
                <w:lang w:val="en-US" w:eastAsia="zh-CN" w:bidi="ar"/>
              </w:rPr>
            </w:pPr>
            <w:r>
              <w:rPr>
                <w:rFonts w:hint="default" w:ascii="Times New Roman" w:hAnsi="Times New Roman" w:eastAsia="宋体" w:cs="Times New Roman"/>
                <w:i w:val="0"/>
                <w:iCs w:val="0"/>
                <w:color w:val="auto"/>
                <w:kern w:val="0"/>
                <w:sz w:val="22"/>
                <w:szCs w:val="22"/>
                <w:u w:val="none"/>
                <w:lang w:val="en-US" w:eastAsia="zh-CN" w:bidi="ar"/>
              </w:rPr>
              <w:t>100</w:t>
            </w:r>
          </w:p>
        </w:tc>
      </w:tr>
    </w:tbl>
    <w:p>
      <w:pPr>
        <w:keepNext w:val="0"/>
        <w:keepLines w:val="0"/>
        <w:pageBreakBefore w:val="0"/>
        <w:widowControl w:val="0"/>
        <w:kinsoku/>
        <w:wordWrap/>
        <w:overflowPunct/>
        <w:topLinePunct w:val="0"/>
        <w:autoSpaceDE/>
        <w:autoSpaceDN/>
        <w:bidi w:val="0"/>
        <w:adjustRightInd w:val="0"/>
        <w:snapToGrid w:val="0"/>
        <w:spacing w:before="253" w:beforeLines="50"/>
        <w:ind w:left="0" w:leftChars="0" w:firstLine="0" w:firstLineChars="0"/>
        <w:textAlignment w:val="auto"/>
        <w:rPr>
          <w:rFonts w:hint="default" w:ascii="Times New Roman" w:hAnsi="Times New Roman" w:eastAsia="宋体" w:cs="Times New Roman"/>
          <w:color w:val="auto"/>
          <w:highlight w:val="none"/>
        </w:rPr>
      </w:pPr>
      <w:r>
        <w:rPr>
          <w:color w:val="auto"/>
        </w:rPr>
        <w:drawing>
          <wp:inline distT="0" distB="0" distL="114300" distR="114300">
            <wp:extent cx="5652135" cy="3392170"/>
            <wp:effectExtent l="0" t="0" r="5715" b="17780"/>
            <wp:docPr id="33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61"/>
                    <pic:cNvPicPr>
                      <a:picLocks noChangeAspect="1"/>
                    </pic:cNvPicPr>
                  </pic:nvPicPr>
                  <pic:blipFill>
                    <a:blip r:embed="rId99"/>
                    <a:stretch>
                      <a:fillRect/>
                    </a:stretch>
                  </pic:blipFill>
                  <pic:spPr>
                    <a:xfrm>
                      <a:off x="0" y="0"/>
                      <a:ext cx="5652135" cy="3392170"/>
                    </a:xfrm>
                    <a:prstGeom prst="rect">
                      <a:avLst/>
                    </a:prstGeom>
                    <a:noFill/>
                    <a:ln>
                      <a:noFill/>
                    </a:ln>
                  </pic:spPr>
                </pic:pic>
              </a:graphicData>
            </a:graphic>
          </wp:inline>
        </w:drawing>
      </w:r>
    </w:p>
    <w:p>
      <w:pPr>
        <w:pStyle w:val="37"/>
        <w:ind w:left="0" w:lef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图5.1-5项目评价区域内植被分布情况图</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土壤侵蚀现状调查</w:t>
      </w:r>
    </w:p>
    <w:p>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、土壤</w:t>
      </w:r>
      <w:r>
        <w:rPr>
          <w:rFonts w:hint="default" w:ascii="Times New Roman" w:hAnsi="Times New Roman" w:eastAsia="宋体" w:cs="Times New Roman"/>
          <w:b/>
          <w:bCs/>
          <w:color w:val="auto"/>
          <w:sz w:val="24"/>
          <w:highlight w:val="none"/>
          <w:lang w:val="en-US" w:eastAsia="zh-CN"/>
        </w:rPr>
        <w:t>类型及质量</w:t>
      </w:r>
      <w:r>
        <w:rPr>
          <w:rFonts w:hint="default" w:ascii="Times New Roman" w:hAnsi="Times New Roman" w:eastAsia="宋体" w:cs="Times New Roman"/>
          <w:b/>
          <w:bCs/>
          <w:color w:val="auto"/>
          <w:sz w:val="24"/>
          <w:highlight w:val="none"/>
        </w:rPr>
        <w:t>现状</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根据收集资料及现场调查结果，评价区内土壤类型主要为棕性壤土。</w:t>
      </w:r>
    </w:p>
    <w:p>
      <w:pPr>
        <w:ind w:left="0" w:leftChars="0" w:firstLine="0" w:firstLineChars="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rPr>
        <w:drawing>
          <wp:inline distT="0" distB="0" distL="114300" distR="114300">
            <wp:extent cx="2763520" cy="1871345"/>
            <wp:effectExtent l="0" t="0" r="17780" b="14605"/>
            <wp:docPr id="9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5"/>
                    <pic:cNvPicPr>
                      <a:picLocks noChangeAspect="1"/>
                    </pic:cNvPicPr>
                  </pic:nvPicPr>
                  <pic:blipFill>
                    <a:blip r:embed="rId100"/>
                    <a:stretch>
                      <a:fillRect/>
                    </a:stretch>
                  </pic:blipFill>
                  <pic:spPr>
                    <a:xfrm>
                      <a:off x="0" y="0"/>
                      <a:ext cx="2763520" cy="1871345"/>
                    </a:xfrm>
                    <a:prstGeom prst="rect">
                      <a:avLst/>
                    </a:prstGeom>
                    <a:noFill/>
                    <a:ln>
                      <a:noFill/>
                    </a:ln>
                  </pic:spPr>
                </pic:pic>
              </a:graphicData>
            </a:graphic>
          </wp:inline>
        </w:drawing>
      </w:r>
      <w:r>
        <w:rPr>
          <w:rFonts w:hint="default" w:ascii="Times New Roman" w:hAnsi="Times New Roman" w:eastAsia="宋体" w:cs="Times New Roman"/>
          <w:color w:val="auto"/>
          <w:sz w:val="24"/>
          <w:highlight w:val="none"/>
        </w:rPr>
        <w:drawing>
          <wp:inline distT="0" distB="0" distL="114300" distR="114300">
            <wp:extent cx="2780665" cy="1974850"/>
            <wp:effectExtent l="0" t="0" r="635" b="6350"/>
            <wp:docPr id="93" name="图片 66"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6" descr="无标题"/>
                    <pic:cNvPicPr>
                      <a:picLocks noChangeAspect="1"/>
                    </pic:cNvPicPr>
                  </pic:nvPicPr>
                  <pic:blipFill>
                    <a:blip r:embed="rId101"/>
                    <a:stretch>
                      <a:fillRect/>
                    </a:stretch>
                  </pic:blipFill>
                  <pic:spPr>
                    <a:xfrm>
                      <a:off x="0" y="0"/>
                      <a:ext cx="2780665" cy="1974850"/>
                    </a:xfrm>
                    <a:prstGeom prst="rect">
                      <a:avLst/>
                    </a:prstGeom>
                    <a:noFill/>
                    <a:ln>
                      <a:noFill/>
                    </a:ln>
                  </pic:spPr>
                </pic:pic>
              </a:graphicData>
            </a:graphic>
          </wp:inline>
        </w:drawing>
      </w:r>
    </w:p>
    <w:p>
      <w:pPr>
        <w:pStyle w:val="37"/>
        <w:ind w:left="0" w:leftChars="0" w:firstLine="1265" w:firstLineChars="600"/>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图5.1-6项目土壤类型                           图5.1-7项目区土壤剖面</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区土壤山顶较薄，一般厚0.3-1.5m；山坡山脚处土壤较厚，一般厚0.5-2.0m，最厚处可达10.0m。土壤养分平均含量：土壤有机质含量平均为1.30%，全氮0.06%，速效磷4.0ppm，速效钾81ppm，土壤pH值为7.3，养分含量由上向下逐渐降低。</w:t>
      </w:r>
      <w:r>
        <w:rPr>
          <w:rFonts w:hint="default" w:ascii="Times New Roman" w:hAnsi="Times New Roman" w:eastAsia="宋体" w:cs="Times New Roman"/>
          <w:color w:val="auto"/>
          <w:highlight w:val="none"/>
        </w:rPr>
        <w:t>根据第</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章第</w:t>
      </w:r>
      <w:r>
        <w:rPr>
          <w:rFonts w:hint="default" w:ascii="Times New Roman" w:hAnsi="Times New Roman" w:eastAsia="宋体" w:cs="Times New Roman"/>
          <w:color w:val="auto"/>
          <w:highlight w:val="none"/>
          <w:lang w:val="en-US" w:eastAsia="zh-CN"/>
        </w:rPr>
        <w:t>4.2.2.</w:t>
      </w:r>
      <w:r>
        <w:rPr>
          <w:rFonts w:hint="default" w:ascii="Times New Roman" w:hAnsi="Times New Roman" w:eastAsia="宋体" w:cs="Times New Roman"/>
          <w:color w:val="auto"/>
          <w:highlight w:val="none"/>
        </w:rPr>
        <w:t>5节，项目矿区内所有土壤监测点位及项目均能达到《土壤环境质量建设用地土壤污染风险管控标准》（GB36600-2018）二级标准和区域土壤背景值要求。</w:t>
      </w:r>
    </w:p>
    <w:p>
      <w:pPr>
        <w:spacing w:line="360" w:lineRule="auto"/>
        <w:ind w:firstLine="482" w:firstLineChars="200"/>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lang w:val="en-US" w:eastAsia="zh-CN"/>
        </w:rPr>
        <w:t>2</w:t>
      </w:r>
      <w:r>
        <w:rPr>
          <w:rFonts w:hint="default" w:ascii="Times New Roman" w:hAnsi="Times New Roman" w:eastAsia="宋体" w:cs="Times New Roman"/>
          <w:b/>
          <w:bCs/>
          <w:color w:val="auto"/>
          <w:sz w:val="24"/>
          <w:highlight w:val="none"/>
        </w:rPr>
        <w:t>、土壤侵蚀现状</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评价区土壤侵蚀以</w:t>
      </w:r>
      <w:r>
        <w:rPr>
          <w:rFonts w:hint="default" w:ascii="Times New Roman" w:hAnsi="Times New Roman" w:eastAsia="宋体" w:cs="Times New Roman"/>
          <w:color w:val="auto"/>
          <w:sz w:val="24"/>
          <w:highlight w:val="none"/>
          <w:lang w:val="en-US" w:eastAsia="zh-CN"/>
        </w:rPr>
        <w:t>水</w:t>
      </w:r>
      <w:r>
        <w:rPr>
          <w:rFonts w:hint="default" w:ascii="Times New Roman" w:hAnsi="Times New Roman" w:eastAsia="宋体" w:cs="Times New Roman"/>
          <w:color w:val="auto"/>
          <w:sz w:val="24"/>
          <w:highlight w:val="none"/>
        </w:rPr>
        <w:t>蚀为主，地表多为植被、灌丛所覆盖，土壤侵蚀强度为轻度，土壤侵蚀评价主要以年平均侵蚀模数为判别指标，评价标准与方法采用水利部发布的土壤侵蚀分类分级标准（SL190-96）。</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5.1-</w:t>
      </w:r>
      <w:r>
        <w:rPr>
          <w:rFonts w:hint="eastAsia" w:ascii="Times New Roman" w:hAnsi="Times New Roman" w:eastAsia="宋体" w:cs="Times New Roman"/>
          <w:b/>
          <w:color w:val="auto"/>
          <w:sz w:val="21"/>
          <w:szCs w:val="21"/>
          <w:highlight w:val="none"/>
          <w:lang w:val="en-US" w:eastAsia="zh-CN"/>
        </w:rPr>
        <w:t>7</w:t>
      </w:r>
      <w:r>
        <w:rPr>
          <w:rFonts w:hint="default" w:ascii="Times New Roman" w:hAnsi="Times New Roman" w:eastAsia="宋体" w:cs="Times New Roman"/>
          <w:b/>
          <w:color w:val="auto"/>
          <w:sz w:val="21"/>
          <w:szCs w:val="21"/>
          <w:highlight w:val="none"/>
        </w:rPr>
        <w:t>土壤侵蚀强度分级标准表</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85" w:type="dxa"/>
          <w:left w:w="108" w:type="dxa"/>
          <w:bottom w:w="85" w:type="dxa"/>
          <w:right w:w="108" w:type="dxa"/>
        </w:tblCellMar>
      </w:tblPr>
      <w:tblGrid>
        <w:gridCol w:w="936"/>
        <w:gridCol w:w="1290"/>
        <w:gridCol w:w="1380"/>
        <w:gridCol w:w="1550"/>
        <w:gridCol w:w="1086"/>
        <w:gridCol w:w="1433"/>
        <w:gridCol w:w="14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jc w:val="center"/>
        </w:trPr>
        <w:tc>
          <w:tcPr>
            <w:tcW w:w="93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级别</w:t>
            </w:r>
          </w:p>
        </w:tc>
        <w:tc>
          <w:tcPr>
            <w:tcW w:w="4220"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平均侵蚀模数[t/(km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·a)]</w:t>
            </w:r>
          </w:p>
        </w:tc>
        <w:tc>
          <w:tcPr>
            <w:tcW w:w="4018"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平均流失厚度（mm/a）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jc w:val="center"/>
        </w:trPr>
        <w:tc>
          <w:tcPr>
            <w:tcW w:w="93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29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西北黄土</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高原区</w:t>
            </w:r>
          </w:p>
        </w:tc>
        <w:tc>
          <w:tcPr>
            <w:tcW w:w="138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本项目区域</w:t>
            </w:r>
          </w:p>
        </w:tc>
        <w:tc>
          <w:tcPr>
            <w:tcW w:w="15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南方红壤丘陵区/西南土石山区</w:t>
            </w:r>
          </w:p>
        </w:tc>
        <w:tc>
          <w:tcPr>
            <w:tcW w:w="10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西北黄土高原区</w:t>
            </w:r>
          </w:p>
        </w:tc>
        <w:tc>
          <w:tcPr>
            <w:tcW w:w="143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本项目区域</w:t>
            </w:r>
          </w:p>
        </w:tc>
        <w:tc>
          <w:tcPr>
            <w:tcW w:w="149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南方红壤丘陵区/西南土石山区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jc w:val="center"/>
        </w:trPr>
        <w:tc>
          <w:tcPr>
            <w:tcW w:w="93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微度</w:t>
            </w:r>
          </w:p>
        </w:tc>
        <w:tc>
          <w:tcPr>
            <w:tcW w:w="129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＜1000</w:t>
            </w:r>
          </w:p>
        </w:tc>
        <w:tc>
          <w:tcPr>
            <w:tcW w:w="138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15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w:t>
            </w:r>
          </w:p>
        </w:tc>
        <w:tc>
          <w:tcPr>
            <w:tcW w:w="10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＜0.74</w:t>
            </w:r>
          </w:p>
        </w:tc>
        <w:tc>
          <w:tcPr>
            <w:tcW w:w="143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w:t>
            </w:r>
          </w:p>
        </w:tc>
        <w:tc>
          <w:tcPr>
            <w:tcW w:w="149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jc w:val="center"/>
        </w:trPr>
        <w:tc>
          <w:tcPr>
            <w:tcW w:w="93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轻度</w:t>
            </w:r>
          </w:p>
        </w:tc>
        <w:tc>
          <w:tcPr>
            <w:tcW w:w="129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1000-2500</w:t>
            </w:r>
          </w:p>
        </w:tc>
        <w:tc>
          <w:tcPr>
            <w:tcW w:w="138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200-2500</w:t>
            </w:r>
          </w:p>
        </w:tc>
        <w:tc>
          <w:tcPr>
            <w:tcW w:w="155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500-2500</w:t>
            </w:r>
          </w:p>
        </w:tc>
        <w:tc>
          <w:tcPr>
            <w:tcW w:w="10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0.74-1.9</w:t>
            </w:r>
          </w:p>
        </w:tc>
        <w:tc>
          <w:tcPr>
            <w:tcW w:w="143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0.15-1.9</w:t>
            </w:r>
          </w:p>
        </w:tc>
        <w:tc>
          <w:tcPr>
            <w:tcW w:w="1499"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0.37-1.9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jc w:val="center"/>
        </w:trPr>
        <w:tc>
          <w:tcPr>
            <w:tcW w:w="93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中度</w:t>
            </w:r>
          </w:p>
        </w:tc>
        <w:tc>
          <w:tcPr>
            <w:tcW w:w="4220"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2500-5000</w:t>
            </w:r>
          </w:p>
        </w:tc>
        <w:tc>
          <w:tcPr>
            <w:tcW w:w="4018"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jc w:val="center"/>
        </w:trPr>
        <w:tc>
          <w:tcPr>
            <w:tcW w:w="93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强度</w:t>
            </w:r>
          </w:p>
        </w:tc>
        <w:tc>
          <w:tcPr>
            <w:tcW w:w="4220"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5000-8000</w:t>
            </w:r>
          </w:p>
        </w:tc>
        <w:tc>
          <w:tcPr>
            <w:tcW w:w="4018"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3.7-5.9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jc w:val="center"/>
        </w:trPr>
        <w:tc>
          <w:tcPr>
            <w:tcW w:w="93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极强度</w:t>
            </w:r>
          </w:p>
        </w:tc>
        <w:tc>
          <w:tcPr>
            <w:tcW w:w="4220"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8000-15000</w:t>
            </w:r>
          </w:p>
        </w:tc>
        <w:tc>
          <w:tcPr>
            <w:tcW w:w="4018"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5.9-11.1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jc w:val="center"/>
        </w:trPr>
        <w:tc>
          <w:tcPr>
            <w:tcW w:w="93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剧烈</w:t>
            </w:r>
          </w:p>
        </w:tc>
        <w:tc>
          <w:tcPr>
            <w:tcW w:w="4220"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＞15000</w:t>
            </w:r>
          </w:p>
        </w:tc>
        <w:tc>
          <w:tcPr>
            <w:tcW w:w="4018"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＞11.1</w:t>
            </w:r>
          </w:p>
        </w:tc>
      </w:tr>
    </w:tbl>
    <w:p>
      <w:pPr>
        <w:pStyle w:val="70"/>
        <w:spacing w:line="360" w:lineRule="auto"/>
        <w:jc w:val="both"/>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highlight w:val="none"/>
        </w:rPr>
        <w:t>注：本表流失厚度系按土壤容重1.35g/cm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折算，各地可按当地土壤容重计算之。</w:t>
      </w:r>
    </w:p>
    <w:p>
      <w:pPr>
        <w:spacing w:line="240" w:lineRule="auto"/>
        <w:ind w:firstLine="422"/>
        <w:jc w:val="center"/>
        <w:rPr>
          <w:rFonts w:hint="default" w:ascii="Times New Roman" w:hAnsi="Times New Roman" w:eastAsia="宋体" w:cs="Times New Roman"/>
          <w:b/>
          <w:color w:val="auto"/>
          <w:sz w:val="21"/>
          <w:szCs w:val="21"/>
          <w:highlight w:val="none"/>
        </w:rPr>
      </w:pPr>
    </w:p>
    <w:p>
      <w:pPr>
        <w:spacing w:line="240" w:lineRule="auto"/>
        <w:ind w:firstLine="422"/>
        <w:jc w:val="center"/>
        <w:rPr>
          <w:rFonts w:hint="default" w:ascii="Times New Roman" w:hAnsi="Times New Roman" w:eastAsia="宋体" w:cs="Times New Roman"/>
          <w:b/>
          <w:color w:val="auto"/>
          <w:sz w:val="21"/>
          <w:szCs w:val="21"/>
          <w:highlight w:val="none"/>
        </w:rPr>
      </w:pPr>
    </w:p>
    <w:p>
      <w:pPr>
        <w:spacing w:line="240" w:lineRule="auto"/>
        <w:ind w:firstLine="422"/>
        <w:jc w:val="center"/>
        <w:rPr>
          <w:rFonts w:hint="default" w:ascii="Times New Roman" w:hAnsi="Times New Roman" w:eastAsia="宋体" w:cs="Times New Roman"/>
          <w:b/>
          <w:color w:val="auto"/>
          <w:sz w:val="21"/>
          <w:szCs w:val="21"/>
          <w:highlight w:val="none"/>
        </w:rPr>
      </w:pPr>
    </w:p>
    <w:p>
      <w:pPr>
        <w:spacing w:line="240" w:lineRule="auto"/>
        <w:ind w:firstLine="422"/>
        <w:jc w:val="center"/>
        <w:rPr>
          <w:rFonts w:hint="default" w:ascii="Times New Roman" w:hAnsi="Times New Roman" w:eastAsia="宋体" w:cs="Times New Roman"/>
          <w:b/>
          <w:color w:val="auto"/>
          <w:sz w:val="21"/>
          <w:szCs w:val="21"/>
          <w:highlight w:val="none"/>
        </w:rPr>
      </w:pP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5.1-</w:t>
      </w:r>
      <w:r>
        <w:rPr>
          <w:rFonts w:hint="eastAsia" w:ascii="Times New Roman" w:hAnsi="Times New Roman" w:eastAsia="宋体"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rPr>
        <w:t>评价区、矿区内土壤侵蚀分级面积统计</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52"/>
        <w:gridCol w:w="1931"/>
        <w:gridCol w:w="1931"/>
        <w:gridCol w:w="1930"/>
        <w:gridCol w:w="193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52"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侵蚀分级</w:t>
            </w:r>
          </w:p>
        </w:tc>
        <w:tc>
          <w:tcPr>
            <w:tcW w:w="386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评价区</w:t>
            </w:r>
          </w:p>
        </w:tc>
        <w:tc>
          <w:tcPr>
            <w:tcW w:w="3860"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矿区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52"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面积（hm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比例（%）</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面积（hm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5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微度侵蚀</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105</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37.7 </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19.1</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40.0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5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轻度侵蚀</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149.1</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53.5 </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22.6</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47.3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5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中度侵蚀</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15.2</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5.5 </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7.5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5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强度侵蚀</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9.3</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3.3 </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5.2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exact"/>
          <w:jc w:val="center"/>
        </w:trPr>
        <w:tc>
          <w:tcPr>
            <w:tcW w:w="145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总计</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1137</w:t>
            </w:r>
          </w:p>
        </w:tc>
        <w:tc>
          <w:tcPr>
            <w:tcW w:w="193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47.8</w:t>
            </w:r>
          </w:p>
        </w:tc>
        <w:tc>
          <w:tcPr>
            <w:tcW w:w="193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bl>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①微度侵蚀区：在低矮丘陵、山地等沟坡沟道的草丛、灌丛地区。水土流失模数一般为小于200t/km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·a。该区域面积为</w:t>
      </w:r>
      <w:r>
        <w:rPr>
          <w:rFonts w:hint="default" w:ascii="Times New Roman" w:hAnsi="Times New Roman" w:eastAsia="宋体" w:cs="Times New Roman"/>
          <w:color w:val="auto"/>
          <w:sz w:val="24"/>
          <w:highlight w:val="none"/>
          <w:lang w:val="en-US" w:eastAsia="zh-CN"/>
        </w:rPr>
        <w:t>105</w:t>
      </w:r>
      <w:r>
        <w:rPr>
          <w:rFonts w:hint="default" w:ascii="Times New Roman" w:hAnsi="Times New Roman" w:eastAsia="宋体" w:cs="Times New Roman"/>
          <w:color w:val="auto"/>
          <w:sz w:val="24"/>
          <w:highlight w:val="none"/>
        </w:rPr>
        <w:t>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，占评价区总面积的</w:t>
      </w:r>
      <w:r>
        <w:rPr>
          <w:rFonts w:hint="default" w:ascii="Times New Roman" w:hAnsi="Times New Roman" w:eastAsia="宋体" w:cs="Times New Roman"/>
          <w:color w:val="auto"/>
          <w:sz w:val="24"/>
          <w:highlight w:val="none"/>
          <w:lang w:val="en-US" w:eastAsia="zh-CN"/>
        </w:rPr>
        <w:t>37.7</w:t>
      </w:r>
      <w:r>
        <w:rPr>
          <w:rFonts w:hint="default" w:ascii="Times New Roman" w:hAnsi="Times New Roman" w:eastAsia="宋体" w:cs="Times New Roman"/>
          <w:color w:val="auto"/>
          <w:sz w:val="24"/>
          <w:highlight w:val="none"/>
        </w:rPr>
        <w:t>%。</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②轻度侵蚀区：在低矮丘陵等旱地为主，土壤侵蚀特征以细沟、冲沟侵蚀为主。水土流失模数一般为200—2500t/km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·a，为该项目评价区主要侵蚀类型。该区域面积为</w:t>
      </w:r>
      <w:r>
        <w:rPr>
          <w:rFonts w:hint="default" w:ascii="Times New Roman" w:hAnsi="Times New Roman" w:eastAsia="宋体" w:cs="Times New Roman"/>
          <w:color w:val="auto"/>
          <w:sz w:val="24"/>
          <w:highlight w:val="none"/>
          <w:lang w:val="en-US" w:eastAsia="zh-CN"/>
        </w:rPr>
        <w:t>149.1</w:t>
      </w:r>
      <w:r>
        <w:rPr>
          <w:rFonts w:hint="default" w:ascii="Times New Roman" w:hAnsi="Times New Roman" w:eastAsia="宋体" w:cs="Times New Roman"/>
          <w:color w:val="auto"/>
          <w:sz w:val="24"/>
          <w:highlight w:val="none"/>
        </w:rPr>
        <w:t>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，占评价区总面积的</w:t>
      </w:r>
      <w:r>
        <w:rPr>
          <w:rFonts w:hint="default" w:ascii="Times New Roman" w:hAnsi="Times New Roman" w:eastAsia="宋体" w:cs="Times New Roman"/>
          <w:color w:val="auto"/>
          <w:sz w:val="24"/>
          <w:highlight w:val="none"/>
          <w:lang w:val="en-US" w:eastAsia="zh-CN"/>
        </w:rPr>
        <w:t>53.5</w:t>
      </w:r>
      <w:r>
        <w:rPr>
          <w:rFonts w:hint="default" w:ascii="Times New Roman" w:hAnsi="Times New Roman" w:eastAsia="宋体" w:cs="Times New Roman"/>
          <w:color w:val="auto"/>
          <w:sz w:val="24"/>
          <w:highlight w:val="none"/>
        </w:rPr>
        <w:t>%。</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③中度侵蚀区：在低山、丘陵区较为平缓的坡地，主要是工业场地等人类活动频繁地区，侵蚀特征以片状、浅沟状面为主。水土流失模数一般为2500—5000t/km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·a。该区域面积为</w:t>
      </w:r>
      <w:r>
        <w:rPr>
          <w:rFonts w:hint="default" w:ascii="Times New Roman" w:hAnsi="Times New Roman" w:eastAsia="宋体" w:cs="Times New Roman"/>
          <w:color w:val="auto"/>
          <w:sz w:val="24"/>
          <w:highlight w:val="none"/>
          <w:lang w:val="en-US" w:eastAsia="zh-CN"/>
        </w:rPr>
        <w:t>15.2</w:t>
      </w:r>
      <w:r>
        <w:rPr>
          <w:rFonts w:hint="default" w:ascii="Times New Roman" w:hAnsi="Times New Roman" w:eastAsia="宋体" w:cs="Times New Roman"/>
          <w:color w:val="auto"/>
          <w:sz w:val="24"/>
          <w:highlight w:val="none"/>
        </w:rPr>
        <w:t>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，占评价区总面积的</w:t>
      </w:r>
      <w:r>
        <w:rPr>
          <w:rFonts w:hint="default" w:ascii="Times New Roman" w:hAnsi="Times New Roman" w:eastAsia="宋体" w:cs="Times New Roman"/>
          <w:color w:val="auto"/>
          <w:sz w:val="24"/>
          <w:highlight w:val="none"/>
          <w:lang w:val="en-US" w:eastAsia="zh-CN"/>
        </w:rPr>
        <w:t>5.5</w:t>
      </w:r>
      <w:r>
        <w:rPr>
          <w:rFonts w:hint="default" w:ascii="Times New Roman" w:hAnsi="Times New Roman" w:eastAsia="宋体" w:cs="Times New Roman"/>
          <w:color w:val="auto"/>
          <w:sz w:val="24"/>
          <w:highlight w:val="none"/>
        </w:rPr>
        <w:t>%。</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④重度侵蚀区：由于</w:t>
      </w:r>
      <w:r>
        <w:rPr>
          <w:rFonts w:hint="default" w:ascii="Times New Roman" w:hAnsi="Times New Roman" w:eastAsia="宋体" w:cs="Times New Roman"/>
          <w:color w:val="auto"/>
          <w:sz w:val="24"/>
          <w:highlight w:val="none"/>
          <w:lang w:val="en-US" w:eastAsia="zh-CN"/>
        </w:rPr>
        <w:t>本项目</w:t>
      </w:r>
      <w:r>
        <w:rPr>
          <w:rFonts w:hint="default" w:ascii="Times New Roman" w:hAnsi="Times New Roman" w:eastAsia="宋体" w:cs="Times New Roman"/>
          <w:color w:val="auto"/>
          <w:sz w:val="24"/>
          <w:highlight w:val="none"/>
        </w:rPr>
        <w:t>建矿初期进行过露天开采该</w:t>
      </w:r>
      <w:r>
        <w:rPr>
          <w:rFonts w:hint="default" w:ascii="Times New Roman" w:hAnsi="Times New Roman" w:eastAsia="宋体" w:cs="Times New Roman"/>
          <w:color w:val="auto"/>
          <w:sz w:val="24"/>
          <w:highlight w:val="none"/>
          <w:lang w:eastAsia="zh-CN"/>
        </w:rPr>
        <w:t>，形成4个露天采坑、多处排岩场</w:t>
      </w:r>
      <w:r>
        <w:rPr>
          <w:rFonts w:hint="default" w:ascii="Times New Roman" w:hAnsi="Times New Roman" w:eastAsia="宋体" w:cs="Times New Roman"/>
          <w:color w:val="auto"/>
          <w:sz w:val="24"/>
          <w:highlight w:val="none"/>
          <w:lang w:val="en-US" w:eastAsia="zh-CN"/>
        </w:rPr>
        <w:t>和道路</w:t>
      </w:r>
      <w:r>
        <w:rPr>
          <w:rFonts w:hint="default" w:ascii="Times New Roman" w:hAnsi="Times New Roman" w:eastAsia="宋体" w:cs="Times New Roman"/>
          <w:color w:val="auto"/>
          <w:sz w:val="24"/>
          <w:highlight w:val="none"/>
        </w:rPr>
        <w:t>，造成矿区土壤侵蚀严重，所以重度侵蚀区主要集中在本项目所在区域，侵蚀特征以面蚀和沟蚀为主。水土流失模数一般为5000—8000t/km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·a。该区域面积为</w:t>
      </w:r>
      <w:r>
        <w:rPr>
          <w:rFonts w:hint="default" w:ascii="Times New Roman" w:hAnsi="Times New Roman" w:eastAsia="宋体" w:cs="Times New Roman"/>
          <w:color w:val="auto"/>
          <w:sz w:val="24"/>
          <w:highlight w:val="none"/>
          <w:lang w:val="en-US" w:eastAsia="zh-CN"/>
        </w:rPr>
        <w:t>9.3</w:t>
      </w:r>
      <w:r>
        <w:rPr>
          <w:rFonts w:hint="default" w:ascii="Times New Roman" w:hAnsi="Times New Roman" w:eastAsia="宋体" w:cs="Times New Roman"/>
          <w:color w:val="auto"/>
          <w:sz w:val="24"/>
          <w:highlight w:val="none"/>
        </w:rPr>
        <w:t>hm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，占评价区总面积的</w:t>
      </w:r>
      <w:r>
        <w:rPr>
          <w:rFonts w:hint="default" w:ascii="Times New Roman" w:hAnsi="Times New Roman" w:eastAsia="宋体" w:cs="Times New Roman"/>
          <w:color w:val="auto"/>
          <w:sz w:val="24"/>
          <w:highlight w:val="none"/>
          <w:lang w:val="en-US" w:eastAsia="zh-CN"/>
        </w:rPr>
        <w:t>3.3</w:t>
      </w:r>
      <w:r>
        <w:rPr>
          <w:rFonts w:hint="default" w:ascii="Times New Roman" w:hAnsi="Times New Roman" w:eastAsia="宋体" w:cs="Times New Roman"/>
          <w:color w:val="auto"/>
          <w:sz w:val="24"/>
          <w:highlight w:val="none"/>
        </w:rPr>
        <w:t>%。</w:t>
      </w:r>
    </w:p>
    <w:p>
      <w:pP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对不同程度的土壤侵蚀数据进行加权平均计算，得出评价区的平均土壤侵蚀模数约为</w:t>
      </w:r>
      <w:r>
        <w:rPr>
          <w:rFonts w:hint="default" w:ascii="Times New Roman" w:hAnsi="Times New Roman" w:eastAsia="宋体" w:cs="Times New Roman"/>
          <w:color w:val="auto"/>
          <w:sz w:val="24"/>
          <w:highlight w:val="none"/>
          <w:lang w:val="en-US" w:eastAsia="zh-CN"/>
        </w:rPr>
        <w:t>1286</w:t>
      </w:r>
      <w:r>
        <w:rPr>
          <w:rFonts w:hint="default" w:ascii="Times New Roman" w:hAnsi="Times New Roman" w:eastAsia="宋体" w:cs="Times New Roman"/>
          <w:color w:val="auto"/>
          <w:sz w:val="24"/>
          <w:highlight w:val="none"/>
        </w:rPr>
        <w:t>t/km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·a，由结果可以看出，评价区土壤侵蚀强度以轻度侵蚀为主。</w:t>
      </w:r>
    </w:p>
    <w:p>
      <w:pPr>
        <w:pStyle w:val="37"/>
        <w:ind w:left="0" w:leftChars="0" w:firstLine="0" w:firstLineChars="0"/>
        <w:jc w:val="center"/>
        <w:rPr>
          <w:rFonts w:hint="default" w:ascii="Times New Roman" w:hAnsi="Times New Roman" w:eastAsia="宋体" w:cs="Times New Roman"/>
          <w:b/>
          <w:bCs/>
          <w:color w:val="auto"/>
          <w:highlight w:val="none"/>
          <w:lang w:val="en-US" w:eastAsia="zh-CN"/>
        </w:rPr>
      </w:pPr>
      <w:r>
        <w:rPr>
          <w:color w:val="auto"/>
        </w:rPr>
        <w:drawing>
          <wp:inline distT="0" distB="0" distL="114300" distR="114300">
            <wp:extent cx="5651500" cy="3726180"/>
            <wp:effectExtent l="0" t="0" r="6350" b="7620"/>
            <wp:docPr id="33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59"/>
                    <pic:cNvPicPr>
                      <a:picLocks noChangeAspect="1"/>
                    </pic:cNvPicPr>
                  </pic:nvPicPr>
                  <pic:blipFill>
                    <a:blip r:embed="rId102"/>
                    <a:stretch>
                      <a:fillRect/>
                    </a:stretch>
                  </pic:blipFill>
                  <pic:spPr>
                    <a:xfrm>
                      <a:off x="0" y="0"/>
                      <a:ext cx="5651500" cy="3726180"/>
                    </a:xfrm>
                    <a:prstGeom prst="rect">
                      <a:avLst/>
                    </a:prstGeom>
                    <a:noFill/>
                    <a:ln>
                      <a:noFill/>
                    </a:ln>
                  </pic:spPr>
                </pic:pic>
              </a:graphicData>
            </a:graphic>
          </wp:inline>
        </w:drawing>
      </w:r>
    </w:p>
    <w:p>
      <w:pPr>
        <w:pStyle w:val="37"/>
        <w:ind w:left="0" w:leftChars="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lang w:val="en-US" w:eastAsia="zh-CN"/>
        </w:rPr>
        <w:t>图5.1-8项目评价区土壤侵蚀现状图</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土地利用现状调查</w:t>
      </w:r>
    </w:p>
    <w:p>
      <w:pPr>
        <w:ind w:firstLine="48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rPr>
        <w:t>矿区拐点范围内面积</w:t>
      </w:r>
      <w:r>
        <w:rPr>
          <w:rFonts w:hint="default" w:ascii="Times New Roman" w:hAnsi="Times New Roman" w:eastAsia="宋体" w:cs="Times New Roman"/>
          <w:color w:val="auto"/>
          <w:highlight w:val="none"/>
          <w:lang w:val="en-US" w:eastAsia="zh-CN"/>
        </w:rPr>
        <w:t>0.4780km2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4"/>
          <w:highlight w:val="none"/>
        </w:rPr>
        <w:t>涉及4种土地类型（二级地类），包括有林地、</w:t>
      </w:r>
      <w:r>
        <w:rPr>
          <w:rFonts w:hint="eastAsia" w:cs="Times New Roman"/>
          <w:color w:val="auto"/>
          <w:sz w:val="24"/>
          <w:highlight w:val="none"/>
          <w:lang w:val="en-US" w:eastAsia="zh-CN"/>
        </w:rPr>
        <w:t>耕地</w:t>
      </w:r>
      <w:r>
        <w:rPr>
          <w:rFonts w:hint="default" w:ascii="Times New Roman" w:hAnsi="Times New Roman" w:eastAsia="宋体" w:cs="Times New Roman"/>
          <w:color w:val="auto"/>
          <w:sz w:val="24"/>
          <w:highlight w:val="none"/>
        </w:rPr>
        <w:t>、其他草地和工况建设用地。统计出矿区的地类面积，详见表</w:t>
      </w:r>
      <w:r>
        <w:rPr>
          <w:rFonts w:hint="default" w:ascii="Times New Roman" w:hAnsi="Times New Roman" w:eastAsia="宋体" w:cs="Times New Roman"/>
          <w:color w:val="auto"/>
          <w:sz w:val="24"/>
          <w:highlight w:val="none"/>
          <w:lang w:val="en-US" w:eastAsia="zh-CN"/>
        </w:rPr>
        <w:t>5</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1</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9和</w:t>
      </w:r>
      <w:r>
        <w:rPr>
          <w:rFonts w:hint="default" w:ascii="Times New Roman" w:hAnsi="Times New Roman" w:eastAsia="宋体" w:cs="Times New Roman"/>
          <w:color w:val="auto"/>
          <w:highlight w:val="none"/>
        </w:rPr>
        <w:t>图</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5.1-9</w:t>
      </w:r>
      <w:r>
        <w:rPr>
          <w:rFonts w:hint="default" w:ascii="Times New Roman" w:hAnsi="Times New Roman" w:eastAsia="宋体" w:cs="Times New Roman"/>
          <w:b/>
          <w:color w:val="auto"/>
          <w:sz w:val="21"/>
          <w:szCs w:val="21"/>
          <w:highlight w:val="none"/>
        </w:rPr>
        <w:t>项目区土地类型</w:t>
      </w:r>
      <w:r>
        <w:rPr>
          <w:rFonts w:hint="default" w:ascii="Times New Roman" w:hAnsi="Times New Roman" w:eastAsia="宋体" w:cs="Times New Roman"/>
          <w:b/>
          <w:color w:val="auto"/>
          <w:sz w:val="21"/>
          <w:szCs w:val="21"/>
          <w:highlight w:val="none"/>
          <w:lang w:val="en-US" w:eastAsia="zh-CN"/>
        </w:rPr>
        <w:t>情况</w:t>
      </w:r>
    </w:p>
    <w:tbl>
      <w:tblPr>
        <w:tblStyle w:val="45"/>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89"/>
        <w:gridCol w:w="1737"/>
        <w:gridCol w:w="1962"/>
        <w:gridCol w:w="1960"/>
        <w:gridCol w:w="196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817" w:type="pct"/>
            <w:vMerge w:val="restar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植被类型</w:t>
            </w:r>
          </w:p>
        </w:tc>
        <w:tc>
          <w:tcPr>
            <w:tcW w:w="2029" w:type="pct"/>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评价区</w:t>
            </w:r>
          </w:p>
        </w:tc>
        <w:tc>
          <w:tcPr>
            <w:tcW w:w="2152" w:type="pct"/>
            <w:gridSpan w:val="2"/>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矿区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817" w:type="pct"/>
            <w:vMerge w:val="continue"/>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p>
        </w:tc>
        <w:tc>
          <w:tcPr>
            <w:tcW w:w="95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面积(hm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7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比例(%)</w:t>
            </w:r>
          </w:p>
        </w:tc>
        <w:tc>
          <w:tcPr>
            <w:tcW w:w="19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面积(hm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6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817"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eastAsia" w:ascii="宋体" w:hAnsi="宋体" w:eastAsia="宋体" w:cs="宋体"/>
                <w:i w:val="0"/>
                <w:iCs w:val="0"/>
                <w:color w:val="auto"/>
                <w:kern w:val="0"/>
                <w:sz w:val="21"/>
                <w:szCs w:val="21"/>
                <w:u w:val="none"/>
                <w:lang w:val="en-US" w:eastAsia="zh-CN" w:bidi="ar"/>
              </w:rPr>
              <w:t>耕地</w:t>
            </w:r>
          </w:p>
        </w:tc>
        <w:tc>
          <w:tcPr>
            <w:tcW w:w="95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107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2.51 </w:t>
            </w:r>
          </w:p>
        </w:tc>
        <w:tc>
          <w:tcPr>
            <w:tcW w:w="19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c>
          <w:tcPr>
            <w:tcW w:w="196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817"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lang w:val="en-US"/>
              </w:rPr>
            </w:pPr>
            <w:r>
              <w:rPr>
                <w:rFonts w:hint="eastAsia" w:ascii="宋体" w:hAnsi="宋体" w:eastAsia="宋体" w:cs="宋体"/>
                <w:i w:val="0"/>
                <w:iCs w:val="0"/>
                <w:color w:val="auto"/>
                <w:kern w:val="0"/>
                <w:sz w:val="21"/>
                <w:szCs w:val="21"/>
                <w:u w:val="none"/>
                <w:lang w:val="en-US" w:eastAsia="zh-CN" w:bidi="ar"/>
              </w:rPr>
              <w:t>林地</w:t>
            </w:r>
          </w:p>
        </w:tc>
        <w:tc>
          <w:tcPr>
            <w:tcW w:w="95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254.1</w:t>
            </w:r>
          </w:p>
        </w:tc>
        <w:tc>
          <w:tcPr>
            <w:tcW w:w="107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91.21 </w:t>
            </w:r>
          </w:p>
        </w:tc>
        <w:tc>
          <w:tcPr>
            <w:tcW w:w="19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41.7</w:t>
            </w:r>
          </w:p>
        </w:tc>
        <w:tc>
          <w:tcPr>
            <w:tcW w:w="196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87.24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817"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eastAsia" w:ascii="宋体" w:hAnsi="宋体" w:eastAsia="宋体" w:cs="宋体"/>
                <w:i w:val="0"/>
                <w:iCs w:val="0"/>
                <w:color w:val="auto"/>
                <w:kern w:val="0"/>
                <w:sz w:val="21"/>
                <w:szCs w:val="21"/>
                <w:u w:val="none"/>
                <w:lang w:val="en-US" w:eastAsia="zh-CN" w:bidi="ar"/>
              </w:rPr>
              <w:t>其他草地</w:t>
            </w:r>
          </w:p>
        </w:tc>
        <w:tc>
          <w:tcPr>
            <w:tcW w:w="95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8.2</w:t>
            </w:r>
          </w:p>
        </w:tc>
        <w:tc>
          <w:tcPr>
            <w:tcW w:w="107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2.94 </w:t>
            </w:r>
          </w:p>
        </w:tc>
        <w:tc>
          <w:tcPr>
            <w:tcW w:w="19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3.6</w:t>
            </w:r>
          </w:p>
        </w:tc>
        <w:tc>
          <w:tcPr>
            <w:tcW w:w="196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7.53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817"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lang w:val="en-US"/>
              </w:rPr>
            </w:pPr>
            <w:r>
              <w:rPr>
                <w:rFonts w:hint="eastAsia" w:ascii="宋体" w:hAnsi="宋体" w:cs="宋体"/>
                <w:i w:val="0"/>
                <w:iCs w:val="0"/>
                <w:color w:val="auto"/>
                <w:kern w:val="0"/>
                <w:sz w:val="21"/>
                <w:szCs w:val="21"/>
                <w:u w:val="none"/>
                <w:lang w:val="en-US" w:eastAsia="zh-CN" w:bidi="ar"/>
              </w:rPr>
              <w:t>工况建设用地</w:t>
            </w:r>
          </w:p>
        </w:tc>
        <w:tc>
          <w:tcPr>
            <w:tcW w:w="95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9.3</w:t>
            </w:r>
          </w:p>
        </w:tc>
        <w:tc>
          <w:tcPr>
            <w:tcW w:w="107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 xml:space="preserve">3.34 </w:t>
            </w:r>
          </w:p>
        </w:tc>
        <w:tc>
          <w:tcPr>
            <w:tcW w:w="19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96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5.23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exact"/>
          <w:jc w:val="center"/>
        </w:trPr>
        <w:tc>
          <w:tcPr>
            <w:tcW w:w="817" w:type="pct"/>
            <w:vAlign w:val="center"/>
          </w:tcPr>
          <w:p>
            <w:pPr>
              <w:keepNext w:val="0"/>
              <w:keepLines w:val="0"/>
              <w:widowControl/>
              <w:suppressLineNumbers w:val="0"/>
              <w:ind w:firstLine="420" w:firstLineChars="200"/>
              <w:jc w:val="center"/>
              <w:textAlignment w:val="center"/>
              <w:rPr>
                <w:rFonts w:hint="default" w:ascii="Times New Roman" w:hAnsi="Times New Roman" w:eastAsia="宋体" w:cs="Times New Roman"/>
                <w:color w:val="auto"/>
                <w:highlight w:val="none"/>
              </w:rPr>
            </w:pPr>
            <w:r>
              <w:rPr>
                <w:rFonts w:hint="eastAsia" w:ascii="宋体" w:hAnsi="宋体" w:eastAsia="宋体" w:cs="宋体"/>
                <w:i w:val="0"/>
                <w:iCs w:val="0"/>
                <w:color w:val="auto"/>
                <w:kern w:val="0"/>
                <w:sz w:val="21"/>
                <w:szCs w:val="21"/>
                <w:u w:val="none"/>
                <w:lang w:val="en-US" w:eastAsia="zh-CN" w:bidi="ar"/>
              </w:rPr>
              <w:t>合计</w:t>
            </w:r>
          </w:p>
        </w:tc>
        <w:tc>
          <w:tcPr>
            <w:tcW w:w="953"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278.6</w:t>
            </w:r>
          </w:p>
        </w:tc>
        <w:tc>
          <w:tcPr>
            <w:tcW w:w="1076" w:type="pct"/>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196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47.8</w:t>
            </w:r>
          </w:p>
        </w:tc>
        <w:tc>
          <w:tcPr>
            <w:tcW w:w="196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100</w:t>
            </w:r>
          </w:p>
        </w:tc>
      </w:tr>
    </w:tbl>
    <w:p>
      <w:pPr>
        <w:spacing w:before="72" w:beforeLines="30" w:after="72" w:afterLines="30"/>
        <w:ind w:firstLine="480"/>
        <w:rPr>
          <w:rFonts w:hint="default" w:ascii="Times New Roman" w:hAnsi="Times New Roman" w:eastAsia="宋体" w:cs="Times New Roman"/>
          <w:color w:val="auto"/>
          <w:highlight w:val="none"/>
          <w:lang w:eastAsia="zh-CN"/>
        </w:rPr>
      </w:pPr>
    </w:p>
    <w:p>
      <w:pPr>
        <w:rPr>
          <w:rFonts w:hint="default" w:ascii="Times New Roman" w:hAnsi="Times New Roman" w:eastAsia="宋体" w:cs="Times New Roman"/>
          <w:color w:val="auto"/>
          <w:highlight w:val="none"/>
        </w:rPr>
        <w:sectPr>
          <w:pgSz w:w="11907" w:h="16840"/>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ind w:left="0" w:leftChars="0" w:firstLine="0" w:firstLineChars="0"/>
        <w:jc w:val="center"/>
        <w:rPr>
          <w:rFonts w:hint="default" w:ascii="Times New Roman" w:hAnsi="Times New Roman" w:eastAsia="宋体" w:cs="Times New Roman"/>
          <w:b/>
          <w:bCs/>
          <w:color w:val="auto"/>
          <w:highlight w:val="none"/>
          <w:lang w:val="en-US" w:eastAsia="zh-CN"/>
        </w:rPr>
      </w:pPr>
      <w:r>
        <w:rPr>
          <w:color w:val="auto"/>
        </w:rPr>
        <w:drawing>
          <wp:inline distT="0" distB="0" distL="114300" distR="114300">
            <wp:extent cx="8128000" cy="5328285"/>
            <wp:effectExtent l="0" t="0" r="6350" b="5715"/>
            <wp:docPr id="33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58"/>
                    <pic:cNvPicPr>
                      <a:picLocks noChangeAspect="1"/>
                    </pic:cNvPicPr>
                  </pic:nvPicPr>
                  <pic:blipFill>
                    <a:blip r:embed="rId103"/>
                    <a:stretch>
                      <a:fillRect/>
                    </a:stretch>
                  </pic:blipFill>
                  <pic:spPr>
                    <a:xfrm>
                      <a:off x="0" y="0"/>
                      <a:ext cx="8128000" cy="5328285"/>
                    </a:xfrm>
                    <a:prstGeom prst="rect">
                      <a:avLst/>
                    </a:prstGeom>
                    <a:noFill/>
                    <a:ln>
                      <a:noFill/>
                    </a:ln>
                  </pic:spPr>
                </pic:pic>
              </a:graphicData>
            </a:graphic>
          </wp:inline>
        </w:drawing>
      </w:r>
    </w:p>
    <w:p>
      <w:pPr>
        <w:ind w:left="0" w:leftChars="0" w:firstLine="0" w:firstLineChars="0"/>
        <w:jc w:val="center"/>
        <w:rPr>
          <w:rFonts w:hint="default" w:ascii="Times New Roman" w:hAnsi="Times New Roman" w:eastAsia="宋体" w:cs="Times New Roman"/>
          <w:b/>
          <w:bCs/>
          <w:color w:val="auto"/>
          <w:highlight w:val="none"/>
          <w:lang w:val="en-US" w:eastAsia="zh-CN"/>
        </w:rPr>
        <w:sectPr>
          <w:pgSz w:w="16840" w:h="11907" w:orient="landscape"/>
          <w:pgMar w:top="1418" w:right="1418" w:bottom="158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bCs/>
          <w:color w:val="auto"/>
          <w:highlight w:val="none"/>
          <w:lang w:val="en-US" w:eastAsia="zh-CN"/>
        </w:rPr>
        <w:t>图5.1-9项目评价区土地利用现状图</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生态敏感区调查</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矿区位于岫岩县城北东（22°）方向直距21km处，本项目矿区未在各类保护区或敏感区内，项目所在岫岩满族自治县各级自然保护区、水源保护区等生态敏感区的位置及距离见下表</w:t>
      </w:r>
      <w:r>
        <w:rPr>
          <w:rFonts w:hint="default" w:ascii="Times New Roman" w:hAnsi="Times New Roman" w:eastAsia="宋体" w:cs="Times New Roman"/>
          <w:color w:val="auto"/>
          <w:highlight w:val="none"/>
          <w:lang w:val="en-US" w:eastAsia="zh-CN"/>
        </w:rPr>
        <w:t>5.1-10</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5.1-10</w:t>
      </w:r>
      <w:r>
        <w:rPr>
          <w:rFonts w:hint="default" w:ascii="Times New Roman" w:hAnsi="Times New Roman" w:eastAsia="宋体" w:cs="Times New Roman"/>
          <w:b/>
          <w:color w:val="auto"/>
          <w:sz w:val="21"/>
          <w:szCs w:val="21"/>
          <w:highlight w:val="none"/>
        </w:rPr>
        <w:t>项目与生态敏区的关系</w:t>
      </w:r>
    </w:p>
    <w:tbl>
      <w:tblPr>
        <w:tblStyle w:val="45"/>
        <w:tblW w:w="9240" w:type="dxa"/>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785"/>
        <w:gridCol w:w="1569"/>
        <w:gridCol w:w="1315"/>
        <w:gridCol w:w="1942"/>
        <w:gridCol w:w="1175"/>
        <w:gridCol w:w="1240"/>
        <w:gridCol w:w="121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7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序号</w:t>
            </w:r>
          </w:p>
        </w:tc>
        <w:tc>
          <w:tcPr>
            <w:tcW w:w="15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保护区名称</w:t>
            </w:r>
          </w:p>
        </w:tc>
        <w:tc>
          <w:tcPr>
            <w:tcW w:w="13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面积（km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9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主要保护对象</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保护区级别</w:t>
            </w:r>
          </w:p>
        </w:tc>
        <w:tc>
          <w:tcPr>
            <w:tcW w:w="12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与本项目矿区方位</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与本项目矿区距离（km）</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7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15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岫岩药山风景区</w:t>
            </w:r>
          </w:p>
        </w:tc>
        <w:tc>
          <w:tcPr>
            <w:tcW w:w="13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68.44</w:t>
            </w:r>
          </w:p>
        </w:tc>
        <w:tc>
          <w:tcPr>
            <w:tcW w:w="19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风景名胜</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省级</w:t>
            </w:r>
          </w:p>
        </w:tc>
        <w:tc>
          <w:tcPr>
            <w:tcW w:w="12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NE</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7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15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清凉山省级自 然保护区</w:t>
            </w:r>
          </w:p>
        </w:tc>
        <w:tc>
          <w:tcPr>
            <w:tcW w:w="13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19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长白、华北植物区系交汇地带的原生 型森林生态系统及 生物多样性</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省级</w:t>
            </w:r>
          </w:p>
        </w:tc>
        <w:tc>
          <w:tcPr>
            <w:tcW w:w="12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NE</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7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15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岫岩老平顶自然保护区</w:t>
            </w:r>
          </w:p>
        </w:tc>
        <w:tc>
          <w:tcPr>
            <w:tcW w:w="13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13.72</w:t>
            </w:r>
          </w:p>
        </w:tc>
        <w:tc>
          <w:tcPr>
            <w:tcW w:w="19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长白、华北植物区系交汇地带森林生 态系统</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县级</w:t>
            </w:r>
          </w:p>
        </w:tc>
        <w:tc>
          <w:tcPr>
            <w:tcW w:w="12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E</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7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5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龙潭湾省级自然保护区</w:t>
            </w:r>
          </w:p>
        </w:tc>
        <w:tc>
          <w:tcPr>
            <w:tcW w:w="13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54.64</w:t>
            </w:r>
          </w:p>
        </w:tc>
        <w:tc>
          <w:tcPr>
            <w:tcW w:w="19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长白、华北植物区系交汇地带森林生 态系统</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省级</w:t>
            </w:r>
          </w:p>
        </w:tc>
        <w:tc>
          <w:tcPr>
            <w:tcW w:w="12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SW</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0" w:hRule="atLeast"/>
        </w:trPr>
        <w:tc>
          <w:tcPr>
            <w:tcW w:w="7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1569"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岫岩水源</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131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8.6785</w:t>
            </w:r>
          </w:p>
        </w:tc>
        <w:tc>
          <w:tcPr>
            <w:tcW w:w="194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饮用水（地下水）</w:t>
            </w:r>
          </w:p>
        </w:tc>
        <w:tc>
          <w:tcPr>
            <w:tcW w:w="117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县级</w:t>
            </w:r>
          </w:p>
        </w:tc>
        <w:tc>
          <w:tcPr>
            <w:tcW w:w="124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E</w:t>
            </w:r>
          </w:p>
        </w:tc>
        <w:tc>
          <w:tcPr>
            <w:tcW w:w="121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20.1</w:t>
            </w:r>
          </w:p>
        </w:tc>
      </w:tr>
    </w:tbl>
    <w:p>
      <w:pPr>
        <w:pStyle w:val="37"/>
        <w:ind w:left="0" w:leftChars="0" w:firstLine="0" w:firstLineChars="0"/>
        <w:rPr>
          <w:rFonts w:hint="default" w:ascii="Times New Roman" w:hAnsi="Times New Roman" w:eastAsia="宋体" w:cs="Times New Roman"/>
          <w:color w:val="auto"/>
          <w:highlight w:val="none"/>
        </w:rPr>
      </w:pPr>
    </w:p>
    <w:p>
      <w:pPr>
        <w:pStyle w:val="37"/>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741184" behindDoc="0" locked="0" layoutInCell="1" allowOverlap="1">
            <wp:simplePos x="0" y="0"/>
            <wp:positionH relativeFrom="column">
              <wp:posOffset>39370</wp:posOffset>
            </wp:positionH>
            <wp:positionV relativeFrom="paragraph">
              <wp:posOffset>18415</wp:posOffset>
            </wp:positionV>
            <wp:extent cx="657225" cy="733425"/>
            <wp:effectExtent l="0" t="0" r="9525" b="9525"/>
            <wp:wrapNone/>
            <wp:docPr id="29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58"/>
                    <pic:cNvPicPr>
                      <a:picLocks noChangeAspect="1"/>
                    </pic:cNvPicPr>
                  </pic:nvPicPr>
                  <pic:blipFill>
                    <a:blip r:embed="rId66"/>
                    <a:stretch>
                      <a:fillRect/>
                    </a:stretch>
                  </pic:blipFill>
                  <pic:spPr>
                    <a:xfrm>
                      <a:off x="0" y="0"/>
                      <a:ext cx="657225" cy="733425"/>
                    </a:xfrm>
                    <a:prstGeom prst="rect">
                      <a:avLst/>
                    </a:prstGeom>
                    <a:noFill/>
                    <a:ln>
                      <a:noFill/>
                    </a:ln>
                  </pic:spPr>
                </pic:pic>
              </a:graphicData>
            </a:graphic>
          </wp:anchor>
        </w:drawing>
      </w:r>
      <w:r>
        <w:rPr>
          <w:rFonts w:hint="default" w:ascii="Times New Roman" w:hAnsi="Times New Roman" w:eastAsia="宋体" w:cs="Times New Roman"/>
          <w:color w:val="auto"/>
          <w:highlight w:val="none"/>
        </w:rPr>
        <w:drawing>
          <wp:anchor distT="0" distB="0" distL="114300" distR="114300" simplePos="0" relativeHeight="251740160" behindDoc="0" locked="0" layoutInCell="1" allowOverlap="1">
            <wp:simplePos x="0" y="0"/>
            <wp:positionH relativeFrom="column">
              <wp:posOffset>5064125</wp:posOffset>
            </wp:positionH>
            <wp:positionV relativeFrom="paragraph">
              <wp:posOffset>3452495</wp:posOffset>
            </wp:positionV>
            <wp:extent cx="692785" cy="467995"/>
            <wp:effectExtent l="0" t="0" r="12065" b="8255"/>
            <wp:wrapNone/>
            <wp:docPr id="29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66"/>
                    <pic:cNvPicPr>
                      <a:picLocks noChangeAspect="1"/>
                    </pic:cNvPicPr>
                  </pic:nvPicPr>
                  <pic:blipFill>
                    <a:blip r:embed="rId104"/>
                    <a:stretch>
                      <a:fillRect/>
                    </a:stretch>
                  </pic:blipFill>
                  <pic:spPr>
                    <a:xfrm>
                      <a:off x="0" y="0"/>
                      <a:ext cx="692785" cy="467995"/>
                    </a:xfrm>
                    <a:prstGeom prst="rect">
                      <a:avLst/>
                    </a:prstGeom>
                    <a:noFill/>
                    <a:ln>
                      <a:noFill/>
                    </a:ln>
                  </pic:spPr>
                </pic:pic>
              </a:graphicData>
            </a:graphic>
          </wp:anchor>
        </w:drawing>
      </w:r>
      <w:r>
        <w:rPr>
          <w:rFonts w:hint="default" w:ascii="Times New Roman" w:hAnsi="Times New Roman" w:eastAsia="宋体" w:cs="Times New Roman"/>
          <w:color w:val="auto"/>
          <w:highlight w:val="none"/>
        </w:rPr>
        <w:drawing>
          <wp:inline distT="0" distB="0" distL="114300" distR="114300">
            <wp:extent cx="5758815" cy="3935095"/>
            <wp:effectExtent l="9525" t="9525" r="22860" b="17780"/>
            <wp:docPr id="29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65"/>
                    <pic:cNvPicPr>
                      <a:picLocks noChangeAspect="1"/>
                    </pic:cNvPicPr>
                  </pic:nvPicPr>
                  <pic:blipFill>
                    <a:blip r:embed="rId105"/>
                    <a:stretch>
                      <a:fillRect/>
                    </a:stretch>
                  </pic:blipFill>
                  <pic:spPr>
                    <a:xfrm>
                      <a:off x="0" y="0"/>
                      <a:ext cx="5758815" cy="3935095"/>
                    </a:xfrm>
                    <a:prstGeom prst="rect">
                      <a:avLst/>
                    </a:prstGeom>
                    <a:noFill/>
                    <a:ln>
                      <a:solidFill>
                        <a:schemeClr val="tx1"/>
                      </a:solidFill>
                    </a:ln>
                  </pic:spPr>
                </pic:pic>
              </a:graphicData>
            </a:graphic>
          </wp:inline>
        </w:drawing>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5.1-10</w:t>
      </w:r>
      <w:r>
        <w:rPr>
          <w:rFonts w:hint="default" w:ascii="Times New Roman" w:hAnsi="Times New Roman" w:eastAsia="宋体" w:cs="Times New Roman"/>
          <w:b/>
          <w:color w:val="auto"/>
          <w:sz w:val="21"/>
          <w:szCs w:val="21"/>
          <w:highlight w:val="none"/>
        </w:rPr>
        <w:t xml:space="preserve"> 本工程</w:t>
      </w:r>
      <w:r>
        <w:rPr>
          <w:rFonts w:hint="default" w:ascii="Times New Roman" w:hAnsi="Times New Roman" w:eastAsia="宋体" w:cs="Times New Roman"/>
          <w:b/>
          <w:color w:val="auto"/>
          <w:sz w:val="21"/>
          <w:szCs w:val="21"/>
          <w:highlight w:val="none"/>
          <w:lang w:val="en-US" w:eastAsia="zh-CN"/>
        </w:rPr>
        <w:t>与岫岩</w:t>
      </w:r>
      <w:r>
        <w:rPr>
          <w:rFonts w:hint="default" w:ascii="Times New Roman" w:hAnsi="Times New Roman" w:eastAsia="宋体" w:cs="Times New Roman"/>
          <w:b/>
          <w:color w:val="auto"/>
          <w:sz w:val="21"/>
          <w:szCs w:val="21"/>
          <w:highlight w:val="none"/>
        </w:rPr>
        <w:t>生态敏感区</w:t>
      </w:r>
      <w:r>
        <w:rPr>
          <w:rFonts w:hint="default" w:ascii="Times New Roman" w:hAnsi="Times New Roman" w:eastAsia="宋体" w:cs="Times New Roman"/>
          <w:b/>
          <w:color w:val="auto"/>
          <w:sz w:val="21"/>
          <w:szCs w:val="21"/>
          <w:highlight w:val="none"/>
          <w:lang w:val="en-US" w:eastAsia="zh-CN"/>
        </w:rPr>
        <w:t>位置</w:t>
      </w:r>
      <w:r>
        <w:rPr>
          <w:rFonts w:hint="default" w:ascii="Times New Roman" w:hAnsi="Times New Roman" w:eastAsia="宋体" w:cs="Times New Roman"/>
          <w:b/>
          <w:color w:val="auto"/>
          <w:sz w:val="21"/>
          <w:szCs w:val="21"/>
          <w:highlight w:val="none"/>
        </w:rPr>
        <w:t>示意图</w:t>
      </w:r>
    </w:p>
    <w:p>
      <w:pPr>
        <w:pStyle w:val="5"/>
        <w:bidi w:val="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公益林</w:t>
      </w:r>
      <w:r>
        <w:rPr>
          <w:rFonts w:hint="default" w:ascii="Times New Roman" w:hAnsi="Times New Roman" w:eastAsia="宋体" w:cs="Times New Roman"/>
          <w:color w:val="auto"/>
          <w:highlight w:val="none"/>
        </w:rPr>
        <w:t>调查</w:t>
      </w:r>
    </w:p>
    <w:p>
      <w:pP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根据辽宁省林业和草原局《关于鞍山市申请调整部分生态公益林的批复》辽林草批字（2020）12号，</w:t>
      </w:r>
      <w:r>
        <w:rPr>
          <w:rFonts w:hint="default" w:ascii="Times New Roman" w:hAnsi="Times New Roman" w:eastAsia="宋体" w:cs="Times New Roman"/>
          <w:color w:val="auto"/>
          <w:highlight w:val="none"/>
        </w:rPr>
        <w:t>本项目矿区范围</w:t>
      </w:r>
      <w:r>
        <w:rPr>
          <w:rFonts w:hint="eastAsia" w:ascii="Times New Roman" w:hAnsi="Times New Roman" w:eastAsia="宋体" w:cs="Times New Roman"/>
          <w:color w:val="auto"/>
          <w:highlight w:val="none"/>
          <w:lang w:val="en-US" w:eastAsia="zh-CN"/>
        </w:rPr>
        <w:t>及周边原有</w:t>
      </w:r>
      <w:r>
        <w:rPr>
          <w:rFonts w:hint="default" w:ascii="Times New Roman" w:hAnsi="Times New Roman" w:eastAsia="宋体" w:cs="Times New Roman"/>
          <w:color w:val="auto"/>
          <w:highlight w:val="none"/>
        </w:rPr>
        <w:t>国家</w:t>
      </w:r>
      <w:r>
        <w:rPr>
          <w:rFonts w:hint="eastAsia" w:ascii="Times New Roman" w:hAnsi="Times New Roman" w:eastAsia="宋体" w:cs="Times New Roman"/>
          <w:color w:val="auto"/>
          <w:highlight w:val="none"/>
          <w:lang w:val="en-US" w:eastAsia="zh-CN"/>
        </w:rPr>
        <w:t>公益林已全部调整为商业林</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调节范围见表5.1-11及图5.1-11</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5.1-1</w:t>
      </w:r>
      <w:r>
        <w:rPr>
          <w:rFonts w:hint="eastAsia" w:ascii="Times New Roman" w:hAnsi="Times New Roman" w:eastAsia="宋体" w:cs="Times New Roman"/>
          <w:b/>
          <w:color w:val="auto"/>
          <w:sz w:val="21"/>
          <w:szCs w:val="21"/>
          <w:highlight w:val="none"/>
          <w:lang w:val="en-US" w:eastAsia="zh-CN"/>
        </w:rPr>
        <w:t>1 鞍山市生态公益林调整小斑序列表（本项目区域部分）  单位公顷</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1086"/>
        <w:gridCol w:w="1074"/>
        <w:gridCol w:w="680"/>
        <w:gridCol w:w="680"/>
        <w:gridCol w:w="680"/>
        <w:gridCol w:w="885"/>
        <w:gridCol w:w="1650"/>
        <w:gridCol w:w="16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县</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乡</w:t>
            </w:r>
          </w:p>
        </w:tc>
        <w:tc>
          <w:tcPr>
            <w:tcW w:w="107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林斑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小斑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面积</w:t>
            </w:r>
          </w:p>
        </w:tc>
        <w:tc>
          <w:tcPr>
            <w:tcW w:w="8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地类</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调整期</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森林类别</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调整后</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森林类别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岫岩县</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苏子沟镇</w:t>
            </w:r>
          </w:p>
        </w:tc>
        <w:tc>
          <w:tcPr>
            <w:tcW w:w="107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何家堡村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7</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14.5</w:t>
            </w:r>
          </w:p>
        </w:tc>
        <w:tc>
          <w:tcPr>
            <w:tcW w:w="8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阔叶林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国家级公益林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商品林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岫岩县</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苏子沟镇</w:t>
            </w:r>
          </w:p>
        </w:tc>
        <w:tc>
          <w:tcPr>
            <w:tcW w:w="107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何家堡村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9</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3.16</w:t>
            </w:r>
          </w:p>
        </w:tc>
        <w:tc>
          <w:tcPr>
            <w:tcW w:w="8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阔叶林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国家级公益林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商品林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岫岩县</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大房身乡</w:t>
            </w:r>
          </w:p>
        </w:tc>
        <w:tc>
          <w:tcPr>
            <w:tcW w:w="107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大房身村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29</w:t>
            </w:r>
          </w:p>
        </w:tc>
        <w:tc>
          <w:tcPr>
            <w:tcW w:w="8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阔叶林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国家级公益林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商品林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岫岩县</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大房身乡</w:t>
            </w:r>
          </w:p>
        </w:tc>
        <w:tc>
          <w:tcPr>
            <w:tcW w:w="107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大房身村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8.1</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1.1</w:t>
            </w:r>
          </w:p>
        </w:tc>
        <w:tc>
          <w:tcPr>
            <w:tcW w:w="8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阔叶林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国家级公益林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商品林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岫岩县</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大房身乡</w:t>
            </w:r>
          </w:p>
        </w:tc>
        <w:tc>
          <w:tcPr>
            <w:tcW w:w="107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大房身村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8.2</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w:t>
            </w:r>
          </w:p>
        </w:tc>
        <w:tc>
          <w:tcPr>
            <w:tcW w:w="8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阔叶林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国家级公益林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商品林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岫岩县</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大房身乡</w:t>
            </w:r>
          </w:p>
        </w:tc>
        <w:tc>
          <w:tcPr>
            <w:tcW w:w="107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和平村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17</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7</w:t>
            </w:r>
          </w:p>
        </w:tc>
        <w:tc>
          <w:tcPr>
            <w:tcW w:w="8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阔叶林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国家级公益林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商品林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02"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岫岩县</w:t>
            </w:r>
          </w:p>
        </w:tc>
        <w:tc>
          <w:tcPr>
            <w:tcW w:w="1086"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大房身乡</w:t>
            </w:r>
          </w:p>
        </w:tc>
        <w:tc>
          <w:tcPr>
            <w:tcW w:w="1074"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和平村</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4</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18</w:t>
            </w:r>
          </w:p>
        </w:tc>
        <w:tc>
          <w:tcPr>
            <w:tcW w:w="68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0.3</w:t>
            </w:r>
          </w:p>
        </w:tc>
        <w:tc>
          <w:tcPr>
            <w:tcW w:w="885"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阔叶林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国家级公益林</w:t>
            </w:r>
          </w:p>
        </w:tc>
        <w:tc>
          <w:tcPr>
            <w:tcW w:w="1650" w:type="dxa"/>
            <w:tcBorders>
              <w:tl2br w:val="nil"/>
              <w:tr2bl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商品林</w:t>
            </w:r>
          </w:p>
        </w:tc>
      </w:tr>
    </w:tbl>
    <w:p>
      <w:pPr>
        <w:pStyle w:val="37"/>
        <w:keepNext w:val="0"/>
        <w:keepLines w:val="0"/>
        <w:pageBreakBefore w:val="0"/>
        <w:widowControl w:val="0"/>
        <w:kinsoku/>
        <w:wordWrap/>
        <w:overflowPunct/>
        <w:topLinePunct w:val="0"/>
        <w:autoSpaceDE/>
        <w:autoSpaceDN/>
        <w:bidi w:val="0"/>
        <w:adjustRightInd w:val="0"/>
        <w:snapToGrid w:val="0"/>
        <w:spacing w:before="253" w:beforeLines="50"/>
        <w:ind w:left="0" w:leftChars="0" w:firstLine="0" w:firstLineChars="0"/>
        <w:textAlignment w:val="auto"/>
        <w:rPr>
          <w:rFonts w:hint="eastAsia" w:ascii="Times New Roman" w:hAnsi="Times New Roman" w:eastAsia="宋体" w:cs="Times New Roman"/>
          <w:b/>
          <w:color w:val="auto"/>
          <w:sz w:val="21"/>
          <w:szCs w:val="21"/>
          <w:highlight w:val="none"/>
          <w:lang w:eastAsia="zh-CN"/>
        </w:rPr>
      </w:pPr>
      <w:r>
        <w:rPr>
          <w:rFonts w:hint="eastAsia" w:ascii="Times New Roman" w:hAnsi="Times New Roman" w:eastAsia="宋体" w:cs="Times New Roman"/>
          <w:b/>
          <w:color w:val="auto"/>
          <w:sz w:val="21"/>
          <w:szCs w:val="21"/>
          <w:highlight w:val="none"/>
          <w:lang w:eastAsia="zh-CN"/>
        </w:rPr>
        <w:drawing>
          <wp:inline distT="0" distB="0" distL="114300" distR="114300">
            <wp:extent cx="5755640" cy="4208145"/>
            <wp:effectExtent l="9525" t="9525" r="26035" b="11430"/>
            <wp:docPr id="86" name="图片 86" descr="关于鞍山申请调整部分公益林的批复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关于鞍山申请调整部分公益林的批复5"/>
                    <pic:cNvPicPr>
                      <a:picLocks noChangeAspect="1"/>
                    </pic:cNvPicPr>
                  </pic:nvPicPr>
                  <pic:blipFill>
                    <a:blip r:embed="rId106"/>
                    <a:stretch>
                      <a:fillRect/>
                    </a:stretch>
                  </pic:blipFill>
                  <pic:spPr>
                    <a:xfrm>
                      <a:off x="0" y="0"/>
                      <a:ext cx="5755640" cy="4208145"/>
                    </a:xfrm>
                    <a:prstGeom prst="rect">
                      <a:avLst/>
                    </a:prstGeom>
                    <a:ln>
                      <a:solidFill>
                        <a:schemeClr val="tx1"/>
                      </a:solidFill>
                    </a:ln>
                  </pic:spPr>
                </pic:pic>
              </a:graphicData>
            </a:graphic>
          </wp:inline>
        </w:drawing>
      </w:r>
    </w:p>
    <w:p>
      <w:pPr>
        <w:spacing w:line="240" w:lineRule="auto"/>
        <w:ind w:firstLine="422"/>
        <w:jc w:val="center"/>
        <w:rPr>
          <w:rFonts w:hint="default" w:ascii="Times New Roman" w:hAnsi="Times New Roman" w:eastAsia="宋体" w:cs="Times New Roman"/>
          <w:b/>
          <w:color w:val="auto"/>
          <w:sz w:val="21"/>
          <w:szCs w:val="21"/>
          <w:highlight w:val="none"/>
          <w:lang w:val="en-US"/>
        </w:rPr>
      </w:pPr>
      <w:r>
        <w:rPr>
          <w:rFonts w:hint="default" w:ascii="Times New Roman" w:hAnsi="Times New Roman" w:eastAsia="宋体" w:cs="Times New Roman"/>
          <w:b/>
          <w:color w:val="auto"/>
          <w:sz w:val="21"/>
          <w:szCs w:val="21"/>
          <w:highlight w:val="none"/>
        </w:rPr>
        <w:t>图</w:t>
      </w:r>
      <w:r>
        <w:rPr>
          <w:rFonts w:hint="default" w:ascii="Times New Roman" w:hAnsi="Times New Roman" w:eastAsia="宋体" w:cs="Times New Roman"/>
          <w:b/>
          <w:color w:val="auto"/>
          <w:sz w:val="21"/>
          <w:szCs w:val="21"/>
          <w:highlight w:val="none"/>
          <w:lang w:val="en-US" w:eastAsia="zh-CN"/>
        </w:rPr>
        <w:t>5.1-1</w:t>
      </w:r>
      <w:r>
        <w:rPr>
          <w:rFonts w:hint="eastAsia"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 xml:space="preserve"> 本工程</w:t>
      </w:r>
      <w:r>
        <w:rPr>
          <w:rFonts w:hint="eastAsia" w:ascii="Times New Roman" w:hAnsi="Times New Roman" w:eastAsia="宋体" w:cs="Times New Roman"/>
          <w:b/>
          <w:color w:val="auto"/>
          <w:sz w:val="21"/>
          <w:szCs w:val="21"/>
          <w:highlight w:val="none"/>
          <w:lang w:val="en-US" w:eastAsia="zh-CN"/>
        </w:rPr>
        <w:t>周边国家公益林调整结果示意图</w:t>
      </w:r>
    </w:p>
    <w:p>
      <w:pPr>
        <w:rPr>
          <w:rFonts w:hint="eastAsia"/>
          <w:color w:val="auto"/>
          <w:lang w:eastAsia="zh-CN"/>
        </w:rPr>
      </w:pPr>
      <w:r>
        <w:rPr>
          <w:rFonts w:hint="eastAsia"/>
          <w:color w:val="auto"/>
          <w:lang w:val="en-US" w:eastAsia="zh-CN"/>
        </w:rPr>
        <w:t>调整后，项目评价范围内林地全部为商品林。</w:t>
      </w:r>
      <w:r>
        <w:rPr>
          <w:rFonts w:hint="eastAsia"/>
          <w:color w:val="auto"/>
          <w:lang w:eastAsia="zh-CN"/>
        </w:rPr>
        <w:t>矿山在建设前期，应首先对已调整为商品林的原国家级公益林(阔叶林)进行实测，并采取切实可行措施尽量减少对现有阔叶林的破坏。</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生态环境现状评价</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景观生态体系的质量现状是由区域内自然环境、各种生物以及人类社会之间复杂的相互作用来决定的。从景观生态学结构与功能相匹配的观点出发，结构是否合理可以决定了景观功能状况的优劣。本次生态环境质量评价采用景观生态学理论来评价项目评价区的生态质量，采用传统生态学中优势度值法，通过计算各拼块的优势度，确定生态系统中的模地，对评价区环境质量状况作出判定，在景观的三组分（斑块、廊道和基质）中，基质是景观的背景区域，是一种重要的景观元素类型，在很大程度上决定了景观的性质，对景观的动态起着主导作用。判定基质有三个标准，即相对面积要大、连通程度要高、具有动态控制能力。对景观模地的判定一般采用生态学中重要值的方法决定某一斑块在景观中的优势（优势度值），其计算如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734016" behindDoc="0" locked="0" layoutInCell="1" allowOverlap="1">
            <wp:simplePos x="0" y="0"/>
            <wp:positionH relativeFrom="column">
              <wp:posOffset>1504950</wp:posOffset>
            </wp:positionH>
            <wp:positionV relativeFrom="paragraph">
              <wp:posOffset>38100</wp:posOffset>
            </wp:positionV>
            <wp:extent cx="2249805" cy="402590"/>
            <wp:effectExtent l="0" t="0" r="0" b="17145"/>
            <wp:wrapSquare wrapText="bothSides"/>
            <wp:docPr id="2069" name="图片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图片 1361"/>
                    <pic:cNvPicPr>
                      <a:picLocks noChangeAspect="1" noChangeArrowheads="1"/>
                    </pic:cNvPicPr>
                  </pic:nvPicPr>
                  <pic:blipFill>
                    <a:blip r:embed="rId107" cstate="print"/>
                    <a:srcRect/>
                    <a:stretch>
                      <a:fillRect/>
                    </a:stretch>
                  </pic:blipFill>
                  <pic:spPr>
                    <a:xfrm>
                      <a:off x="0" y="0"/>
                      <a:ext cx="2249805" cy="402590"/>
                    </a:xfrm>
                    <a:prstGeom prst="rect">
                      <a:avLst/>
                    </a:prstGeom>
                    <a:noFill/>
                    <a:ln w="9525">
                      <a:noFill/>
                      <a:miter lim="800000"/>
                      <a:headEnd/>
                      <a:tailEnd/>
                    </a:ln>
                  </pic:spPr>
                </pic:pic>
              </a:graphicData>
            </a:graphic>
          </wp:anchor>
        </w:drawing>
      </w:r>
    </w:p>
    <w:p>
      <w:pPr>
        <w:ind w:firstLine="480"/>
        <w:rPr>
          <w:rFonts w:hint="default" w:ascii="Times New Roman" w:hAnsi="Times New Roman" w:eastAsia="宋体" w:cs="Times New Roman"/>
          <w:color w:val="auto"/>
          <w:highlight w:val="none"/>
        </w:rPr>
      </w:pP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式中：Do—为优势度；</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Rd—拼块密度，其计算式为：</w:t>
      </w:r>
      <w:r>
        <w:rPr>
          <w:rFonts w:hint="default" w:ascii="Times New Roman" w:hAnsi="Times New Roman" w:eastAsia="宋体" w:cs="Times New Roman"/>
          <w:color w:val="auto"/>
          <w:position w:val="-26"/>
          <w:highlight w:val="none"/>
        </w:rPr>
        <w:object>
          <v:shape id="_x0000_i1032" o:spt="75" type="#_x0000_t75" style="height:36pt;width:129pt;" o:ole="t" filled="f" o:preferrelative="t" stroked="f" coordsize="21600,21600">
            <v:path/>
            <v:fill on="f" focussize="0,0"/>
            <v:stroke on="f" joinstyle="miter"/>
            <v:imagedata r:id="rId109" o:title=""/>
            <o:lock v:ext="edit" aspectratio="t"/>
            <w10:wrap type="none"/>
            <w10:anchorlock/>
          </v:shape>
          <o:OLEObject Type="Embed" ProgID="Equation.DSMT4" ShapeID="_x0000_i1032" DrawAspect="Content" ObjectID="_1468075732" r:id="rId108">
            <o:LockedField>false</o:LockedField>
          </o:OLEObject>
        </w:object>
      </w:r>
      <w:r>
        <w:rPr>
          <w:rFonts w:hint="default" w:ascii="Times New Roman" w:hAnsi="Times New Roman" w:eastAsia="宋体" w:cs="Times New Roman"/>
          <w:color w:val="auto"/>
          <w:highlight w:val="none"/>
        </w:rPr>
        <w:t>；</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Rf—频率，其计算式为：</w:t>
      </w:r>
      <w:r>
        <w:rPr>
          <w:rFonts w:hint="default" w:ascii="Times New Roman" w:hAnsi="Times New Roman" w:eastAsia="宋体" w:cs="Times New Roman"/>
          <w:color w:val="auto"/>
          <w:position w:val="-26"/>
          <w:highlight w:val="none"/>
        </w:rPr>
        <w:object>
          <v:shape id="_x0000_i1033" o:spt="75" type="#_x0000_t75" style="height:36pt;width:165pt;" o:ole="t" filled="f" o:preferrelative="t" stroked="f" coordsize="21600,21600">
            <v:path/>
            <v:fill on="f" focussize="0,0"/>
            <v:stroke on="f" joinstyle="miter"/>
            <v:imagedata r:id="rId111" o:title=""/>
            <o:lock v:ext="edit" aspectratio="t"/>
            <w10:wrap type="none"/>
            <w10:anchorlock/>
          </v:shape>
          <o:OLEObject Type="Embed" ProgID="Equation.DSMT4" ShapeID="_x0000_i1033" DrawAspect="Content" ObjectID="_1468075733" r:id="rId110">
            <o:LockedField>false</o:LockedField>
          </o:OLEObject>
        </w:object>
      </w:r>
      <w:r>
        <w:rPr>
          <w:rFonts w:hint="default" w:ascii="Times New Roman" w:hAnsi="Times New Roman" w:eastAsia="宋体" w:cs="Times New Roman"/>
          <w:color w:val="auto"/>
          <w:highlight w:val="none"/>
        </w:rPr>
        <w:t>，以100m×100m为一个样方，总计27个样方；</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Lp—景观比例，其计算式为：</w:t>
      </w:r>
      <w:r>
        <w:rPr>
          <w:rFonts w:hint="default" w:ascii="Times New Roman" w:hAnsi="Times New Roman" w:eastAsia="宋体" w:cs="Times New Roman"/>
          <w:color w:val="auto"/>
          <w:position w:val="-26"/>
          <w:highlight w:val="none"/>
        </w:rPr>
        <w:object>
          <v:shape id="_x0000_i1034" o:spt="75" type="#_x0000_t75" style="height:36pt;width:138pt;" o:ole="t" filled="f" o:preferrelative="t" stroked="f" coordsize="21600,21600">
            <v:path/>
            <v:fill on="f" focussize="0,0"/>
            <v:stroke on="f" joinstyle="miter"/>
            <v:imagedata r:id="rId113" o:title=""/>
            <o:lock v:ext="edit" aspectratio="t"/>
            <w10:wrap type="none"/>
            <w10:anchorlock/>
          </v:shape>
          <o:OLEObject Type="Embed" ProgID="Equation.DSMT4" ShapeID="_x0000_i1034" DrawAspect="Content" ObjectID="_1468075734" r:id="rId112">
            <o:LockedField>false</o:LockedField>
          </o:OLEObject>
        </w:objec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评价区景观生态格局分析见表</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11</w:t>
      </w:r>
      <w:r>
        <w:rPr>
          <w:rFonts w:hint="default" w:ascii="Times New Roman" w:hAnsi="Times New Roman" w:eastAsia="宋体" w:cs="Times New Roman"/>
          <w:color w:val="auto"/>
          <w:highlight w:val="none"/>
        </w:rPr>
        <w:t>，景观优势度计算结果列于表</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11</w:t>
      </w:r>
      <w:r>
        <w:rPr>
          <w:rFonts w:hint="default" w:ascii="Times New Roman" w:hAnsi="Times New Roman" w:eastAsia="宋体" w:cs="Times New Roman"/>
          <w:b/>
          <w:color w:val="auto"/>
          <w:sz w:val="21"/>
          <w:szCs w:val="21"/>
          <w:highlight w:val="none"/>
        </w:rPr>
        <w:t>评价区主要景观类型和面积</w:t>
      </w:r>
    </w:p>
    <w:tbl>
      <w:tblPr>
        <w:tblStyle w:val="45"/>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3097"/>
        <w:gridCol w:w="3096"/>
        <w:gridCol w:w="30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97"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Cs w:val="21"/>
                <w:highlight w:val="none"/>
              </w:rPr>
              <w:t>缀块类型</w:t>
            </w:r>
          </w:p>
        </w:tc>
        <w:tc>
          <w:tcPr>
            <w:tcW w:w="3096"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面积(hm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tc>
        <w:tc>
          <w:tcPr>
            <w:tcW w:w="3094"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比例(%)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9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耕地景观</w:t>
            </w:r>
          </w:p>
        </w:tc>
        <w:tc>
          <w:tcPr>
            <w:tcW w:w="309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3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2.51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9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森林景观</w:t>
            </w:r>
          </w:p>
        </w:tc>
        <w:tc>
          <w:tcPr>
            <w:tcW w:w="309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254.1</w:t>
            </w:r>
          </w:p>
        </w:tc>
        <w:tc>
          <w:tcPr>
            <w:tcW w:w="3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91.21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9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草地景观</w:t>
            </w:r>
          </w:p>
        </w:tc>
        <w:tc>
          <w:tcPr>
            <w:tcW w:w="309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8.2</w:t>
            </w:r>
          </w:p>
        </w:tc>
        <w:tc>
          <w:tcPr>
            <w:tcW w:w="3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2.94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9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道路景观</w:t>
            </w:r>
          </w:p>
        </w:tc>
        <w:tc>
          <w:tcPr>
            <w:tcW w:w="309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3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2.51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9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采矿裸地景观</w:t>
            </w:r>
          </w:p>
        </w:tc>
        <w:tc>
          <w:tcPr>
            <w:tcW w:w="309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3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 xml:space="preserve">0.83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309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合计</w:t>
            </w:r>
          </w:p>
        </w:tc>
        <w:tc>
          <w:tcPr>
            <w:tcW w:w="309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276.3</w:t>
            </w:r>
          </w:p>
        </w:tc>
        <w:tc>
          <w:tcPr>
            <w:tcW w:w="3094"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bl>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5.1</w:t>
      </w:r>
      <w:r>
        <w:rPr>
          <w:rFonts w:hint="default" w:ascii="Times New Roman" w:hAnsi="Times New Roman" w:eastAsia="宋体" w:cs="Times New Roman"/>
          <w:b/>
          <w:color w:val="auto"/>
          <w:sz w:val="21"/>
          <w:szCs w:val="21"/>
          <w:highlight w:val="none"/>
        </w:rPr>
        <w:t>-</w:t>
      </w:r>
      <w:r>
        <w:rPr>
          <w:rFonts w:hint="default" w:ascii="Times New Roman" w:hAnsi="Times New Roman" w:eastAsia="宋体" w:cs="Times New Roman"/>
          <w:b/>
          <w:color w:val="auto"/>
          <w:sz w:val="21"/>
          <w:szCs w:val="21"/>
          <w:highlight w:val="none"/>
          <w:lang w:val="en-US" w:eastAsia="zh-CN"/>
        </w:rPr>
        <w:t>12</w:t>
      </w:r>
      <w:r>
        <w:rPr>
          <w:rFonts w:hint="default" w:ascii="Times New Roman" w:hAnsi="Times New Roman" w:eastAsia="宋体" w:cs="Times New Roman"/>
          <w:b/>
          <w:color w:val="auto"/>
          <w:sz w:val="21"/>
          <w:szCs w:val="21"/>
          <w:highlight w:val="none"/>
        </w:rPr>
        <w:t>评价区各景观类型优势度值</w:t>
      </w:r>
    </w:p>
    <w:tbl>
      <w:tblPr>
        <w:tblStyle w:val="45"/>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77"/>
        <w:gridCol w:w="1620"/>
        <w:gridCol w:w="1846"/>
        <w:gridCol w:w="1605"/>
        <w:gridCol w:w="173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blHeader/>
          <w:jc w:val="center"/>
        </w:trPr>
        <w:tc>
          <w:tcPr>
            <w:tcW w:w="247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szCs w:val="21"/>
                <w:highlight w:val="none"/>
              </w:rPr>
              <w:t>缀块类型</w:t>
            </w:r>
          </w:p>
        </w:tc>
        <w:tc>
          <w:tcPr>
            <w:tcW w:w="162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w:t>
            </w:r>
            <w:r>
              <w:rPr>
                <w:rFonts w:hint="default" w:ascii="Times New Roman" w:hAnsi="Times New Roman" w:eastAsia="宋体" w:cs="Times New Roman"/>
                <w:color w:val="auto"/>
                <w:highlight w:val="none"/>
                <w:vertAlign w:val="subscript"/>
              </w:rPr>
              <w:t>d</w:t>
            </w:r>
            <w:r>
              <w:rPr>
                <w:rFonts w:hint="default" w:ascii="Times New Roman" w:hAnsi="Times New Roman" w:eastAsia="宋体" w:cs="Times New Roman"/>
                <w:color w:val="auto"/>
                <w:highlight w:val="none"/>
              </w:rPr>
              <w:t>（%）</w:t>
            </w:r>
          </w:p>
        </w:tc>
        <w:tc>
          <w:tcPr>
            <w:tcW w:w="1846"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w:t>
            </w:r>
            <w:r>
              <w:rPr>
                <w:rFonts w:hint="default" w:ascii="Times New Roman" w:hAnsi="Times New Roman" w:eastAsia="宋体" w:cs="Times New Roman"/>
                <w:color w:val="auto"/>
                <w:highlight w:val="none"/>
                <w:vertAlign w:val="subscript"/>
              </w:rPr>
              <w:t>f</w:t>
            </w:r>
            <w:r>
              <w:rPr>
                <w:rFonts w:hint="default" w:ascii="Times New Roman" w:hAnsi="Times New Roman" w:eastAsia="宋体" w:cs="Times New Roman"/>
                <w:color w:val="auto"/>
                <w:highlight w:val="none"/>
              </w:rPr>
              <w:t>（%）</w:t>
            </w:r>
          </w:p>
        </w:tc>
        <w:tc>
          <w:tcPr>
            <w:tcW w:w="160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w:t>
            </w:r>
            <w:r>
              <w:rPr>
                <w:rFonts w:hint="default" w:ascii="Times New Roman" w:hAnsi="Times New Roman" w:eastAsia="宋体" w:cs="Times New Roman"/>
                <w:color w:val="auto"/>
                <w:highlight w:val="none"/>
              </w:rPr>
              <w:t>（%）</w:t>
            </w:r>
          </w:p>
        </w:tc>
        <w:tc>
          <w:tcPr>
            <w:tcW w:w="17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vertAlign w:val="subscript"/>
              </w:rPr>
              <w:t>o</w:t>
            </w: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耕地景观</w:t>
            </w:r>
          </w:p>
        </w:tc>
        <w:tc>
          <w:tcPr>
            <w:tcW w:w="16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2.51 </w:t>
            </w:r>
          </w:p>
        </w:tc>
        <w:tc>
          <w:tcPr>
            <w:tcW w:w="184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2.02</w:t>
            </w:r>
          </w:p>
        </w:tc>
        <w:tc>
          <w:tcPr>
            <w:tcW w:w="160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2.91</w:t>
            </w:r>
          </w:p>
        </w:tc>
        <w:tc>
          <w:tcPr>
            <w:tcW w:w="17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2.59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森林景观</w:t>
            </w:r>
          </w:p>
        </w:tc>
        <w:tc>
          <w:tcPr>
            <w:tcW w:w="16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91.21 </w:t>
            </w:r>
          </w:p>
        </w:tc>
        <w:tc>
          <w:tcPr>
            <w:tcW w:w="184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83.33</w:t>
            </w:r>
          </w:p>
        </w:tc>
        <w:tc>
          <w:tcPr>
            <w:tcW w:w="160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81.05</w:t>
            </w:r>
          </w:p>
        </w:tc>
        <w:tc>
          <w:tcPr>
            <w:tcW w:w="17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84.16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草地景观</w:t>
            </w:r>
          </w:p>
        </w:tc>
        <w:tc>
          <w:tcPr>
            <w:tcW w:w="16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2.94 </w:t>
            </w:r>
          </w:p>
        </w:tc>
        <w:tc>
          <w:tcPr>
            <w:tcW w:w="184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4.09</w:t>
            </w:r>
          </w:p>
        </w:tc>
        <w:tc>
          <w:tcPr>
            <w:tcW w:w="160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5.37</w:t>
            </w:r>
          </w:p>
        </w:tc>
        <w:tc>
          <w:tcPr>
            <w:tcW w:w="17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4.44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道路景观</w:t>
            </w:r>
          </w:p>
        </w:tc>
        <w:tc>
          <w:tcPr>
            <w:tcW w:w="16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7.00 </w:t>
            </w:r>
          </w:p>
        </w:tc>
        <w:tc>
          <w:tcPr>
            <w:tcW w:w="184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0.54</w:t>
            </w:r>
          </w:p>
        </w:tc>
        <w:tc>
          <w:tcPr>
            <w:tcW w:w="160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1.15</w:t>
            </w:r>
          </w:p>
        </w:tc>
        <w:tc>
          <w:tcPr>
            <w:tcW w:w="17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2.46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77"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采矿裸地景观</w:t>
            </w:r>
          </w:p>
        </w:tc>
        <w:tc>
          <w:tcPr>
            <w:tcW w:w="1620"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2.30 </w:t>
            </w:r>
          </w:p>
        </w:tc>
        <w:tc>
          <w:tcPr>
            <w:tcW w:w="1846"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10.01</w:t>
            </w:r>
          </w:p>
        </w:tc>
        <w:tc>
          <w:tcPr>
            <w:tcW w:w="1605"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9.52</w:t>
            </w:r>
          </w:p>
        </w:tc>
        <w:tc>
          <w:tcPr>
            <w:tcW w:w="1739"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sz w:val="22"/>
                <w:szCs w:val="22"/>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7.84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87" w:type="dxa"/>
            <w:gridSpan w:val="5"/>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注：Rd—密度；Rf—频率；Lp—景观比率；Do—优势度</w:t>
            </w:r>
          </w:p>
        </w:tc>
      </w:tr>
    </w:tbl>
    <w:p>
      <w:pPr>
        <w:spacing w:line="480" w:lineRule="exact"/>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由表</w:t>
      </w:r>
      <w:r>
        <w:rPr>
          <w:rFonts w:hint="default" w:ascii="Times New Roman" w:hAnsi="Times New Roman" w:eastAsia="宋体" w:cs="Times New Roman"/>
          <w:color w:val="auto"/>
          <w:highlight w:val="none"/>
          <w:lang w:val="en-US" w:eastAsia="zh-CN"/>
        </w:rPr>
        <w:t>5.1-12</w:t>
      </w:r>
      <w:r>
        <w:rPr>
          <w:rFonts w:hint="default" w:ascii="Times New Roman" w:hAnsi="Times New Roman" w:eastAsia="宋体" w:cs="Times New Roman"/>
          <w:color w:val="auto"/>
          <w:highlight w:val="none"/>
        </w:rPr>
        <w:t>数据表明：在上述5种景观类型中，森林景观的优势度</w:t>
      </w:r>
      <w:r>
        <w:rPr>
          <w:rFonts w:hint="default" w:ascii="Times New Roman" w:hAnsi="Times New Roman" w:eastAsia="宋体" w:cs="Times New Roman"/>
          <w:color w:val="auto"/>
          <w:highlight w:val="none"/>
          <w:lang w:val="en-US" w:eastAsia="zh-CN"/>
        </w:rPr>
        <w:t>84.16</w:t>
      </w:r>
      <w:r>
        <w:rPr>
          <w:rFonts w:hint="default" w:ascii="Times New Roman" w:hAnsi="Times New Roman" w:eastAsia="宋体" w:cs="Times New Roman"/>
          <w:color w:val="auto"/>
          <w:highlight w:val="none"/>
        </w:rPr>
        <w:t>%，采矿裸地景观为</w:t>
      </w:r>
      <w:r>
        <w:rPr>
          <w:rFonts w:hint="default" w:ascii="Times New Roman" w:hAnsi="Times New Roman" w:eastAsia="宋体" w:cs="Times New Roman"/>
          <w:color w:val="auto"/>
          <w:highlight w:val="none"/>
          <w:lang w:val="en-US" w:eastAsia="zh-CN"/>
        </w:rPr>
        <w:t>7.84</w:t>
      </w:r>
      <w:r>
        <w:rPr>
          <w:rFonts w:hint="default" w:ascii="Times New Roman" w:hAnsi="Times New Roman" w:eastAsia="宋体" w:cs="Times New Roman"/>
          <w:color w:val="auto"/>
          <w:highlight w:val="none"/>
        </w:rPr>
        <w:t>%。评价区景观优势度最高的为森林景观，其次为采矿裸地景观。</w:t>
      </w:r>
      <w:r>
        <w:rPr>
          <w:rFonts w:hint="default" w:ascii="Times New Roman" w:hAnsi="Times New Roman" w:eastAsia="宋体" w:cs="Times New Roman"/>
          <w:color w:val="auto"/>
          <w:sz w:val="24"/>
          <w:highlight w:val="none"/>
          <w:lang w:val="en-US" w:eastAsia="zh-CN"/>
        </w:rPr>
        <w:t>耕地</w:t>
      </w:r>
      <w:r>
        <w:rPr>
          <w:rFonts w:hint="default" w:ascii="Times New Roman" w:hAnsi="Times New Roman" w:eastAsia="宋体" w:cs="Times New Roman"/>
          <w:color w:val="auto"/>
          <w:sz w:val="24"/>
          <w:highlight w:val="none"/>
        </w:rPr>
        <w:t>景观、</w:t>
      </w:r>
      <w:r>
        <w:rPr>
          <w:rFonts w:hint="default" w:ascii="Times New Roman" w:hAnsi="Times New Roman" w:eastAsia="宋体" w:cs="Times New Roman"/>
          <w:color w:val="auto"/>
          <w:sz w:val="24"/>
          <w:highlight w:val="none"/>
          <w:lang w:val="en-US" w:eastAsia="zh-CN"/>
        </w:rPr>
        <w:t>草地</w:t>
      </w:r>
      <w:r>
        <w:rPr>
          <w:rFonts w:hint="default" w:ascii="Times New Roman" w:hAnsi="Times New Roman" w:eastAsia="宋体" w:cs="Times New Roman"/>
          <w:color w:val="auto"/>
          <w:sz w:val="24"/>
          <w:highlight w:val="none"/>
        </w:rPr>
        <w:t>景观及</w:t>
      </w:r>
      <w:r>
        <w:rPr>
          <w:rFonts w:hint="default" w:ascii="Times New Roman" w:hAnsi="Times New Roman" w:eastAsia="宋体" w:cs="Times New Roman"/>
          <w:color w:val="auto"/>
          <w:sz w:val="24"/>
          <w:highlight w:val="none"/>
          <w:lang w:val="en-US" w:eastAsia="zh-CN"/>
        </w:rPr>
        <w:t>道路</w:t>
      </w:r>
      <w:r>
        <w:rPr>
          <w:rFonts w:hint="default" w:ascii="Times New Roman" w:hAnsi="Times New Roman" w:eastAsia="宋体" w:cs="Times New Roman"/>
          <w:color w:val="auto"/>
          <w:sz w:val="24"/>
          <w:highlight w:val="none"/>
        </w:rPr>
        <w:t>景观优势度</w:t>
      </w:r>
      <w:r>
        <w:rPr>
          <w:rFonts w:hint="default" w:ascii="Times New Roman" w:hAnsi="Times New Roman" w:eastAsia="宋体" w:cs="Times New Roman"/>
          <w:color w:val="auto"/>
          <w:sz w:val="24"/>
          <w:highlight w:val="none"/>
          <w:lang w:val="en-US" w:eastAsia="zh-CN"/>
        </w:rPr>
        <w:t>都低于</w:t>
      </w:r>
      <w:r>
        <w:rPr>
          <w:rFonts w:hint="default" w:ascii="Times New Roman" w:hAnsi="Times New Roman" w:eastAsia="宋体" w:cs="Times New Roman"/>
          <w:color w:val="auto"/>
          <w:sz w:val="24"/>
          <w:highlight w:val="none"/>
        </w:rPr>
        <w:t>10%</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highlight w:val="none"/>
        </w:rPr>
        <w:t>说明评价区景观斑块较为分散，</w:t>
      </w:r>
      <w:r>
        <w:rPr>
          <w:rFonts w:hint="default" w:ascii="Times New Roman" w:hAnsi="Times New Roman" w:eastAsia="宋体" w:cs="Times New Roman"/>
          <w:color w:val="auto"/>
          <w:sz w:val="24"/>
          <w:highlight w:val="none"/>
        </w:rPr>
        <w:t>区域受到部分的人为干扰，形成工业及裸地面积较少，对区域景观格局造成破坏较小。</w:t>
      </w:r>
      <w:r>
        <w:rPr>
          <w:rFonts w:hint="default" w:ascii="Times New Roman" w:hAnsi="Times New Roman" w:eastAsia="宋体" w:cs="Times New Roman"/>
          <w:color w:val="auto"/>
          <w:highlight w:val="none"/>
        </w:rPr>
        <w:t>由于现有森林景观对生态环境具有较强的调控能力，现状景观破碎程度受到一定</w:t>
      </w:r>
      <w:r>
        <w:rPr>
          <w:rFonts w:hint="eastAsia" w:cs="Times New Roman"/>
          <w:color w:val="auto"/>
          <w:highlight w:val="none"/>
          <w:lang w:eastAsia="zh-CN"/>
        </w:rPr>
        <w:t>“</w:t>
      </w:r>
      <w:r>
        <w:rPr>
          <w:rFonts w:hint="default" w:ascii="Times New Roman" w:hAnsi="Times New Roman" w:eastAsia="宋体" w:cs="Times New Roman"/>
          <w:color w:val="auto"/>
          <w:highlight w:val="none"/>
        </w:rPr>
        <w:t>制约</w:t>
      </w:r>
      <w:r>
        <w:rPr>
          <w:rFonts w:hint="eastAsia" w:cs="Times New Roman"/>
          <w:color w:val="auto"/>
          <w:highlight w:val="none"/>
          <w:lang w:eastAsia="zh-CN"/>
        </w:rPr>
        <w:t>”</w:t>
      </w:r>
      <w:r>
        <w:rPr>
          <w:rFonts w:hint="default" w:ascii="Times New Roman" w:hAnsi="Times New Roman" w:eastAsia="宋体" w:cs="Times New Roman"/>
          <w:color w:val="auto"/>
          <w:highlight w:val="none"/>
        </w:rPr>
        <w:t>，本区域景观自然生态体系的稳定性与抗干扰能力较多的受人为因素控制，区域内生态环境质量受干扰以后的恢复能力比较强，若加强评价区工矿用地的植被恢复工作，提高森林、灌草的覆盖率，对现状景观影响较小。</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矿区主要生态问题</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根据现场勘查，矿区范围内</w:t>
      </w:r>
      <w:r>
        <w:rPr>
          <w:rFonts w:hint="default" w:ascii="Times New Roman" w:hAnsi="Times New Roman" w:eastAsia="宋体" w:cs="Times New Roman"/>
          <w:color w:val="auto"/>
          <w:highlight w:val="none"/>
          <w:lang w:val="en-US" w:eastAsia="zh-CN"/>
        </w:rPr>
        <w:t>因历史开采问题，部分土地</w:t>
      </w:r>
      <w:r>
        <w:rPr>
          <w:rFonts w:hint="default" w:ascii="Times New Roman" w:hAnsi="Times New Roman" w:eastAsia="宋体" w:cs="Times New Roman"/>
          <w:color w:val="auto"/>
          <w:highlight w:val="none"/>
        </w:rPr>
        <w:t>原有地貌、土壤及植被破坏，改变了土地利用类型，引起土地原有功能的丧失和地表植被的破坏，减弱了地表植被对雨水的蓄水、拦截作用，加剧了区域内的水土流失。因此，要重视对矿区内</w:t>
      </w:r>
      <w:r>
        <w:rPr>
          <w:rFonts w:hint="default" w:ascii="Times New Roman" w:hAnsi="Times New Roman" w:eastAsia="宋体" w:cs="Times New Roman"/>
          <w:color w:val="auto"/>
          <w:highlight w:val="none"/>
          <w:lang w:val="en-US" w:eastAsia="zh-CN"/>
        </w:rPr>
        <w:t>历史已</w:t>
      </w:r>
      <w:r>
        <w:rPr>
          <w:rFonts w:hint="default" w:ascii="Times New Roman" w:hAnsi="Times New Roman" w:eastAsia="宋体" w:cs="Times New Roman"/>
          <w:color w:val="auto"/>
          <w:highlight w:val="none"/>
        </w:rPr>
        <w:t>破坏植被的生态恢复工作。</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小结</w:t>
      </w:r>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通过项目区土地利用、植被、土壤、</w:t>
      </w:r>
      <w:r>
        <w:rPr>
          <w:rFonts w:hint="eastAsia" w:cs="Times New Roman"/>
          <w:color w:val="auto"/>
          <w:highlight w:val="none"/>
          <w:lang w:val="en-US" w:eastAsia="zh-CN"/>
        </w:rPr>
        <w:t>生物多样性</w:t>
      </w:r>
      <w:r>
        <w:rPr>
          <w:rFonts w:hint="default" w:ascii="Times New Roman" w:hAnsi="Times New Roman" w:eastAsia="宋体" w:cs="Times New Roman"/>
          <w:color w:val="auto"/>
          <w:highlight w:val="none"/>
        </w:rPr>
        <w:t>、生态系统的综合分析，项目区生态环境现状特点如下：</w:t>
      </w:r>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（1）评价区以山地地貌为主，地表高程一般在+</w:t>
      </w:r>
      <w:r>
        <w:rPr>
          <w:rFonts w:hint="eastAsia" w:cs="Times New Roman"/>
          <w:color w:val="auto"/>
          <w:highlight w:val="none"/>
          <w:lang w:val="en-US" w:eastAsia="zh-CN"/>
        </w:rPr>
        <w:t>2</w:t>
      </w:r>
      <w:r>
        <w:rPr>
          <w:rFonts w:hint="default" w:ascii="Times New Roman" w:hAnsi="Times New Roman" w:eastAsia="宋体" w:cs="Times New Roman"/>
          <w:color w:val="auto"/>
          <w:highlight w:val="none"/>
        </w:rPr>
        <w:t>60～+</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50m之间。</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（2）评价区植物组成简单，主要为针叶林、针落混交林、阔叶林、灌丛</w:t>
      </w:r>
      <w:r>
        <w:rPr>
          <w:rFonts w:hint="eastAsia" w:cs="Times New Roman"/>
          <w:color w:val="auto"/>
          <w:highlight w:val="none"/>
          <w:lang w:eastAsia="zh-CN"/>
        </w:rPr>
        <w:t>、</w:t>
      </w:r>
      <w:r>
        <w:rPr>
          <w:rFonts w:hint="default" w:ascii="Times New Roman" w:hAnsi="Times New Roman" w:eastAsia="宋体" w:cs="Times New Roman"/>
          <w:color w:val="auto"/>
          <w:highlight w:val="none"/>
        </w:rPr>
        <w:t>草丛、农业植被、无植被区，分别占到评价区面积的22.6%、53.5%、15.1%、2.1%、0.9%、2.5%</w:t>
      </w:r>
      <w:r>
        <w:rPr>
          <w:rFonts w:hint="default" w:ascii="Times New Roman" w:hAnsi="Times New Roman" w:eastAsia="宋体" w:cs="Times New Roman"/>
          <w:color w:val="auto"/>
          <w:highlight w:val="none"/>
          <w:lang w:val="en-US" w:eastAsia="zh-CN"/>
        </w:rPr>
        <w:t>和</w:t>
      </w:r>
      <w:r>
        <w:rPr>
          <w:rFonts w:hint="default" w:ascii="Times New Roman" w:hAnsi="Times New Roman" w:eastAsia="宋体" w:cs="Times New Roman"/>
          <w:color w:val="auto"/>
          <w:highlight w:val="none"/>
        </w:rPr>
        <w:t>3.3%。野生植被主要有油松、辽东栎林、蒙古栎林、榛子、胡枝子等。</w:t>
      </w:r>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（3）评价区土壤类型为棕壤，土壤环境质量能够达到二级标准和区域土壤背景值要求。</w:t>
      </w:r>
    </w:p>
    <w:p>
      <w:pPr>
        <w:spacing w:before="72" w:beforeLines="30" w:after="72" w:afterLines="30"/>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（4）评价区内土地利用现状类型主要以有耕地、林地、其他草地、工矿建设用地为主，占评价区面积的分别为</w:t>
      </w:r>
      <w:r>
        <w:rPr>
          <w:rFonts w:hint="eastAsia" w:cs="Times New Roman"/>
          <w:color w:val="auto"/>
          <w:highlight w:val="none"/>
          <w:lang w:val="en-US" w:eastAsia="zh-CN"/>
        </w:rPr>
        <w:t>2.51</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91.21</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2.94</w:t>
      </w:r>
      <w:r>
        <w:rPr>
          <w:rFonts w:hint="default" w:ascii="Times New Roman" w:hAnsi="Times New Roman" w:eastAsia="宋体" w:cs="Times New Roman"/>
          <w:color w:val="auto"/>
          <w:highlight w:val="none"/>
        </w:rPr>
        <w:t>%和</w:t>
      </w:r>
      <w:r>
        <w:rPr>
          <w:rFonts w:hint="eastAsia" w:cs="Times New Roman"/>
          <w:color w:val="auto"/>
          <w:highlight w:val="none"/>
          <w:lang w:val="en-US" w:eastAsia="zh-CN"/>
        </w:rPr>
        <w:t>3.34</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w:t>
      </w:r>
    </w:p>
    <w:p>
      <w:pPr>
        <w:spacing w:before="72" w:beforeLines="30" w:after="72" w:afterLines="3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（5）由于本区内进行了</w:t>
      </w:r>
      <w:r>
        <w:rPr>
          <w:rFonts w:hint="default" w:ascii="Times New Roman" w:hAnsi="Times New Roman" w:eastAsia="宋体" w:cs="Times New Roman"/>
          <w:color w:val="auto"/>
          <w:highlight w:val="none"/>
          <w:lang w:val="en-US" w:eastAsia="zh-CN"/>
        </w:rPr>
        <w:t>历史上有过</w:t>
      </w:r>
      <w:r>
        <w:rPr>
          <w:rFonts w:hint="default" w:ascii="Times New Roman" w:hAnsi="Times New Roman" w:eastAsia="宋体" w:cs="Times New Roman"/>
          <w:color w:val="auto"/>
          <w:highlight w:val="none"/>
        </w:rPr>
        <w:t>矿产资源的开采，山体被</w:t>
      </w:r>
      <w:r>
        <w:rPr>
          <w:rFonts w:hint="default" w:ascii="Times New Roman" w:hAnsi="Times New Roman" w:eastAsia="宋体" w:cs="Times New Roman"/>
          <w:color w:val="auto"/>
          <w:highlight w:val="none"/>
          <w:lang w:val="en-US" w:eastAsia="zh-CN"/>
        </w:rPr>
        <w:t>部分</w:t>
      </w:r>
      <w:r>
        <w:rPr>
          <w:rFonts w:hint="default" w:ascii="Times New Roman" w:hAnsi="Times New Roman" w:eastAsia="宋体" w:cs="Times New Roman"/>
          <w:color w:val="auto"/>
          <w:highlight w:val="none"/>
        </w:rPr>
        <w:t>破坏，植被占压，地表裸露，植被覆盖度和生物多样性都呈现降低的趋势。</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（6）森林景观是评价区生态环境质量的主要控制性组分，多为人工林或天然次生林，区域内生态环境质量受干扰以后的恢复能力比较强。</w:t>
      </w:r>
    </w:p>
    <w:p>
      <w:pPr>
        <w:pStyle w:val="4"/>
        <w:bidi w:val="0"/>
        <w:ind w:left="0" w:leftChars="0" w:firstLineChars="0"/>
        <w:rPr>
          <w:rFonts w:hint="default"/>
          <w:color w:val="auto"/>
          <w:highlight w:val="none"/>
        </w:rPr>
      </w:pPr>
      <w:bookmarkStart w:id="307" w:name="_Toc28829"/>
      <w:r>
        <w:rPr>
          <w:rFonts w:hint="default"/>
          <w:color w:val="auto"/>
          <w:highlight w:val="none"/>
        </w:rPr>
        <w:t>生态环境影响因素识别及因子筛选</w:t>
      </w:r>
      <w:bookmarkEnd w:id="307"/>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生态环境影响因素识别采用矩阵法，影响因素矩阵见表</w:t>
      </w:r>
      <w:r>
        <w:rPr>
          <w:rFonts w:hint="default" w:ascii="Times New Roman" w:hAnsi="Times New Roman" w:eastAsia="宋体" w:cs="Times New Roman"/>
          <w:color w:val="auto"/>
          <w:highlight w:val="none"/>
          <w:lang w:val="en-US" w:eastAsia="zh-CN"/>
        </w:rPr>
        <w:t>5.2</w:t>
      </w:r>
      <w:r>
        <w:rPr>
          <w:rFonts w:hint="default" w:ascii="Times New Roman" w:hAnsi="Times New Roman" w:eastAsia="宋体" w:cs="Times New Roman"/>
          <w:color w:val="auto"/>
          <w:highlight w:val="none"/>
        </w:rPr>
        <w:t>-1。</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5.2</w:t>
      </w:r>
      <w:r>
        <w:rPr>
          <w:rFonts w:hint="default" w:ascii="Times New Roman" w:hAnsi="Times New Roman" w:eastAsia="宋体" w:cs="Times New Roman"/>
          <w:b/>
          <w:color w:val="auto"/>
          <w:sz w:val="21"/>
          <w:szCs w:val="21"/>
          <w:highlight w:val="none"/>
        </w:rPr>
        <w:t>-1 生态环境影响因素分析</w:t>
      </w:r>
    </w:p>
    <w:tbl>
      <w:tblPr>
        <w:tblStyle w:val="45"/>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19"/>
        <w:gridCol w:w="998"/>
        <w:gridCol w:w="999"/>
        <w:gridCol w:w="1003"/>
        <w:gridCol w:w="1001"/>
        <w:gridCol w:w="1001"/>
        <w:gridCol w:w="999"/>
        <w:gridCol w:w="1002"/>
        <w:gridCol w:w="96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exact"/>
        </w:trPr>
        <w:tc>
          <w:tcPr>
            <w:tcW w:w="71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bookmarkStart w:id="308" w:name="8.3生态影响预测与评价"/>
            <w:bookmarkEnd w:id="308"/>
            <w:bookmarkStart w:id="309" w:name="bookmark1"/>
            <w:bookmarkEnd w:id="309"/>
            <w:bookmarkStart w:id="310" w:name="8.2.12评价区主要生态问题及建议"/>
            <w:bookmarkEnd w:id="310"/>
            <w:bookmarkStart w:id="311" w:name="bookmark0"/>
            <w:bookmarkEnd w:id="311"/>
            <w:bookmarkStart w:id="312" w:name="bookmark2"/>
            <w:bookmarkEnd w:id="312"/>
            <w:bookmarkStart w:id="313" w:name="8.3.1生态环境影响因素识别及因子筛选"/>
            <w:bookmarkEnd w:id="313"/>
            <w:r>
              <w:rPr>
                <w:rFonts w:hint="default" w:ascii="Times New Roman" w:hAnsi="Times New Roman" w:eastAsia="宋体" w:cs="Times New Roman"/>
                <w:color w:val="auto"/>
                <w:kern w:val="2"/>
                <w:sz w:val="21"/>
                <w:szCs w:val="20"/>
                <w:highlight w:val="none"/>
                <w:lang w:val="en-US" w:eastAsia="zh-CN" w:bidi="ar-SA"/>
              </w:rPr>
              <w:t>施工行为</w:t>
            </w:r>
          </w:p>
        </w:tc>
        <w:tc>
          <w:tcPr>
            <w:tcW w:w="1615" w:type="pct"/>
            <w:gridSpan w:val="3"/>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基建期</w:t>
            </w:r>
          </w:p>
        </w:tc>
        <w:tc>
          <w:tcPr>
            <w:tcW w:w="1078" w:type="pct"/>
            <w:gridSpan w:val="2"/>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生产期</w:t>
            </w:r>
          </w:p>
        </w:tc>
        <w:tc>
          <w:tcPr>
            <w:tcW w:w="1595" w:type="pct"/>
            <w:gridSpan w:val="3"/>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恢复期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4" w:hRule="exact"/>
        </w:trPr>
        <w:tc>
          <w:tcPr>
            <w:tcW w:w="710" w:type="pct"/>
            <w:vMerge w:val="continue"/>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7"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占地</w:t>
            </w: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表土剥离</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弃土堆放</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矿石开采</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机械运输</w:t>
            </w: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建筑拆除</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复垦</w:t>
            </w:r>
          </w:p>
        </w:tc>
        <w:tc>
          <w:tcPr>
            <w:tcW w:w="51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绿化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exact"/>
        </w:trPr>
        <w:tc>
          <w:tcPr>
            <w:tcW w:w="710"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地表植被</w:t>
            </w:r>
          </w:p>
        </w:tc>
        <w:tc>
          <w:tcPr>
            <w:tcW w:w="537"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1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exact"/>
        </w:trPr>
        <w:tc>
          <w:tcPr>
            <w:tcW w:w="710"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土地利用</w:t>
            </w:r>
          </w:p>
        </w:tc>
        <w:tc>
          <w:tcPr>
            <w:tcW w:w="537"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1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exact"/>
        </w:trPr>
        <w:tc>
          <w:tcPr>
            <w:tcW w:w="710"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陆地动物</w:t>
            </w:r>
          </w:p>
        </w:tc>
        <w:tc>
          <w:tcPr>
            <w:tcW w:w="537"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1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exact"/>
        </w:trPr>
        <w:tc>
          <w:tcPr>
            <w:tcW w:w="710"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景观</w:t>
            </w:r>
          </w:p>
        </w:tc>
        <w:tc>
          <w:tcPr>
            <w:tcW w:w="537"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1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exact"/>
        </w:trPr>
        <w:tc>
          <w:tcPr>
            <w:tcW w:w="710"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生物量</w:t>
            </w:r>
          </w:p>
        </w:tc>
        <w:tc>
          <w:tcPr>
            <w:tcW w:w="537"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539"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c>
          <w:tcPr>
            <w:tcW w:w="518" w:type="pct"/>
            <w:tcBorders>
              <w:tl2br w:val="nil"/>
              <w:tr2bl w:val="nil"/>
            </w:tcBorders>
            <w:noWrap w:val="0"/>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w:t>
            </w:r>
          </w:p>
        </w:tc>
      </w:tr>
    </w:tbl>
    <w:p>
      <w:pPr>
        <w:spacing w:beforeLines="0" w:afterLines="0"/>
        <w:ind w:left="0" w:leftChars="0" w:firstLine="0" w:firstLineChars="0"/>
        <w:jc w:val="left"/>
        <w:rPr>
          <w:rFonts w:hint="default" w:ascii="Times New Roman" w:hAnsi="Times New Roman" w:eastAsia="宋体" w:cs="Times New Roman"/>
          <w:color w:val="auto"/>
          <w:sz w:val="21"/>
          <w:szCs w:val="24"/>
          <w:highlight w:val="none"/>
        </w:rPr>
      </w:pPr>
      <w:r>
        <w:rPr>
          <w:rFonts w:hint="default" w:ascii="Times New Roman" w:hAnsi="Times New Roman" w:eastAsia="宋体" w:cs="Times New Roman"/>
          <w:color w:val="auto"/>
          <w:sz w:val="21"/>
          <w:szCs w:val="24"/>
          <w:highlight w:val="none"/>
        </w:rPr>
        <w:t>注：■代表强不利影响，●代表弱不利影响，□代表强有利影响，○代表弱有利影响</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生态环境因素识别结果及受影响的生态环境对象（生境、生物群落、生态系统和生物多性），确定本项目生态影响评价因子，包括生境面积、质量、连通性、物种组成、群落结构、植被覆盖度、生产力、生物量、生态系统功能、物种丰富度、均匀度、优势度等评价因子。本项目生态环境评价因子见表</w:t>
      </w:r>
      <w:r>
        <w:rPr>
          <w:rFonts w:hint="default" w:ascii="Times New Roman" w:hAnsi="Times New Roman" w:eastAsia="宋体" w:cs="Times New Roman"/>
          <w:color w:val="auto"/>
          <w:highlight w:val="none"/>
          <w:lang w:val="en-US" w:eastAsia="zh-CN"/>
        </w:rPr>
        <w:t>5.2</w:t>
      </w:r>
      <w:r>
        <w:rPr>
          <w:rFonts w:hint="default" w:ascii="Times New Roman" w:hAnsi="Times New Roman" w:eastAsia="宋体" w:cs="Times New Roman"/>
          <w:color w:val="auto"/>
          <w:highlight w:val="none"/>
        </w:rPr>
        <w:t>-2。</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5.2</w:t>
      </w:r>
      <w:r>
        <w:rPr>
          <w:rFonts w:hint="default" w:ascii="Times New Roman" w:hAnsi="Times New Roman" w:eastAsia="宋体" w:cs="Times New Roman"/>
          <w:b/>
          <w:color w:val="auto"/>
          <w:sz w:val="21"/>
          <w:szCs w:val="21"/>
          <w:highlight w:val="none"/>
        </w:rPr>
        <w:t>-2 生态影响评价因子筛选表</w:t>
      </w:r>
    </w:p>
    <w:tbl>
      <w:tblPr>
        <w:tblStyle w:val="45"/>
        <w:tblW w:w="4997" w:type="pct"/>
        <w:tblInd w:w="0" w:type="dxa"/>
        <w:tblLayout w:type="autofit"/>
        <w:tblCellMar>
          <w:top w:w="0" w:type="dxa"/>
          <w:left w:w="0" w:type="dxa"/>
          <w:bottom w:w="0" w:type="dxa"/>
          <w:right w:w="0" w:type="dxa"/>
        </w:tblCellMar>
      </w:tblPr>
      <w:tblGrid>
        <w:gridCol w:w="593"/>
        <w:gridCol w:w="726"/>
        <w:gridCol w:w="1928"/>
        <w:gridCol w:w="2122"/>
        <w:gridCol w:w="1863"/>
        <w:gridCol w:w="1834"/>
      </w:tblGrid>
      <w:tr>
        <w:tblPrEx>
          <w:tblCellMar>
            <w:top w:w="0" w:type="dxa"/>
            <w:left w:w="0" w:type="dxa"/>
            <w:bottom w:w="0" w:type="dxa"/>
            <w:right w:w="0" w:type="dxa"/>
          </w:tblCellMar>
        </w:tblPrEx>
        <w:trPr>
          <w:trHeight w:val="840" w:hRule="exact"/>
        </w:trPr>
        <w:tc>
          <w:tcPr>
            <w:tcW w:w="327" w:type="pct"/>
            <w:tcBorders>
              <w:top w:val="single" w:color="000000" w:sz="12" w:space="0"/>
              <w:left w:val="nil"/>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时段</w:t>
            </w:r>
          </w:p>
        </w:tc>
        <w:tc>
          <w:tcPr>
            <w:tcW w:w="400" w:type="pct"/>
            <w:tcBorders>
              <w:top w:val="single" w:color="000000" w:sz="12"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受影响对象</w:t>
            </w:r>
          </w:p>
        </w:tc>
        <w:tc>
          <w:tcPr>
            <w:tcW w:w="1063" w:type="pct"/>
            <w:tcBorders>
              <w:top w:val="single" w:color="000000" w:sz="12"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评价因子</w:t>
            </w:r>
          </w:p>
        </w:tc>
        <w:tc>
          <w:tcPr>
            <w:tcW w:w="1170" w:type="pct"/>
            <w:tcBorders>
              <w:top w:val="single" w:color="000000" w:sz="12"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工程内容及影响方</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式（为直接、间接、累积生态影响）</w:t>
            </w:r>
          </w:p>
        </w:tc>
        <w:tc>
          <w:tcPr>
            <w:tcW w:w="1027" w:type="pct"/>
            <w:tcBorders>
              <w:top w:val="single" w:color="000000" w:sz="12"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影响性质（包括</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长期与短期、可逆与不可逆）</w:t>
            </w:r>
          </w:p>
        </w:tc>
        <w:tc>
          <w:tcPr>
            <w:tcW w:w="1011" w:type="pct"/>
            <w:tcBorders>
              <w:top w:val="single" w:color="000000" w:sz="12"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影响程度（强、</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中、弱、无四个等级）</w:t>
            </w:r>
          </w:p>
        </w:tc>
      </w:tr>
      <w:tr>
        <w:tblPrEx>
          <w:tblCellMar>
            <w:top w:w="0" w:type="dxa"/>
            <w:left w:w="0" w:type="dxa"/>
            <w:bottom w:w="0" w:type="dxa"/>
            <w:right w:w="0" w:type="dxa"/>
          </w:tblCellMar>
        </w:tblPrEx>
        <w:trPr>
          <w:trHeight w:val="756" w:hRule="exact"/>
        </w:trPr>
        <w:tc>
          <w:tcPr>
            <w:tcW w:w="327" w:type="pct"/>
            <w:vMerge w:val="restart"/>
            <w:tcBorders>
              <w:top w:val="single" w:color="000000" w:sz="6" w:space="0"/>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基建期</w:t>
            </w: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生境</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生境面积、质量、连通性等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临时占地，直接影响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短期，可逆影响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w:t>
            </w:r>
          </w:p>
        </w:tc>
      </w:tr>
      <w:tr>
        <w:tblPrEx>
          <w:tblCellMar>
            <w:top w:w="0" w:type="dxa"/>
            <w:left w:w="0" w:type="dxa"/>
            <w:bottom w:w="0" w:type="dxa"/>
            <w:right w:w="0" w:type="dxa"/>
          </w:tblCellMar>
        </w:tblPrEx>
        <w:trPr>
          <w:trHeight w:val="756" w:hRule="exact"/>
        </w:trPr>
        <w:tc>
          <w:tcPr>
            <w:tcW w:w="327" w:type="pct"/>
            <w:vMerge w:val="continue"/>
            <w:tcBorders>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生物群落</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物种组成、群落结构等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临时占地，直接影响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短期，可逆影响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w:t>
            </w:r>
          </w:p>
        </w:tc>
      </w:tr>
      <w:tr>
        <w:tblPrEx>
          <w:tblCellMar>
            <w:top w:w="0" w:type="dxa"/>
            <w:left w:w="0" w:type="dxa"/>
            <w:bottom w:w="0" w:type="dxa"/>
            <w:right w:w="0" w:type="dxa"/>
          </w:tblCellMar>
        </w:tblPrEx>
        <w:trPr>
          <w:trHeight w:val="832" w:hRule="exact"/>
        </w:trPr>
        <w:tc>
          <w:tcPr>
            <w:tcW w:w="327" w:type="pct"/>
            <w:vMerge w:val="continue"/>
            <w:tcBorders>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生态系统</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植被覆盖度、生产</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力、生物量、生态系统功能等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临时占地，直接影响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短期，可逆影响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中影响</w:t>
            </w:r>
          </w:p>
        </w:tc>
      </w:tr>
      <w:tr>
        <w:tblPrEx>
          <w:tblCellMar>
            <w:top w:w="0" w:type="dxa"/>
            <w:left w:w="0" w:type="dxa"/>
            <w:bottom w:w="0" w:type="dxa"/>
            <w:right w:w="0" w:type="dxa"/>
          </w:tblCellMar>
        </w:tblPrEx>
        <w:trPr>
          <w:trHeight w:val="832" w:hRule="exact"/>
        </w:trPr>
        <w:tc>
          <w:tcPr>
            <w:tcW w:w="327" w:type="pct"/>
            <w:vMerge w:val="continue"/>
            <w:tcBorders>
              <w:left w:val="nil"/>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生物</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多样性</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物种丰富度、均匀度、优势度等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临时占地，直接影响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短期，可逆影响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w:t>
            </w:r>
          </w:p>
        </w:tc>
      </w:tr>
      <w:tr>
        <w:tblPrEx>
          <w:tblCellMar>
            <w:top w:w="0" w:type="dxa"/>
            <w:left w:w="0" w:type="dxa"/>
            <w:bottom w:w="0" w:type="dxa"/>
            <w:right w:w="0" w:type="dxa"/>
          </w:tblCellMar>
        </w:tblPrEx>
        <w:trPr>
          <w:trHeight w:val="832" w:hRule="exact"/>
        </w:trPr>
        <w:tc>
          <w:tcPr>
            <w:tcW w:w="327" w:type="pct"/>
            <w:vMerge w:val="restart"/>
            <w:tcBorders>
              <w:top w:val="single" w:color="000000" w:sz="6" w:space="0"/>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运行期</w:t>
            </w: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生境</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生境面积、质量、连通性等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永久占地、地表沉</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陷，直接影响、累积影响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长期，可逆影响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中影响</w:t>
            </w:r>
          </w:p>
        </w:tc>
      </w:tr>
      <w:tr>
        <w:tblPrEx>
          <w:tblCellMar>
            <w:top w:w="0" w:type="dxa"/>
            <w:left w:w="0" w:type="dxa"/>
            <w:bottom w:w="0" w:type="dxa"/>
            <w:right w:w="0" w:type="dxa"/>
          </w:tblCellMar>
        </w:tblPrEx>
        <w:trPr>
          <w:trHeight w:val="832" w:hRule="exact"/>
        </w:trPr>
        <w:tc>
          <w:tcPr>
            <w:tcW w:w="327" w:type="pct"/>
            <w:vMerge w:val="continue"/>
            <w:tcBorders>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生物群落</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物种组成、群落结构等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永久占地、地表沉</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陷，直接影响、累积影响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长期，可逆影响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w:t>
            </w:r>
          </w:p>
        </w:tc>
      </w:tr>
      <w:tr>
        <w:tblPrEx>
          <w:tblCellMar>
            <w:top w:w="0" w:type="dxa"/>
            <w:left w:w="0" w:type="dxa"/>
            <w:bottom w:w="0" w:type="dxa"/>
            <w:right w:w="0" w:type="dxa"/>
          </w:tblCellMar>
        </w:tblPrEx>
        <w:trPr>
          <w:trHeight w:val="832" w:hRule="exact"/>
        </w:trPr>
        <w:tc>
          <w:tcPr>
            <w:tcW w:w="327" w:type="pct"/>
            <w:vMerge w:val="continue"/>
            <w:tcBorders>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生态系统</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植被覆盖度、生产</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力、生物量、生态系统功能等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永久占地、地表沉</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陷，直接影响、累积影响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长期，可逆影响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中影响</w:t>
            </w:r>
          </w:p>
        </w:tc>
      </w:tr>
      <w:tr>
        <w:tblPrEx>
          <w:tblCellMar>
            <w:top w:w="0" w:type="dxa"/>
            <w:left w:w="0" w:type="dxa"/>
            <w:bottom w:w="0" w:type="dxa"/>
            <w:right w:w="0" w:type="dxa"/>
          </w:tblCellMar>
        </w:tblPrEx>
        <w:trPr>
          <w:trHeight w:val="832" w:hRule="exact"/>
        </w:trPr>
        <w:tc>
          <w:tcPr>
            <w:tcW w:w="327" w:type="pct"/>
            <w:vMerge w:val="continue"/>
            <w:tcBorders>
              <w:left w:val="nil"/>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生物</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多样性</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物种丰富度、均匀度、优势度等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永久占地、地表沉</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陷，直接影响、累积影响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长期，可逆影响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w:t>
            </w:r>
          </w:p>
        </w:tc>
      </w:tr>
      <w:tr>
        <w:tblPrEx>
          <w:tblCellMar>
            <w:top w:w="0" w:type="dxa"/>
            <w:left w:w="0" w:type="dxa"/>
            <w:bottom w:w="0" w:type="dxa"/>
            <w:right w:w="0" w:type="dxa"/>
          </w:tblCellMar>
        </w:tblPrEx>
        <w:trPr>
          <w:trHeight w:val="560" w:hRule="exact"/>
        </w:trPr>
        <w:tc>
          <w:tcPr>
            <w:tcW w:w="327" w:type="pct"/>
            <w:vMerge w:val="restart"/>
            <w:tcBorders>
              <w:top w:val="single" w:color="000000" w:sz="6" w:space="0"/>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闭矿期</w:t>
            </w: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生境</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生境面积、质量、</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连通性等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地表沉陷，累积影</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短期，可逆影响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弱影响→无影响</w:t>
            </w:r>
          </w:p>
        </w:tc>
      </w:tr>
      <w:tr>
        <w:tblPrEx>
          <w:tblCellMar>
            <w:top w:w="0" w:type="dxa"/>
            <w:left w:w="0" w:type="dxa"/>
            <w:bottom w:w="0" w:type="dxa"/>
            <w:right w:w="0" w:type="dxa"/>
          </w:tblCellMar>
        </w:tblPrEx>
        <w:trPr>
          <w:trHeight w:val="560" w:hRule="exact"/>
        </w:trPr>
        <w:tc>
          <w:tcPr>
            <w:tcW w:w="327" w:type="pct"/>
            <w:vMerge w:val="continue"/>
            <w:tcBorders>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生物群落</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物种组成、群落结</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构等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地表沉陷，累积影</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短期，可逆影响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弱影响→无影响</w:t>
            </w:r>
          </w:p>
        </w:tc>
      </w:tr>
      <w:tr>
        <w:tblPrEx>
          <w:tblCellMar>
            <w:top w:w="0" w:type="dxa"/>
            <w:left w:w="0" w:type="dxa"/>
            <w:bottom w:w="0" w:type="dxa"/>
            <w:right w:w="0" w:type="dxa"/>
          </w:tblCellMar>
        </w:tblPrEx>
        <w:trPr>
          <w:trHeight w:val="832" w:hRule="exact"/>
        </w:trPr>
        <w:tc>
          <w:tcPr>
            <w:tcW w:w="327" w:type="pct"/>
            <w:vMerge w:val="continue"/>
            <w:tcBorders>
              <w:left w:val="nil"/>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生态系统</w:t>
            </w:r>
          </w:p>
        </w:tc>
        <w:tc>
          <w:tcPr>
            <w:tcW w:w="1063"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植被覆盖度、生产</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力、生物量、生态系统功能等</w:t>
            </w:r>
          </w:p>
        </w:tc>
        <w:tc>
          <w:tcPr>
            <w:tcW w:w="1170"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地表沉陷，累积影响</w:t>
            </w:r>
          </w:p>
        </w:tc>
        <w:tc>
          <w:tcPr>
            <w:tcW w:w="1027" w:type="pct"/>
            <w:tcBorders>
              <w:top w:val="single" w:color="000000" w:sz="6" w:space="0"/>
              <w:left w:val="single" w:color="000000" w:sz="6" w:space="0"/>
              <w:bottom w:val="single" w:color="000000" w:sz="6"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短期，可逆影响</w:t>
            </w:r>
          </w:p>
        </w:tc>
        <w:tc>
          <w:tcPr>
            <w:tcW w:w="1011" w:type="pct"/>
            <w:tcBorders>
              <w:top w:val="single" w:color="000000" w:sz="6" w:space="0"/>
              <w:left w:val="single" w:color="000000" w:sz="6" w:space="0"/>
              <w:bottom w:val="single" w:color="000000" w:sz="6"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弱影响→无影响</w:t>
            </w:r>
          </w:p>
        </w:tc>
      </w:tr>
      <w:tr>
        <w:tblPrEx>
          <w:tblCellMar>
            <w:top w:w="0" w:type="dxa"/>
            <w:left w:w="0" w:type="dxa"/>
            <w:bottom w:w="0" w:type="dxa"/>
            <w:right w:w="0" w:type="dxa"/>
          </w:tblCellMar>
        </w:tblPrEx>
        <w:trPr>
          <w:trHeight w:val="839" w:hRule="exact"/>
        </w:trPr>
        <w:tc>
          <w:tcPr>
            <w:tcW w:w="327" w:type="pct"/>
            <w:vMerge w:val="continue"/>
            <w:tcBorders>
              <w:left w:val="nil"/>
              <w:bottom w:val="single" w:color="000000" w:sz="12"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p>
        </w:tc>
        <w:tc>
          <w:tcPr>
            <w:tcW w:w="400" w:type="pct"/>
            <w:tcBorders>
              <w:top w:val="single" w:color="000000" w:sz="6" w:space="0"/>
              <w:left w:val="single" w:color="000000" w:sz="6" w:space="0"/>
              <w:bottom w:val="single" w:color="000000" w:sz="12"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生物</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多样性</w:t>
            </w:r>
          </w:p>
        </w:tc>
        <w:tc>
          <w:tcPr>
            <w:tcW w:w="1063" w:type="pct"/>
            <w:tcBorders>
              <w:top w:val="single" w:color="000000" w:sz="6" w:space="0"/>
              <w:left w:val="single" w:color="000000" w:sz="6" w:space="0"/>
              <w:bottom w:val="single" w:color="000000" w:sz="12"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物种丰富度、均匀度、优势度等</w:t>
            </w:r>
          </w:p>
        </w:tc>
        <w:tc>
          <w:tcPr>
            <w:tcW w:w="1170" w:type="pct"/>
            <w:tcBorders>
              <w:top w:val="single" w:color="000000" w:sz="6" w:space="0"/>
              <w:left w:val="single" w:color="000000" w:sz="6" w:space="0"/>
              <w:bottom w:val="single" w:color="000000" w:sz="12"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地表沉陷，累积影响</w:t>
            </w:r>
          </w:p>
        </w:tc>
        <w:tc>
          <w:tcPr>
            <w:tcW w:w="1027" w:type="pct"/>
            <w:tcBorders>
              <w:top w:val="single" w:color="000000" w:sz="6" w:space="0"/>
              <w:left w:val="single" w:color="000000" w:sz="6" w:space="0"/>
              <w:bottom w:val="single" w:color="000000" w:sz="12" w:space="0"/>
              <w:right w:val="single" w:color="000000" w:sz="6" w:space="0"/>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短期，可逆影响</w:t>
            </w:r>
          </w:p>
        </w:tc>
        <w:tc>
          <w:tcPr>
            <w:tcW w:w="1011" w:type="pct"/>
            <w:tcBorders>
              <w:top w:val="single" w:color="000000" w:sz="6" w:space="0"/>
              <w:left w:val="single" w:color="000000" w:sz="6" w:space="0"/>
              <w:bottom w:val="single" w:color="000000" w:sz="12" w:space="0"/>
              <w:right w:val="nil"/>
            </w:tcBorders>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弱影响→无影响</w:t>
            </w:r>
          </w:p>
        </w:tc>
      </w:tr>
    </w:tbl>
    <w:p>
      <w:pPr>
        <w:pStyle w:val="4"/>
        <w:bidi w:val="0"/>
        <w:ind w:left="0" w:leftChars="0" w:firstLineChars="0"/>
        <w:rPr>
          <w:rFonts w:hint="default"/>
          <w:color w:val="auto"/>
          <w:highlight w:val="none"/>
        </w:rPr>
      </w:pPr>
      <w:bookmarkStart w:id="314" w:name="_Toc28528"/>
      <w:r>
        <w:rPr>
          <w:rFonts w:hint="default"/>
          <w:color w:val="auto"/>
          <w:highlight w:val="none"/>
          <w:lang w:val="en-US" w:eastAsia="zh-CN"/>
        </w:rPr>
        <w:t>基建</w:t>
      </w:r>
      <w:r>
        <w:rPr>
          <w:rFonts w:hint="default"/>
          <w:color w:val="auto"/>
          <w:highlight w:val="none"/>
        </w:rPr>
        <w:t>期生态环境影响分析</w:t>
      </w:r>
      <w:bookmarkEnd w:id="314"/>
    </w:p>
    <w:p>
      <w:pPr>
        <w:pStyle w:val="5"/>
        <w:bidi w:val="0"/>
        <w:rPr>
          <w:rFonts w:hint="default"/>
          <w:color w:val="auto"/>
          <w:highlight w:val="none"/>
          <w:lang w:val="en-US" w:eastAsia="zh-CN"/>
        </w:rPr>
      </w:pPr>
      <w:r>
        <w:rPr>
          <w:rFonts w:hint="default"/>
          <w:color w:val="auto"/>
          <w:highlight w:val="none"/>
          <w:lang w:val="en-US" w:eastAsia="zh-CN"/>
        </w:rPr>
        <w:t>基建期对土地利用的影响分析</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露天一采场基建工程主要包括：修筑运输道路270m、高水位蓄水池、剥离矿体上部风化层、布置首采台阶等准备工作。露天二采场基建工程主要包括：修筑运输道路740m、高水位蓄水池、剥离矿体上部风化层、布置首采台阶等准备工作。地下开采基建工程量（开拓、采准）按能满足正常生产的三级矿量（即开拓矿量3～5年、采准矿量6～12个月、备采矿量3～6个月）进行编制</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主要工程包括</w:t>
      </w:r>
      <w:r>
        <w:rPr>
          <w:rFonts w:hint="default" w:ascii="Times New Roman" w:hAnsi="Times New Roman" w:eastAsia="宋体" w:cs="Times New Roman"/>
          <w:color w:val="auto"/>
          <w:highlight w:val="none"/>
        </w:rPr>
        <w:t>平硐PD1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平硐PD2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+405m回风石门</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+405m回风平巷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+365m运输石门</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+365m运输平巷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采准平巷</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采准天井</w:t>
      </w:r>
      <w:r>
        <w:rPr>
          <w:rFonts w:hint="default" w:ascii="Times New Roman" w:hAnsi="Times New Roman" w:eastAsia="宋体" w:cs="Times New Roman"/>
          <w:color w:val="auto"/>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before="253" w:beforeLines="50" w:line="240" w:lineRule="atLeast"/>
        <w:ind w:firstLine="0" w:firstLineChars="0"/>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5.</w:t>
      </w:r>
      <w:r>
        <w:rPr>
          <w:rFonts w:hint="eastAsia"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lang w:val="en-US" w:eastAsia="zh-CN"/>
        </w:rPr>
        <w:t>-</w:t>
      </w:r>
      <w:r>
        <w:rPr>
          <w:rFonts w:hint="eastAsia"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lang w:val="en-US" w:eastAsia="zh-CN"/>
        </w:rPr>
        <w:t xml:space="preserve"> 基建期</w:t>
      </w:r>
      <w:r>
        <w:rPr>
          <w:rFonts w:hint="default" w:ascii="Times New Roman" w:hAnsi="Times New Roman" w:eastAsia="宋体" w:cs="Times New Roman"/>
          <w:b/>
          <w:color w:val="auto"/>
          <w:sz w:val="24"/>
          <w:highlight w:val="none"/>
        </w:rPr>
        <w:t>预测影响和破坏土地资源面积及类型表</w:t>
      </w:r>
    </w:p>
    <w:tbl>
      <w:tblPr>
        <w:tblStyle w:val="45"/>
        <w:tblW w:w="4998"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959"/>
        <w:gridCol w:w="1207"/>
        <w:gridCol w:w="1205"/>
        <w:gridCol w:w="1205"/>
        <w:gridCol w:w="1205"/>
        <w:gridCol w:w="1211"/>
        <w:gridCol w:w="1291"/>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30" w:hRule="atLeast"/>
        </w:trPr>
        <w:tc>
          <w:tcPr>
            <w:tcW w:w="1055"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破坏单元</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破坏</w:t>
            </w:r>
          </w:p>
        </w:tc>
        <w:tc>
          <w:tcPr>
            <w:tcW w:w="2599" w:type="pct"/>
            <w:gridSpan w:val="4"/>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破坏土地面积及地类（hm²）</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00" w:hRule="atLeast"/>
        </w:trPr>
        <w:tc>
          <w:tcPr>
            <w:tcW w:w="1055"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方式</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裸地</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其他草地</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（hm²）</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平硐1</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挖损</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0.0221</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0.0221</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平硐2</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挖损</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0.0221</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0.0221</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40"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拟建露天一采场</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挖损</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0.4428</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0.4428</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00"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拟建露天二采场</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挖损</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0.3794</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0.3794</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00"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拟建运输道路2</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压占</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0.1775</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0.1775</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5"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拟建地表建筑设施</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压占</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0.0663</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0.0663</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5" w:hRule="atLeast"/>
        </w:trPr>
        <w:tc>
          <w:tcPr>
            <w:tcW w:w="1705"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预测小计</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1.1102</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1.1102</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经预测，矿山</w:t>
      </w:r>
      <w:r>
        <w:rPr>
          <w:rFonts w:hint="default" w:ascii="Times New Roman" w:hAnsi="Times New Roman" w:eastAsia="宋体" w:cs="Times New Roman"/>
          <w:color w:val="auto"/>
          <w:highlight w:val="none"/>
          <w:lang w:val="en-US" w:eastAsia="zh-CN"/>
        </w:rPr>
        <w:t>基建期</w:t>
      </w:r>
      <w:r>
        <w:rPr>
          <w:rFonts w:hint="default" w:ascii="Times New Roman" w:hAnsi="Times New Roman" w:eastAsia="宋体" w:cs="Times New Roman"/>
          <w:color w:val="auto"/>
          <w:highlight w:val="none"/>
        </w:rPr>
        <w:t>预计新增破坏土地面积为</w:t>
      </w:r>
      <w:r>
        <w:rPr>
          <w:rFonts w:hint="default" w:ascii="Times New Roman" w:hAnsi="Times New Roman" w:eastAsia="宋体" w:cs="Times New Roman"/>
          <w:color w:val="auto"/>
          <w:highlight w:val="none"/>
          <w:lang w:val="en-US" w:eastAsia="zh-CN"/>
        </w:rPr>
        <w:t>1.1102</w:t>
      </w:r>
      <w:r>
        <w:rPr>
          <w:rFonts w:hint="default" w:ascii="Times New Roman" w:hAnsi="Times New Roman" w:eastAsia="宋体" w:cs="Times New Roman"/>
          <w:color w:val="auto"/>
          <w:highlight w:val="none"/>
        </w:rPr>
        <w:t>hm²，预测其中以挖损形式新增破坏面积为</w:t>
      </w:r>
      <w:r>
        <w:rPr>
          <w:rFonts w:hint="default" w:ascii="Times New Roman" w:hAnsi="Times New Roman" w:eastAsia="宋体" w:cs="Times New Roman"/>
          <w:color w:val="auto"/>
          <w:highlight w:val="none"/>
          <w:lang w:val="en-US" w:eastAsia="zh-CN"/>
        </w:rPr>
        <w:t>0.8664</w:t>
      </w:r>
      <w:r>
        <w:rPr>
          <w:rFonts w:hint="default" w:ascii="Times New Roman" w:hAnsi="Times New Roman" w:eastAsia="宋体" w:cs="Times New Roman"/>
          <w:color w:val="auto"/>
          <w:highlight w:val="none"/>
        </w:rPr>
        <w:t>hm²，以</w:t>
      </w:r>
      <w:r>
        <w:rPr>
          <w:rFonts w:hint="default" w:ascii="Times New Roman" w:hAnsi="Times New Roman" w:eastAsia="宋体" w:cs="Times New Roman"/>
          <w:color w:val="auto"/>
          <w:highlight w:val="none"/>
          <w:lang w:val="en-US" w:eastAsia="zh-CN"/>
        </w:rPr>
        <w:t>压占</w:t>
      </w:r>
      <w:r>
        <w:rPr>
          <w:rFonts w:hint="default" w:ascii="Times New Roman" w:hAnsi="Times New Roman" w:eastAsia="宋体" w:cs="Times New Roman"/>
          <w:color w:val="auto"/>
          <w:highlight w:val="none"/>
        </w:rPr>
        <w:t>形式破坏的土地面积</w:t>
      </w:r>
      <w:r>
        <w:rPr>
          <w:rFonts w:hint="default" w:ascii="Times New Roman" w:hAnsi="Times New Roman" w:eastAsia="宋体" w:cs="Times New Roman"/>
          <w:color w:val="auto"/>
          <w:highlight w:val="none"/>
          <w:lang w:val="en-US" w:eastAsia="zh-CN"/>
        </w:rPr>
        <w:t>0.2438</w:t>
      </w:r>
      <w:r>
        <w:rPr>
          <w:rFonts w:hint="default" w:ascii="Times New Roman" w:hAnsi="Times New Roman" w:eastAsia="宋体" w:cs="Times New Roman"/>
          <w:color w:val="auto"/>
          <w:highlight w:val="none"/>
        </w:rPr>
        <w:t>hm²，破坏的土地类型为有林地，其中破坏林地面积</w:t>
      </w:r>
      <w:r>
        <w:rPr>
          <w:rFonts w:hint="default" w:ascii="Times New Roman" w:hAnsi="Times New Roman" w:eastAsia="宋体" w:cs="Times New Roman"/>
          <w:color w:val="auto"/>
          <w:highlight w:val="none"/>
          <w:lang w:val="en-US" w:eastAsia="zh-CN"/>
        </w:rPr>
        <w:t>1.1102</w:t>
      </w:r>
      <w:r>
        <w:rPr>
          <w:rFonts w:hint="default" w:ascii="Times New Roman" w:hAnsi="Times New Roman" w:eastAsia="宋体" w:cs="Times New Roman"/>
          <w:color w:val="auto"/>
          <w:highlight w:val="none"/>
        </w:rPr>
        <w:t>hm²（</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hm²），依据DZ／T0223—2011《矿山地质环境保护与恢复治理方案编制规范》附表E矿山地质环境影响程度分级表，预测矿山未来开采活动对土地资源的影响和破坏程度为</w:t>
      </w:r>
      <w:r>
        <w:rPr>
          <w:rFonts w:hint="default" w:ascii="Times New Roman" w:hAnsi="Times New Roman" w:eastAsia="宋体" w:cs="Times New Roman"/>
          <w:color w:val="auto"/>
          <w:highlight w:val="none"/>
          <w:lang w:val="en-US" w:eastAsia="zh-CN"/>
        </w:rPr>
        <w:t>较轻</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露天一采场基建</w:t>
      </w:r>
      <w:r>
        <w:rPr>
          <w:rFonts w:hint="default" w:ascii="Times New Roman" w:hAnsi="Times New Roman" w:eastAsia="宋体" w:cs="Times New Roman"/>
          <w:color w:val="auto"/>
          <w:highlight w:val="none"/>
          <w:lang w:val="en-US" w:eastAsia="zh-CN"/>
        </w:rPr>
        <w:t>期约6个月，</w:t>
      </w:r>
      <w:r>
        <w:rPr>
          <w:rFonts w:hint="default" w:ascii="Times New Roman" w:hAnsi="Times New Roman" w:eastAsia="宋体" w:cs="Times New Roman"/>
          <w:color w:val="auto"/>
          <w:highlight w:val="none"/>
        </w:rPr>
        <w:t>露天</w:t>
      </w:r>
      <w:r>
        <w:rPr>
          <w:rFonts w:hint="default" w:ascii="Times New Roman" w:hAnsi="Times New Roman" w:eastAsia="宋体" w:cs="Times New Roman"/>
          <w:color w:val="auto"/>
          <w:highlight w:val="none"/>
          <w:lang w:val="en-US" w:eastAsia="zh-CN"/>
        </w:rPr>
        <w:t>二</w:t>
      </w:r>
      <w:r>
        <w:rPr>
          <w:rFonts w:hint="default" w:ascii="Times New Roman" w:hAnsi="Times New Roman" w:eastAsia="宋体" w:cs="Times New Roman"/>
          <w:color w:val="auto"/>
          <w:highlight w:val="none"/>
        </w:rPr>
        <w:t>采场基建</w:t>
      </w:r>
      <w:r>
        <w:rPr>
          <w:rFonts w:hint="default" w:ascii="Times New Roman" w:hAnsi="Times New Roman" w:eastAsia="宋体" w:cs="Times New Roman"/>
          <w:color w:val="auto"/>
          <w:highlight w:val="none"/>
          <w:lang w:val="en-US" w:eastAsia="zh-CN"/>
        </w:rPr>
        <w:t>期约10个月，</w:t>
      </w:r>
      <w:r>
        <w:rPr>
          <w:rFonts w:hint="default" w:ascii="Times New Roman" w:hAnsi="Times New Roman" w:eastAsia="宋体" w:cs="Times New Roman"/>
          <w:color w:val="auto"/>
          <w:highlight w:val="none"/>
        </w:rPr>
        <w:t>地下开采基建期为10个月</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本工程虽占用</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资源，</w:t>
      </w:r>
      <w:r>
        <w:rPr>
          <w:rFonts w:hint="default" w:ascii="Times New Roman" w:hAnsi="Times New Roman" w:eastAsia="宋体" w:cs="Times New Roman"/>
          <w:color w:val="auto"/>
          <w:highlight w:val="none"/>
          <w:lang w:val="en-US" w:eastAsia="zh-CN"/>
        </w:rPr>
        <w:t>但基建期间对原有采坑进行复垦，</w:t>
      </w:r>
      <w:r>
        <w:rPr>
          <w:rFonts w:hint="default" w:ascii="Times New Roman" w:hAnsi="Times New Roman" w:eastAsia="宋体" w:cs="Times New Roman"/>
          <w:color w:val="auto"/>
          <w:highlight w:val="none"/>
        </w:rPr>
        <w:t>复垦区总面积为1.2239hm²</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复垦方向为林地，</w:t>
      </w:r>
      <w:r>
        <w:rPr>
          <w:rFonts w:hint="default" w:ascii="Times New Roman" w:hAnsi="Times New Roman" w:eastAsia="宋体" w:cs="Times New Roman"/>
          <w:color w:val="auto"/>
          <w:highlight w:val="none"/>
        </w:rPr>
        <w:t>对整个评价范围而言，工程建设对评价区域土地利用格局影响轻微。</w:t>
      </w:r>
    </w:p>
    <w:p>
      <w:pPr>
        <w:pStyle w:val="2"/>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5.</w:t>
      </w:r>
      <w:r>
        <w:rPr>
          <w:rFonts w:hint="eastAsia"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lang w:val="en-US" w:eastAsia="zh-CN"/>
        </w:rPr>
        <w:t>-</w:t>
      </w:r>
      <w:r>
        <w:rPr>
          <w:rFonts w:hint="eastAsia"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lang w:val="en-US" w:eastAsia="zh-CN"/>
        </w:rPr>
        <w:t xml:space="preserve"> 基建期</w:t>
      </w:r>
      <w:r>
        <w:rPr>
          <w:rFonts w:hint="eastAsia" w:ascii="Times New Roman" w:hAnsi="Times New Roman" w:eastAsia="宋体" w:cs="Times New Roman"/>
          <w:b/>
          <w:color w:val="auto"/>
          <w:sz w:val="24"/>
          <w:highlight w:val="none"/>
          <w:lang w:val="en-US" w:eastAsia="zh-CN"/>
        </w:rPr>
        <w:t>复垦工程情况</w:t>
      </w:r>
    </w:p>
    <w:tbl>
      <w:tblPr>
        <w:tblStyle w:val="45"/>
        <w:tblW w:w="4996"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Layout w:type="fixed"/>
        <w:tblCellMar>
          <w:top w:w="0" w:type="dxa"/>
          <w:left w:w="108" w:type="dxa"/>
          <w:bottom w:w="0" w:type="dxa"/>
          <w:right w:w="108" w:type="dxa"/>
        </w:tblCellMar>
      </w:tblPr>
      <w:tblGrid>
        <w:gridCol w:w="1730"/>
        <w:gridCol w:w="1904"/>
        <w:gridCol w:w="748"/>
        <w:gridCol w:w="1617"/>
        <w:gridCol w:w="1360"/>
        <w:gridCol w:w="1894"/>
        <w:gridCol w:w="28"/>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gridAfter w:val="1"/>
          <w:wAfter w:w="15" w:type="pct"/>
          <w:trHeight w:val="400" w:hRule="atLeast"/>
        </w:trPr>
        <w:tc>
          <w:tcPr>
            <w:tcW w:w="93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治理复垦位置</w:t>
            </w:r>
          </w:p>
        </w:tc>
        <w:tc>
          <w:tcPr>
            <w:tcW w:w="1428"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主要工程措施</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主要工程量</w:t>
            </w:r>
          </w:p>
        </w:tc>
        <w:tc>
          <w:tcPr>
            <w:tcW w:w="73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复垦面积</w:t>
            </w:r>
          </w:p>
        </w:tc>
        <w:tc>
          <w:tcPr>
            <w:tcW w:w="1020"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较现状变化情况</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00" w:hRule="atLeast"/>
        </w:trPr>
        <w:tc>
          <w:tcPr>
            <w:tcW w:w="932"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废弃露天采场</w:t>
            </w:r>
            <w:r>
              <w:rPr>
                <w:rFonts w:hint="default" w:ascii="Times New Roman" w:hAnsi="Times New Roman" w:eastAsia="宋体" w:cs="Times New Roman"/>
                <w:i w:val="0"/>
                <w:iCs w:val="0"/>
                <w:color w:val="auto"/>
                <w:kern w:val="0"/>
                <w:sz w:val="21"/>
                <w:szCs w:val="21"/>
                <w:highlight w:val="none"/>
                <w:u w:val="none"/>
                <w:lang w:val="en-US" w:eastAsia="zh-CN" w:bidi="ar"/>
              </w:rPr>
              <w:t>2</w:t>
            </w:r>
            <w:r>
              <w:rPr>
                <w:rFonts w:hint="eastAsia" w:ascii="Times New Roman" w:hAnsi="Times New Roman" w:eastAsia="宋体" w:cs="Times New Roman"/>
                <w:i w:val="0"/>
                <w:iCs w:val="0"/>
                <w:color w:val="auto"/>
                <w:kern w:val="0"/>
                <w:sz w:val="21"/>
                <w:szCs w:val="21"/>
                <w:highlight w:val="none"/>
                <w:u w:val="none"/>
                <w:lang w:val="en-US" w:eastAsia="zh-CN" w:bidi="ar"/>
              </w:rPr>
              <w:t>、露天采场</w:t>
            </w:r>
            <w:r>
              <w:rPr>
                <w:rFonts w:hint="default" w:ascii="Times New Roman" w:hAnsi="Times New Roman" w:eastAsia="宋体" w:cs="Times New Roman"/>
                <w:i w:val="0"/>
                <w:iCs w:val="0"/>
                <w:color w:val="auto"/>
                <w:kern w:val="0"/>
                <w:sz w:val="21"/>
                <w:szCs w:val="21"/>
                <w:highlight w:val="none"/>
                <w:u w:val="none"/>
                <w:lang w:val="en-US" w:eastAsia="zh-CN" w:bidi="ar"/>
              </w:rPr>
              <w:t>3</w:t>
            </w:r>
            <w:r>
              <w:rPr>
                <w:rFonts w:hint="eastAsia" w:ascii="Times New Roman" w:hAnsi="Times New Roman" w:eastAsia="宋体" w:cs="Times New Roman"/>
                <w:i w:val="0"/>
                <w:iCs w:val="0"/>
                <w:color w:val="auto"/>
                <w:kern w:val="0"/>
                <w:sz w:val="21"/>
                <w:szCs w:val="21"/>
                <w:highlight w:val="none"/>
                <w:u w:val="none"/>
                <w:lang w:val="en-US" w:eastAsia="zh-CN" w:bidi="ar"/>
              </w:rPr>
              <w:t>、露天采场</w:t>
            </w: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平整土方</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m³</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6120</w:t>
            </w:r>
          </w:p>
        </w:tc>
        <w:tc>
          <w:tcPr>
            <w:tcW w:w="732"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1.2239</w:t>
            </w:r>
            <w:r>
              <w:rPr>
                <w:rFonts w:hint="eastAsia" w:ascii="Times New Roman" w:hAnsi="Times New Roman" w:eastAsia="宋体" w:cs="Times New Roman"/>
                <w:i w:val="0"/>
                <w:iCs w:val="0"/>
                <w:color w:val="auto"/>
                <w:kern w:val="0"/>
                <w:sz w:val="21"/>
                <w:szCs w:val="21"/>
                <w:highlight w:val="none"/>
                <w:u w:val="none"/>
                <w:lang w:val="en-US" w:eastAsia="zh-CN" w:bidi="ar"/>
              </w:rPr>
              <w:t>hm</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2</w:t>
            </w:r>
          </w:p>
        </w:tc>
        <w:tc>
          <w:tcPr>
            <w:tcW w:w="1035" w:type="pct"/>
            <w:gridSpan w:val="2"/>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绿化面积增加0.1137hm</w:t>
            </w:r>
            <w:r>
              <w:rPr>
                <w:rFonts w:hint="eastAsia" w:ascii="Times New Roman" w:hAnsi="Times New Roman" w:eastAsia="宋体" w:cs="Times New Roman"/>
                <w:i w:val="0"/>
                <w:iCs w:val="0"/>
                <w:color w:val="auto"/>
                <w:kern w:val="0"/>
                <w:sz w:val="21"/>
                <w:szCs w:val="21"/>
                <w:highlight w:val="none"/>
                <w:u w:val="none"/>
                <w:vertAlign w:val="superscript"/>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00" w:hRule="atLeast"/>
        </w:trPr>
        <w:tc>
          <w:tcPr>
            <w:tcW w:w="932"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平整石方</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m³</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2448</w:t>
            </w:r>
          </w:p>
        </w:tc>
        <w:tc>
          <w:tcPr>
            <w:tcW w:w="732"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35" w:type="pct"/>
            <w:gridSpan w:val="2"/>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00" w:hRule="atLeast"/>
        </w:trPr>
        <w:tc>
          <w:tcPr>
            <w:tcW w:w="932"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客土工程</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m³</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6120</w:t>
            </w:r>
          </w:p>
        </w:tc>
        <w:tc>
          <w:tcPr>
            <w:tcW w:w="732"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35" w:type="pct"/>
            <w:gridSpan w:val="2"/>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00" w:hRule="atLeast"/>
        </w:trPr>
        <w:tc>
          <w:tcPr>
            <w:tcW w:w="932"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灌溉工程</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m³</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902</w:t>
            </w:r>
          </w:p>
        </w:tc>
        <w:tc>
          <w:tcPr>
            <w:tcW w:w="732"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35" w:type="pct"/>
            <w:gridSpan w:val="2"/>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00" w:hRule="atLeast"/>
        </w:trPr>
        <w:tc>
          <w:tcPr>
            <w:tcW w:w="932"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刺槐</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株</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4446</w:t>
            </w:r>
          </w:p>
        </w:tc>
        <w:tc>
          <w:tcPr>
            <w:tcW w:w="732"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35" w:type="pct"/>
            <w:gridSpan w:val="2"/>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00" w:hRule="atLeast"/>
        </w:trPr>
        <w:tc>
          <w:tcPr>
            <w:tcW w:w="932"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紫穗槐</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株</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2236</w:t>
            </w:r>
          </w:p>
        </w:tc>
        <w:tc>
          <w:tcPr>
            <w:tcW w:w="732"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35" w:type="pct"/>
            <w:gridSpan w:val="2"/>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00" w:hRule="atLeast"/>
        </w:trPr>
        <w:tc>
          <w:tcPr>
            <w:tcW w:w="932"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三叶地锦</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株</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6420</w:t>
            </w:r>
          </w:p>
        </w:tc>
        <w:tc>
          <w:tcPr>
            <w:tcW w:w="732"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35" w:type="pct"/>
            <w:gridSpan w:val="2"/>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400" w:hRule="atLeast"/>
        </w:trPr>
        <w:tc>
          <w:tcPr>
            <w:tcW w:w="932"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草籽</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hm²</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1.2239</w:t>
            </w:r>
          </w:p>
        </w:tc>
        <w:tc>
          <w:tcPr>
            <w:tcW w:w="732"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35" w:type="pct"/>
            <w:gridSpan w:val="2"/>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400" w:hRule="atLeast"/>
        </w:trPr>
        <w:tc>
          <w:tcPr>
            <w:tcW w:w="93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复垦区</w:t>
            </w:r>
          </w:p>
        </w:tc>
        <w:tc>
          <w:tcPr>
            <w:tcW w:w="102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矿山地质环境监测</w:t>
            </w:r>
          </w:p>
        </w:tc>
        <w:tc>
          <w:tcPr>
            <w:tcW w:w="402"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点</w:t>
            </w:r>
          </w:p>
        </w:tc>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732"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035" w:type="pct"/>
            <w:gridSpan w:val="2"/>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bl>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减缓措施</w:t>
      </w:r>
      <w:r>
        <w:rPr>
          <w:rFonts w:hint="default" w:ascii="Times New Roman" w:hAnsi="Times New Roman" w:eastAsia="宋体" w:cs="Times New Roman"/>
          <w:color w:val="auto"/>
          <w:highlight w:val="none"/>
          <w:lang w:eastAsia="zh-CN"/>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1．施工中应加强施工管理，尽量缩小施工范围，各种施工活动应</w:t>
      </w:r>
      <w:r>
        <w:rPr>
          <w:rFonts w:hint="default" w:ascii="Times New Roman" w:hAnsi="Times New Roman" w:eastAsia="宋体" w:cs="Times New Roman"/>
          <w:color w:val="auto"/>
          <w:highlight w:val="none"/>
          <w:lang w:val="en-US" w:eastAsia="zh-CN"/>
        </w:rPr>
        <w:t>尽量</w:t>
      </w:r>
      <w:r>
        <w:rPr>
          <w:rFonts w:hint="default" w:ascii="Times New Roman" w:hAnsi="Times New Roman" w:eastAsia="宋体" w:cs="Times New Roman"/>
          <w:color w:val="auto"/>
          <w:highlight w:val="none"/>
        </w:rPr>
        <w:t>控制在</w:t>
      </w:r>
      <w:r>
        <w:rPr>
          <w:rFonts w:hint="default" w:ascii="Times New Roman" w:hAnsi="Times New Roman" w:eastAsia="宋体" w:cs="Times New Roman"/>
          <w:color w:val="auto"/>
          <w:highlight w:val="none"/>
          <w:lang w:val="en-US" w:eastAsia="zh-CN"/>
        </w:rPr>
        <w:t>原有裸露地表</w:t>
      </w:r>
      <w:r>
        <w:rPr>
          <w:rFonts w:hint="default" w:ascii="Times New Roman" w:hAnsi="Times New Roman" w:eastAsia="宋体" w:cs="Times New Roman"/>
          <w:color w:val="auto"/>
          <w:highlight w:val="none"/>
        </w:rPr>
        <w:t>内，将占地面积控制在最低限度，尽可能</w:t>
      </w:r>
      <w:r>
        <w:rPr>
          <w:rFonts w:hint="default" w:ascii="Times New Roman" w:hAnsi="Times New Roman" w:eastAsia="宋体" w:cs="Times New Roman"/>
          <w:color w:val="auto"/>
          <w:highlight w:val="none"/>
          <w:lang w:val="en-US" w:eastAsia="zh-CN"/>
        </w:rPr>
        <w:t>减少</w:t>
      </w:r>
      <w:r>
        <w:rPr>
          <w:rFonts w:hint="default" w:ascii="Times New Roman" w:hAnsi="Times New Roman" w:eastAsia="宋体" w:cs="Times New Roman"/>
          <w:color w:val="auto"/>
          <w:highlight w:val="none"/>
        </w:rPr>
        <w:t>原有的地表植被和土壤，以免造成土壤与植被的大面积破坏，而使本来就脆弱的生态系统受到威胁。对于植被生长较好的地段，尽量不要在这些地段设置工棚、料场、弃渣场等。</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．土石方工程本着移挖作填、充分利用的原则进行合理调配，开挖的土石方等充分利用，作为</w:t>
      </w:r>
      <w:r>
        <w:rPr>
          <w:rFonts w:hint="default" w:ascii="Times New Roman" w:hAnsi="Times New Roman" w:eastAsia="宋体" w:cs="Times New Roman"/>
          <w:color w:val="auto"/>
          <w:highlight w:val="none"/>
          <w:lang w:val="en-US" w:eastAsia="zh-CN"/>
        </w:rPr>
        <w:t>原有露天采坑</w:t>
      </w:r>
      <w:r>
        <w:rPr>
          <w:rFonts w:hint="default" w:ascii="Times New Roman" w:hAnsi="Times New Roman" w:eastAsia="宋体" w:cs="Times New Roman"/>
          <w:color w:val="auto"/>
          <w:highlight w:val="none"/>
        </w:rPr>
        <w:t>的填料，以节约</w:t>
      </w:r>
      <w:r>
        <w:rPr>
          <w:rFonts w:hint="eastAsia" w:cs="Times New Roman"/>
          <w:color w:val="auto"/>
          <w:highlight w:val="none"/>
          <w:lang w:val="en-US" w:eastAsia="zh-CN"/>
        </w:rPr>
        <w:t>表土</w:t>
      </w:r>
      <w:r>
        <w:rPr>
          <w:rFonts w:hint="default" w:ascii="Times New Roman" w:hAnsi="Times New Roman" w:eastAsia="宋体" w:cs="Times New Roman"/>
          <w:color w:val="auto"/>
          <w:highlight w:val="none"/>
        </w:rPr>
        <w:t>场用地。拟建工程总面积8.0376hm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，平均剥离厚度0.3m，预计可剥离表土24113m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rPr>
        <w:t>，先期剥离表土可运至老采场直接用于复垦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后期剥离的表土可临时堆放在新建采场底部平台，后期用于复垦。剥离表土</w:t>
      </w:r>
      <w:r>
        <w:rPr>
          <w:rFonts w:hint="default" w:ascii="Times New Roman" w:hAnsi="Times New Roman" w:eastAsia="宋体" w:cs="Times New Roman"/>
          <w:color w:val="auto"/>
          <w:highlight w:val="none"/>
          <w:lang w:val="en-US" w:eastAsia="zh-CN"/>
        </w:rPr>
        <w:t>全部用于复垦，</w:t>
      </w:r>
      <w:r>
        <w:rPr>
          <w:rFonts w:hint="default" w:ascii="Times New Roman" w:hAnsi="Times New Roman" w:eastAsia="宋体" w:cs="Times New Roman"/>
          <w:color w:val="auto"/>
          <w:highlight w:val="none"/>
        </w:rPr>
        <w:t>矿山不再单独</w:t>
      </w:r>
      <w:r>
        <w:rPr>
          <w:rFonts w:hint="eastAsia" w:cs="Times New Roman"/>
          <w:color w:val="auto"/>
          <w:highlight w:val="none"/>
          <w:lang w:val="en-US" w:eastAsia="zh-CN"/>
        </w:rPr>
        <w:t>表土</w:t>
      </w:r>
      <w:r>
        <w:rPr>
          <w:rFonts w:hint="default" w:ascii="Times New Roman" w:hAnsi="Times New Roman" w:eastAsia="宋体" w:cs="Times New Roman"/>
          <w:color w:val="auto"/>
          <w:highlight w:val="none"/>
          <w:lang w:val="en-US" w:eastAsia="zh-CN"/>
        </w:rPr>
        <w:t>场</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3．临时工程优先考虑永、临结合，尽量利用既有场地或</w:t>
      </w:r>
      <w:r>
        <w:rPr>
          <w:rFonts w:hint="default" w:ascii="Times New Roman" w:hAnsi="Times New Roman" w:eastAsia="宋体" w:cs="Times New Roman"/>
          <w:color w:val="auto"/>
          <w:highlight w:val="none"/>
          <w:lang w:val="en-US" w:eastAsia="zh-CN"/>
        </w:rPr>
        <w:t>矿区</w:t>
      </w:r>
      <w:r>
        <w:rPr>
          <w:rFonts w:hint="default" w:ascii="Times New Roman" w:hAnsi="Times New Roman" w:eastAsia="宋体" w:cs="Times New Roman"/>
          <w:color w:val="auto"/>
          <w:highlight w:val="none"/>
        </w:rPr>
        <w:t>范围内的永久征地和</w:t>
      </w:r>
      <w:r>
        <w:rPr>
          <w:rFonts w:hint="default" w:ascii="Times New Roman" w:hAnsi="Times New Roman" w:eastAsia="宋体" w:cs="Times New Roman"/>
          <w:color w:val="auto"/>
          <w:highlight w:val="none"/>
          <w:lang w:val="en-US" w:eastAsia="zh-CN"/>
        </w:rPr>
        <w:t>采矿</w:t>
      </w:r>
      <w:r>
        <w:rPr>
          <w:rFonts w:hint="default" w:ascii="Times New Roman" w:hAnsi="Times New Roman" w:eastAsia="宋体" w:cs="Times New Roman"/>
          <w:color w:val="auto"/>
          <w:highlight w:val="none"/>
        </w:rPr>
        <w:t>用地，减少新占地。</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合理确定施工便道，施工期应按照设计规定修建施工便道，修建施工便道，尽量与现有乡村道路平行或垂直，不能随意开辟施工便道。施工车辆不得随意在施工便道以外的区域行驶，以减少碾压破坏草地等地表植被，降低风力侵蚀。同时对路面定期进行洒水，防止行车碾压产生浮尘。施工结束后，部分施工便道作为田间道或乡村道路，改善项目区路面状况，完善道路系统，不作为地方道路使用的恢复为原土地使用功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5．施工车辆应严格按规定行车路线路线通行，防止施工期间施工车辆随意碾压，破坏原地表植被。</w:t>
      </w:r>
    </w:p>
    <w:p>
      <w:pPr>
        <w:pStyle w:val="5"/>
        <w:bidi w:val="0"/>
        <w:rPr>
          <w:rFonts w:hint="default"/>
          <w:color w:val="auto"/>
          <w:highlight w:val="none"/>
          <w:lang w:val="en-US" w:eastAsia="zh-CN"/>
        </w:rPr>
      </w:pPr>
      <w:r>
        <w:rPr>
          <w:rFonts w:hint="default"/>
          <w:color w:val="auto"/>
          <w:highlight w:val="none"/>
          <w:lang w:val="en-US" w:eastAsia="zh-CN"/>
        </w:rPr>
        <w:t>植被破坏对生态环境的影响</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基建期工程</w:t>
      </w:r>
      <w:r>
        <w:rPr>
          <w:rFonts w:hint="default" w:ascii="Times New Roman" w:hAnsi="Times New Roman" w:eastAsia="宋体" w:cs="Times New Roman"/>
          <w:color w:val="auto"/>
          <w:highlight w:val="none"/>
        </w:rPr>
        <w:t>新增破坏土地面积为</w:t>
      </w:r>
      <w:r>
        <w:rPr>
          <w:rFonts w:hint="default" w:ascii="Times New Roman" w:hAnsi="Times New Roman" w:eastAsia="宋体" w:cs="Times New Roman"/>
          <w:color w:val="auto"/>
          <w:highlight w:val="none"/>
          <w:lang w:val="en-US" w:eastAsia="zh-CN"/>
        </w:rPr>
        <w:t>1.1102</w:t>
      </w:r>
      <w:r>
        <w:rPr>
          <w:rFonts w:hint="default" w:ascii="Times New Roman" w:hAnsi="Times New Roman" w:eastAsia="宋体" w:cs="Times New Roman"/>
          <w:color w:val="auto"/>
          <w:highlight w:val="none"/>
        </w:rPr>
        <w:t>hm²</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占地主要为林地</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生物量以</w:t>
      </w:r>
      <w:r>
        <w:rPr>
          <w:rFonts w:hint="default" w:ascii="Times New Roman" w:hAnsi="Times New Roman" w:eastAsia="宋体" w:cs="Times New Roman"/>
          <w:color w:val="auto"/>
          <w:highlight w:val="none"/>
          <w:lang w:val="en-US" w:eastAsia="zh-CN"/>
        </w:rPr>
        <w:t>37.5</w:t>
      </w:r>
      <w:r>
        <w:rPr>
          <w:rFonts w:hint="default" w:ascii="Times New Roman" w:hAnsi="Times New Roman" w:eastAsia="宋体" w:cs="Times New Roman"/>
          <w:color w:val="auto"/>
          <w:highlight w:val="none"/>
        </w:rPr>
        <w:t>t/hm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计，则造成生物量损失为</w:t>
      </w:r>
      <w:r>
        <w:rPr>
          <w:rFonts w:hint="default" w:ascii="Times New Roman" w:hAnsi="Times New Roman" w:eastAsia="宋体" w:cs="Times New Roman"/>
          <w:color w:val="auto"/>
          <w:highlight w:val="none"/>
          <w:lang w:val="en-US" w:eastAsia="zh-CN"/>
        </w:rPr>
        <w:t>41.63</w:t>
      </w:r>
      <w:r>
        <w:rPr>
          <w:rFonts w:hint="default" w:ascii="Times New Roman" w:hAnsi="Times New Roman" w:eastAsia="宋体" w:cs="Times New Roman"/>
          <w:color w:val="auto"/>
          <w:highlight w:val="none"/>
        </w:rPr>
        <w:t>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根据《岫岩满族自治县苏子沟镇大何家堡村钾长石矿矿山地质环境保护与土地复垦方案》，</w:t>
      </w:r>
      <w:r>
        <w:rPr>
          <w:rFonts w:hint="default" w:ascii="Times New Roman" w:hAnsi="Times New Roman" w:eastAsia="宋体" w:cs="Times New Roman"/>
          <w:color w:val="auto"/>
          <w:highlight w:val="none"/>
        </w:rPr>
        <w:t>基建期</w:t>
      </w:r>
      <w:r>
        <w:rPr>
          <w:rFonts w:hint="default" w:ascii="Times New Roman" w:hAnsi="Times New Roman" w:eastAsia="宋体" w:cs="Times New Roman"/>
          <w:color w:val="auto"/>
          <w:highlight w:val="none"/>
          <w:lang w:val="en-US" w:eastAsia="zh-CN"/>
        </w:rPr>
        <w:t>生态恢复工程内容如下：</w:t>
      </w:r>
      <w:r>
        <w:rPr>
          <w:rFonts w:hint="default" w:ascii="Times New Roman" w:hAnsi="Times New Roman" w:eastAsia="宋体" w:cs="Times New Roman"/>
          <w:color w:val="auto"/>
          <w:highlight w:val="none"/>
        </w:rPr>
        <w:t>首先清理露天采场边坡的危岩、浮石，露天采场边坡面积3.0437hm²，清理石方量913m³；对排岩场1、排岩场2、排岩场3、排岩场4底部修建挡土墙191m；沿着露天采场外围和预测塌陷区拉设铁丝网约3300m，并且树立警示牌65个；对废弃的露天采坑2、露天采坑3、露天采坑4边坡栽植地锦；对拟建露天采场一370m、350m平台面积为0.4428hm²和拟建露天采场二420m、400m平台面积为0.3794hm²和对排岩场2面积为0.1181hm²、排岩场4面积为0.2836hm²进行平整、客土；其中对露天采场平台栽植刺槐、排岩场边坡栽植紫穗槐、露天采场边坡栽植地锦进行植被恢复。复垦区总面积为1.2239hm²</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生物量以</w:t>
      </w:r>
      <w:r>
        <w:rPr>
          <w:rFonts w:hint="default" w:ascii="Times New Roman" w:hAnsi="Times New Roman" w:eastAsia="宋体" w:cs="Times New Roman"/>
          <w:color w:val="auto"/>
          <w:highlight w:val="none"/>
          <w:lang w:val="en-US" w:eastAsia="zh-CN"/>
        </w:rPr>
        <w:t>37.5</w:t>
      </w:r>
      <w:r>
        <w:rPr>
          <w:rFonts w:hint="default" w:ascii="Times New Roman" w:hAnsi="Times New Roman" w:eastAsia="宋体" w:cs="Times New Roman"/>
          <w:color w:val="auto"/>
          <w:highlight w:val="none"/>
        </w:rPr>
        <w:t>t/hm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计，将增加生物量为</w:t>
      </w:r>
      <w:r>
        <w:rPr>
          <w:rFonts w:hint="default" w:ascii="Times New Roman" w:hAnsi="Times New Roman" w:eastAsia="宋体" w:cs="Times New Roman"/>
          <w:color w:val="auto"/>
          <w:highlight w:val="none"/>
          <w:lang w:val="en-US" w:eastAsia="zh-CN"/>
        </w:rPr>
        <w:t>45.9</w:t>
      </w:r>
      <w:r>
        <w:rPr>
          <w:rFonts w:hint="default" w:ascii="Times New Roman" w:hAnsi="Times New Roman" w:eastAsia="宋体" w:cs="Times New Roman"/>
          <w:color w:val="auto"/>
          <w:highlight w:val="none"/>
        </w:rPr>
        <w:t>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较现状生物量将有所增加。</w:t>
      </w:r>
    </w:p>
    <w:p>
      <w:pPr>
        <w:bidi w:val="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随着</w:t>
      </w:r>
      <w:r>
        <w:rPr>
          <w:rFonts w:hint="default" w:ascii="Times New Roman" w:hAnsi="Times New Roman" w:eastAsia="宋体" w:cs="Times New Roman"/>
          <w:color w:val="auto"/>
          <w:highlight w:val="none"/>
          <w:lang w:val="en-US" w:eastAsia="zh-CN"/>
        </w:rPr>
        <w:t>基建期对</w:t>
      </w:r>
      <w:r>
        <w:rPr>
          <w:rFonts w:hint="default" w:ascii="Times New Roman" w:hAnsi="Times New Roman" w:eastAsia="宋体" w:cs="Times New Roman"/>
          <w:color w:val="auto"/>
          <w:highlight w:val="none"/>
        </w:rPr>
        <w:t>露天采场平台、排岩场进行植被恢复，损失的生物量会得到补偿</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同时提高了区域的植被覆盖度。</w:t>
      </w:r>
      <w:r>
        <w:rPr>
          <w:rFonts w:hint="default" w:ascii="Times New Roman" w:hAnsi="Times New Roman" w:eastAsia="宋体" w:cs="Times New Roman"/>
          <w:color w:val="auto"/>
          <w:sz w:val="24"/>
          <w:szCs w:val="24"/>
          <w:highlight w:val="none"/>
          <w:lang w:val="en-US" w:eastAsia="zh-CN"/>
        </w:rPr>
        <w:t>基建期</w:t>
      </w:r>
      <w:r>
        <w:rPr>
          <w:rFonts w:hint="default" w:ascii="Times New Roman" w:hAnsi="Times New Roman" w:eastAsia="宋体" w:cs="Times New Roman"/>
          <w:color w:val="auto"/>
          <w:highlight w:val="none"/>
          <w:lang w:val="en-US" w:eastAsia="zh-CN"/>
        </w:rPr>
        <w:t>严格按</w:t>
      </w:r>
      <w:r>
        <w:rPr>
          <w:rFonts w:hint="default" w:ascii="Times New Roman" w:hAnsi="Times New Roman" w:eastAsia="宋体" w:cs="Times New Roman"/>
          <w:color w:val="auto"/>
          <w:sz w:val="24"/>
          <w:highlight w:val="none"/>
        </w:rPr>
        <w:t>《土地复垦技术标准》进行土地复垦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并采用</w:t>
      </w:r>
      <w:r>
        <w:rPr>
          <w:rFonts w:hint="default" w:ascii="Times New Roman" w:hAnsi="Times New Roman" w:eastAsia="宋体" w:cs="Times New Roman"/>
          <w:color w:val="auto"/>
          <w:sz w:val="24"/>
          <w:szCs w:val="24"/>
          <w:highlight w:val="none"/>
        </w:rPr>
        <w:t>当地较为常见的物种</w:t>
      </w:r>
      <w:r>
        <w:rPr>
          <w:rFonts w:hint="default" w:ascii="Times New Roman" w:hAnsi="Times New Roman" w:eastAsia="宋体" w:cs="Times New Roman"/>
          <w:color w:val="auto"/>
          <w:sz w:val="24"/>
          <w:highlight w:val="none"/>
        </w:rPr>
        <w:t>植</w:t>
      </w:r>
      <w:r>
        <w:rPr>
          <w:rFonts w:hint="default" w:ascii="Times New Roman" w:hAnsi="Times New Roman" w:eastAsia="宋体" w:cs="Times New Roman"/>
          <w:color w:val="auto"/>
          <w:sz w:val="24"/>
          <w:highlight w:val="none"/>
          <w:lang w:val="en-US" w:eastAsia="zh-CN"/>
        </w:rPr>
        <w:t>进行</w:t>
      </w:r>
      <w:r>
        <w:rPr>
          <w:rFonts w:hint="default" w:ascii="Times New Roman" w:hAnsi="Times New Roman" w:eastAsia="宋体" w:cs="Times New Roman"/>
          <w:color w:val="auto"/>
          <w:sz w:val="24"/>
          <w:highlight w:val="none"/>
        </w:rPr>
        <w:t>重建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不会造成评价区植被类型的减少，更不会造成区域植物区系发生改变。工程建设期间对野生植物的多样性影响较小。</w:t>
      </w:r>
    </w:p>
    <w:p>
      <w:pPr>
        <w:pStyle w:val="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减缓措施：</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（1）加强野生珍稀保护植物科普宣传和环保教育，施工过程中如在施工范围内发现有珍稀保护植物分布，应及时将其移植，避免工程施工对它们的破坏。</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（2）对于国家重点保护植物，能够移栽的进行迁地保护，一般可就近选择生境相似的宜林地或林间空地进行移栽，可优先考虑停车区等站场内移栽。</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施工期间土石方运输时，根据当地主管部门的要求，采取对运输车辆加盖篷布等措施，冬春多风季节施工时，对取、弃土堆采取洒水、加盖覆盖物等措施，保证车辆整洁，防止土石砂料撒漏，并按规定的行驶线路、时间、装卸地点运营。对施工道路尽量采用硬化路面，定期洒水降尘，减轻对植物的影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施工扬尘主要来源于施工过程中粉状物料堆放、土方的临时堆存以及车辆运输等过程。由于项目所在地地表植被覆盖度相对较高，环境空气现状质量较好；为此，在施工过程中建议采取如下措施，减少施工扬尘污染，其关键在于加强对施工现场的环境管理，具体如下：</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1）尽量不在大风天施工作业，尤其是引起地面扰动的作业；</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2）为减少开挖和运土时的过量扬尘，在晴天或气候干燥的情况下，应适当向填土区、储土堆及作业面、地面撒水；</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3）运输石灰、中砂、水泥等粉状材料的车辆要求保持完好，装载不宜过满，保证运土过程不散落；同时应覆盖蓬布，以减少撒落和飞灰；</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4）经常清洗运载汽车的车轮和底盘上的泥土，减少汽车在运输过程携带泥土、杂物散落地面和路面；</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5）及时清扫因雨水夹带和运输散落在施工场地、路面上的泥土，减少卡车运行过程和刮风引起的扬尘；</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6）规划好施工车辆的运行路线，尽量避开村屯和人流密集的交通要道，避免交通堵塞及注意车辆维修保养，以减少汽车尾气排放。</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7）散装水泥、砂石等粉状物堆放表面应用网遮盖，装卸水泥现场必须及时清理，减少扬尘产生。</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8）施工中应强化施工人员的环保意识，加强环境管理，严格执行沿线地方政府和有关部门颁布的有关环境保护及施工建设方面的有关规定。</w:t>
      </w:r>
    </w:p>
    <w:p>
      <w:pPr>
        <w:pStyle w:val="5"/>
        <w:bidi w:val="0"/>
        <w:rPr>
          <w:rFonts w:hint="default"/>
          <w:color w:val="auto"/>
          <w:highlight w:val="none"/>
          <w:lang w:val="en-US" w:eastAsia="zh-CN"/>
        </w:rPr>
      </w:pPr>
      <w:r>
        <w:rPr>
          <w:rFonts w:hint="default"/>
          <w:color w:val="auto"/>
          <w:highlight w:val="none"/>
          <w:lang w:val="en-US" w:eastAsia="zh-CN"/>
        </w:rPr>
        <w:t>对野生动物的影响分析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由于工程在经过区域为</w:t>
      </w:r>
      <w:r>
        <w:rPr>
          <w:rFonts w:hint="default" w:ascii="Times New Roman" w:hAnsi="Times New Roman" w:eastAsia="宋体" w:cs="Times New Roman"/>
          <w:color w:val="auto"/>
          <w:sz w:val="24"/>
          <w:szCs w:val="24"/>
          <w:highlight w:val="none"/>
          <w:lang w:val="en-US" w:eastAsia="zh-CN"/>
        </w:rPr>
        <w:t>林地</w:t>
      </w:r>
      <w:r>
        <w:rPr>
          <w:rFonts w:hint="default" w:ascii="Times New Roman" w:hAnsi="Times New Roman" w:eastAsia="宋体" w:cs="Times New Roman"/>
          <w:color w:val="auto"/>
          <w:sz w:val="24"/>
          <w:szCs w:val="24"/>
          <w:highlight w:val="none"/>
        </w:rPr>
        <w:t>，评价区内有许多动物的替代生境，动物比较容易找到栖息场所。同时由于</w:t>
      </w:r>
      <w:r>
        <w:rPr>
          <w:rFonts w:hint="default" w:ascii="Times New Roman" w:hAnsi="Times New Roman" w:eastAsia="宋体" w:cs="Times New Roman"/>
          <w:color w:val="auto"/>
          <w:sz w:val="24"/>
          <w:szCs w:val="24"/>
          <w:highlight w:val="none"/>
          <w:lang w:val="en-US" w:eastAsia="zh-CN"/>
        </w:rPr>
        <w:t>工程散装分部，</w:t>
      </w:r>
      <w:r>
        <w:rPr>
          <w:rFonts w:hint="default" w:ascii="Times New Roman" w:hAnsi="Times New Roman" w:eastAsia="宋体" w:cs="Times New Roman"/>
          <w:color w:val="auto"/>
          <w:sz w:val="24"/>
          <w:szCs w:val="24"/>
          <w:highlight w:val="none"/>
        </w:rPr>
        <w:t>施工范围小，工程建设对野生动物影响的范围不大且影响时间较短，因此对动物不会造成大的影响，可随植被的恢复而缓解、消失。</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）对爬行类的影响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在评价范围内分布的蛇类等爬行动物，由于施工便道的建设，施工人员的进入，必然受到惊扰，原分布区被部分破坏会导致这些动物的生活区向上迁移或暂时迁移到工程影响区外生境相似的地区。</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工程建设过程中，由于施工车辆产生的噪声、爆破及人为活动的干扰等因素，可能导致线路两侧附近的爬行类动物产生回避行为，使其向外围转移，</w:t>
      </w:r>
      <w:r>
        <w:rPr>
          <w:rFonts w:hint="default" w:ascii="Times New Roman" w:hAnsi="Times New Roman" w:eastAsia="宋体" w:cs="Times New Roman"/>
          <w:color w:val="auto"/>
          <w:sz w:val="24"/>
          <w:szCs w:val="24"/>
          <w:highlight w:val="none"/>
          <w:lang w:val="en-US" w:eastAsia="zh-CN"/>
        </w:rPr>
        <w:t>矿区</w:t>
      </w:r>
      <w:r>
        <w:rPr>
          <w:rFonts w:hint="default" w:ascii="Times New Roman" w:hAnsi="Times New Roman" w:eastAsia="宋体" w:cs="Times New Roman"/>
          <w:color w:val="auto"/>
          <w:sz w:val="24"/>
          <w:szCs w:val="24"/>
          <w:highlight w:val="none"/>
        </w:rPr>
        <w:t>范围内爬行类出现的频率会降低。但不会对两栖、爬行类的总体多样性产生影响。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）对鸟类的影响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工程在施工过程中，由于车辆噪声、人为活动干扰等所造成的廊道效应可能导致鸟类临近</w:t>
      </w:r>
      <w:r>
        <w:rPr>
          <w:rFonts w:hint="default" w:ascii="Times New Roman" w:hAnsi="Times New Roman" w:eastAsia="宋体" w:cs="Times New Roman"/>
          <w:color w:val="auto"/>
          <w:sz w:val="24"/>
          <w:szCs w:val="24"/>
          <w:highlight w:val="none"/>
          <w:lang w:val="en-US" w:eastAsia="zh-CN"/>
        </w:rPr>
        <w:t>矿</w:t>
      </w:r>
      <w:r>
        <w:rPr>
          <w:rFonts w:hint="default" w:ascii="Times New Roman" w:hAnsi="Times New Roman" w:eastAsia="宋体" w:cs="Times New Roman"/>
          <w:color w:val="auto"/>
          <w:sz w:val="24"/>
          <w:szCs w:val="24"/>
          <w:highlight w:val="none"/>
        </w:rPr>
        <w:t>区域密度下降。春季是鸟类繁殖季节，此时配对的雌、雄鸟会在高大树木上去筑巢、产卵，</w:t>
      </w:r>
      <w:r>
        <w:rPr>
          <w:rFonts w:hint="default" w:ascii="Times New Roman" w:hAnsi="Times New Roman" w:eastAsia="宋体" w:cs="Times New Roman"/>
          <w:color w:val="auto"/>
          <w:sz w:val="24"/>
          <w:szCs w:val="24"/>
          <w:highlight w:val="none"/>
          <w:lang w:val="en-US" w:eastAsia="zh-CN"/>
        </w:rPr>
        <w:t>矿区</w:t>
      </w:r>
      <w:r>
        <w:rPr>
          <w:rFonts w:hint="default" w:ascii="Times New Roman" w:hAnsi="Times New Roman" w:eastAsia="宋体" w:cs="Times New Roman"/>
          <w:color w:val="auto"/>
          <w:sz w:val="24"/>
          <w:szCs w:val="24"/>
          <w:highlight w:val="none"/>
        </w:rPr>
        <w:t>施工过程中产生的噪声及人为活动可能会对鸟类繁殖产生一定的干扰。在春秋季迁徙期间，对迁徙候鸟特别是水鸟类会形成较大干扰，甚至会导致一些迁徙物种临时性改变迁徙路线或停歇区域；如有夜间施工，灯光布设不合理则可能对迁徙鸟类有一定的干扰，形成光源污染。</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爆破噪声振动的突发性、不连续性会对周围鸟类及其它动物带来影响。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由于鸟类对声音的适应性和本工程与保护鸟类栖息地和繁殖地的位置关系以及</w:t>
      </w: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周边社会和自然活动等铁点，再根据相关类似工程的调查，可知，本工程建设不会对保护鸟类栖息繁殖造成长久影响。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）对哺乳动物的影响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工程施工过程中，</w:t>
      </w:r>
      <w:r>
        <w:rPr>
          <w:rFonts w:hint="default" w:ascii="Times New Roman" w:hAnsi="Times New Roman" w:eastAsia="宋体" w:cs="Times New Roman"/>
          <w:color w:val="auto"/>
          <w:sz w:val="24"/>
          <w:szCs w:val="24"/>
          <w:highlight w:val="none"/>
          <w:lang w:val="en-US" w:eastAsia="zh-CN"/>
        </w:rPr>
        <w:t>露天采区、平硐</w:t>
      </w:r>
      <w:r>
        <w:rPr>
          <w:rFonts w:hint="default" w:ascii="Times New Roman" w:hAnsi="Times New Roman" w:eastAsia="宋体" w:cs="Times New Roman"/>
          <w:color w:val="auto"/>
          <w:sz w:val="24"/>
          <w:szCs w:val="24"/>
          <w:highlight w:val="none"/>
        </w:rPr>
        <w:t>及施工人员营地等都需要占用土地，这些土地占用会直接破坏原有植被，使在此区域内活动的野生动物觅食地、栖息地减少，导致动物食物减少。工程的修建使野生动物原有的大面积生境产生分隔。另外，在</w:t>
      </w:r>
      <w:r>
        <w:rPr>
          <w:rFonts w:hint="default" w:ascii="Times New Roman" w:hAnsi="Times New Roman" w:eastAsia="宋体" w:cs="Times New Roman"/>
          <w:color w:val="auto"/>
          <w:sz w:val="24"/>
          <w:szCs w:val="24"/>
          <w:highlight w:val="none"/>
          <w:lang w:val="en-US" w:eastAsia="zh-CN"/>
        </w:rPr>
        <w:t>运营期</w:t>
      </w:r>
      <w:r>
        <w:rPr>
          <w:rFonts w:hint="default" w:ascii="Times New Roman" w:hAnsi="Times New Roman" w:eastAsia="宋体" w:cs="Times New Roman"/>
          <w:color w:val="auto"/>
          <w:sz w:val="24"/>
          <w:szCs w:val="24"/>
          <w:highlight w:val="none"/>
        </w:rPr>
        <w:t>，由于人为活动干扰、爆破噪声的影响，从而导致野生动物回避</w:t>
      </w:r>
      <w:r>
        <w:rPr>
          <w:rFonts w:hint="default" w:ascii="Times New Roman" w:hAnsi="Times New Roman" w:eastAsia="宋体" w:cs="Times New Roman"/>
          <w:color w:val="auto"/>
          <w:sz w:val="24"/>
          <w:szCs w:val="24"/>
          <w:highlight w:val="none"/>
          <w:lang w:val="en-US" w:eastAsia="zh-CN"/>
        </w:rPr>
        <w:t>矿区</w:t>
      </w:r>
      <w:r>
        <w:rPr>
          <w:rFonts w:hint="default" w:ascii="Times New Roman" w:hAnsi="Times New Roman" w:eastAsia="宋体" w:cs="Times New Roman"/>
          <w:color w:val="auto"/>
          <w:sz w:val="24"/>
          <w:szCs w:val="24"/>
          <w:highlight w:val="none"/>
        </w:rPr>
        <w:t>，使沿线野生动物在</w:t>
      </w:r>
      <w:r>
        <w:rPr>
          <w:rFonts w:hint="default" w:ascii="Times New Roman" w:hAnsi="Times New Roman" w:eastAsia="宋体" w:cs="Times New Roman"/>
          <w:color w:val="auto"/>
          <w:sz w:val="24"/>
          <w:szCs w:val="24"/>
          <w:highlight w:val="none"/>
          <w:lang w:val="en-US" w:eastAsia="zh-CN"/>
        </w:rPr>
        <w:t>矿区</w:t>
      </w:r>
      <w:r>
        <w:rPr>
          <w:rFonts w:hint="default" w:ascii="Times New Roman" w:hAnsi="Times New Roman" w:eastAsia="宋体" w:cs="Times New Roman"/>
          <w:color w:val="auto"/>
          <w:sz w:val="24"/>
          <w:szCs w:val="24"/>
          <w:highlight w:val="none"/>
        </w:rPr>
        <w:t>出现的频率降低。</w:t>
      </w:r>
    </w:p>
    <w:p>
      <w:pP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施工便道、弃渣场、施工场地会占用一部分野生动物栖息地，一定程度上对野生动物正常活动产生干扰；</w:t>
      </w: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eastAsia="宋体" w:cs="Times New Roman"/>
          <w:color w:val="auto"/>
          <w:sz w:val="24"/>
          <w:szCs w:val="24"/>
          <w:highlight w:val="none"/>
        </w:rPr>
        <w:t>施工便道利用既有乡道或村路，可大大降低对生态环境的破坏和对野生动物栖息地新的切割。施工机械的汽油异味对野生动物的影响比较有限，施工过程中对施工污水的处理一般有严格的管理制度，不会对野生动物的水源构成影响。施工爆破、机械操作对野生动物的影响主要涉及到施工场地周边的区域，这种影响会波及到</w:t>
      </w:r>
      <w:r>
        <w:rPr>
          <w:rFonts w:hint="default" w:ascii="Times New Roman" w:hAnsi="Times New Roman" w:eastAsia="宋体" w:cs="Times New Roman"/>
          <w:color w:val="auto"/>
          <w:sz w:val="24"/>
          <w:szCs w:val="24"/>
          <w:highlight w:val="none"/>
          <w:lang w:val="en-US" w:eastAsia="zh-CN"/>
        </w:rPr>
        <w:t>矿区外0.5</w:t>
      </w:r>
      <w:r>
        <w:rPr>
          <w:rFonts w:hint="default" w:ascii="Times New Roman" w:hAnsi="Times New Roman" w:eastAsia="宋体" w:cs="Times New Roman"/>
          <w:color w:val="auto"/>
          <w:sz w:val="24"/>
          <w:szCs w:val="24"/>
          <w:highlight w:val="none"/>
        </w:rPr>
        <w:t>km范围内活动的野生动物。</w:t>
      </w:r>
    </w:p>
    <w:p>
      <w:pPr>
        <w:pStyle w:val="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减缓措施：</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lang w:val="en-US" w:eastAsia="zh-CN"/>
        </w:rPr>
        <w:t>1）应加强施工管理，加强施工人员的环保教育。开工前，应在工地及周边设立保</w:t>
      </w:r>
      <w:r>
        <w:rPr>
          <w:rFonts w:hint="default" w:ascii="Times New Roman" w:hAnsi="Times New Roman" w:eastAsia="宋体" w:cs="Times New Roman"/>
          <w:color w:val="auto"/>
          <w:sz w:val="24"/>
          <w:szCs w:val="24"/>
          <w:highlight w:val="none"/>
        </w:rPr>
        <w:t>护植被和野生动物的宣传牌，注意对野生动物栖息地内林草植被和野生动物的保护，严禁施工人员破坏植被，捕杀野生动物。提高施工人员的保护意识，施工人员必须遵守《中华人民共和国野生动物保护法》，严禁在施工区及其周围捕猎野生动物，特别是国家重点保护动物，在施工时严禁对其进行猎捕；对受伤的野生动物要积极救护或通知有关单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2）在野生动物栖息地范围内，严格划定施工界限，禁止越界和破坏征地范围外植被的行为。合理布设施工营地、施工场地，减小临时工程占地面积；施工垃圾集中收集，随清随运。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3）占地范围内树木砍伐时间应尽量避开鸟类的繁殖时期。工程要避免清晨6:00前和晚8:00后进行施工，避免灯光和噪音对施工现场附近鸟类和夜行动物的干扰。对于</w:t>
      </w:r>
      <w:r>
        <w:rPr>
          <w:rFonts w:hint="default" w:ascii="Times New Roman" w:hAnsi="Times New Roman" w:eastAsia="宋体" w:cs="Times New Roman"/>
          <w:color w:val="auto"/>
          <w:sz w:val="24"/>
          <w:szCs w:val="24"/>
          <w:highlight w:val="none"/>
          <w:lang w:val="en-US" w:eastAsia="zh-CN"/>
        </w:rPr>
        <w:t>在矿区</w:t>
      </w:r>
      <w:r>
        <w:rPr>
          <w:rFonts w:hint="default" w:ascii="Times New Roman" w:hAnsi="Times New Roman" w:eastAsia="宋体" w:cs="Times New Roman"/>
          <w:color w:val="auto"/>
          <w:sz w:val="24"/>
          <w:szCs w:val="24"/>
          <w:highlight w:val="none"/>
        </w:rPr>
        <w:t>野生动物集中活动区的鸟类，要采取适当的驱散、诱导等有效措施，使其转移。</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4）施工应尽量选用低噪音并带有消声隔音的施工设备，必要时采取加防振垫、包覆和隔声罩等有效措施减轻噪声污染，减少对周围野生动物的惊扰。</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5）合理安排开挖时段，尤其是野生动物资源丰富区域的区域，施工应避开鸟类繁殖期和迁徙期，爆破时间避免清晨6:00前和晚8:00后，减少噪音对鸟类及其它野生动物栖息、觅食等活动的影响。</w:t>
      </w:r>
    </w:p>
    <w:p>
      <w:pPr>
        <w:pStyle w:val="5"/>
        <w:bidi w:val="0"/>
        <w:rPr>
          <w:rFonts w:hint="default"/>
          <w:color w:val="auto"/>
          <w:highlight w:val="none"/>
          <w:lang w:val="en-US" w:eastAsia="zh-CN"/>
        </w:rPr>
      </w:pPr>
      <w:r>
        <w:rPr>
          <w:rFonts w:hint="default"/>
          <w:color w:val="auto"/>
          <w:highlight w:val="none"/>
          <w:lang w:val="en-US" w:eastAsia="zh-CN"/>
        </w:rPr>
        <w:t>对土壤的影响分析</w:t>
      </w:r>
    </w:p>
    <w:p>
      <w:pPr>
        <w:spacing w:line="360" w:lineRule="auto"/>
        <w:ind w:firstLine="480" w:firstLineChars="200"/>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snapToGrid w:val="0"/>
          <w:color w:val="auto"/>
          <w:kern w:val="0"/>
          <w:sz w:val="24"/>
          <w:highlight w:val="none"/>
        </w:rPr>
        <w:t>矿山早期采矿产生的废石堆积于排岩场，改变原地形地貌，土地损毁后，使整个土壤的结构和层次受到损毁，有效土层被迫压于废石下部，有效土层厚度改变，土壤质地等改变，抗蚀性变差，土壤涵养水源能力锐减，土壤生态系统的功能被恶化，易产生水土流失，这些都将使得土壤资源减少和加剧土壤恶化。与此同时，道路、场地的压占也会使土壤板结，容重增大，土壤孔隙比例失调，土壤保水、保肥能力降低。</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基建</w:t>
      </w:r>
      <w:r>
        <w:rPr>
          <w:rFonts w:hint="default" w:ascii="Times New Roman" w:hAnsi="Times New Roman" w:eastAsia="宋体" w:cs="Times New Roman"/>
          <w:color w:val="auto"/>
          <w:highlight w:val="none"/>
        </w:rPr>
        <w:t>期间除占地造成地表生物量的损失外，场地平整和土石方搬移，将形成新的水土流失。</w:t>
      </w:r>
      <w:r>
        <w:rPr>
          <w:rFonts w:hint="default" w:ascii="Times New Roman" w:hAnsi="Times New Roman" w:eastAsia="宋体" w:cs="Times New Roman"/>
          <w:color w:val="auto"/>
          <w:highlight w:val="none"/>
          <w:lang w:val="en-US" w:eastAsia="zh-CN"/>
        </w:rPr>
        <w:t>基建</w:t>
      </w:r>
      <w:r>
        <w:rPr>
          <w:rFonts w:hint="default" w:ascii="Times New Roman" w:hAnsi="Times New Roman" w:eastAsia="宋体" w:cs="Times New Roman"/>
          <w:color w:val="auto"/>
          <w:highlight w:val="none"/>
        </w:rPr>
        <w:t>期影响水土流失的因素有：</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①工业场地平整、临时堆放弃土以及建筑物建设等扰动地表，弃土、渣造成水土流失。</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②临时施工区场地开挖、平整、设备材料堆放使地面裸露，破坏原地貌。</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为最大限度减轻项目建设对周围生态环境的影响，在施工完成时，及时做好恢复和补偿工作，加强绿化。不会对区域内的生态环境产生明显的不利影响。</w:t>
      </w:r>
    </w:p>
    <w:p>
      <w:pPr>
        <w:pStyle w:val="2"/>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减缓措施：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土的保护及利用：耕作层土壤和表层土壤是经过多年耕作和植物作用而形成的土壤，对于植物种子的萌发和幼苗的生长有着重要作用。因此，在土壤较肥沃的地段建设永久性设施时，要保护和利用好表层土（主要为0～30cm的土层），为此，在施工前，首先要把表层土集中到表土场，表土场四周设置装土编织袋拦挡墙，临时堆存的堆土表面利用防尘网苫盖，用于生态恢复治理备用。如 果短期内不能被矿山复垦完全利用掉，剩余的表土场表面也播撒草籽。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妥善处理建设期产生的各类污染物、生活垃圾等，要进行统一集中处理，不得随意弃置。施工结束后，要进行现场清理，采取恢复措施。</w:t>
      </w:r>
    </w:p>
    <w:p>
      <w:pPr>
        <w:pStyle w:val="4"/>
        <w:bidi w:val="0"/>
        <w:ind w:left="0" w:leftChars="0" w:firstLineChars="0"/>
        <w:rPr>
          <w:rFonts w:hint="default"/>
          <w:color w:val="auto"/>
          <w:highlight w:val="none"/>
          <w:lang w:val="en-US" w:eastAsia="zh-CN"/>
        </w:rPr>
      </w:pPr>
      <w:bookmarkStart w:id="315" w:name="_Toc6018"/>
      <w:r>
        <w:rPr>
          <w:rFonts w:hint="default"/>
          <w:color w:val="auto"/>
          <w:highlight w:val="none"/>
          <w:lang w:val="en-US" w:eastAsia="zh-CN"/>
        </w:rPr>
        <w:t>运营期生态环境影响分析</w:t>
      </w:r>
      <w:bookmarkEnd w:id="315"/>
    </w:p>
    <w:p>
      <w:pPr>
        <w:pStyle w:val="5"/>
        <w:bidi w:val="0"/>
        <w:rPr>
          <w:rFonts w:hint="default"/>
          <w:color w:val="auto"/>
          <w:highlight w:val="none"/>
          <w:lang w:val="en-US" w:eastAsia="zh-CN"/>
        </w:rPr>
      </w:pPr>
      <w:r>
        <w:rPr>
          <w:rFonts w:hint="default"/>
          <w:color w:val="auto"/>
          <w:highlight w:val="none"/>
          <w:lang w:val="en-US" w:eastAsia="zh-CN"/>
        </w:rPr>
        <w:t>对土地利用的影响分析</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vi-VN" w:eastAsia="zh-CN"/>
        </w:rPr>
      </w:pPr>
      <w:r>
        <w:rPr>
          <w:rFonts w:hint="eastAsia" w:ascii="Times New Roman" w:hAnsi="Times New Roman" w:eastAsia="宋体" w:cs="Times New Roman"/>
          <w:color w:val="auto"/>
          <w:sz w:val="24"/>
          <w:highlight w:val="none"/>
          <w:lang w:val="en-US" w:eastAsia="zh-CN"/>
        </w:rPr>
        <w:t>5.4.1.1</w:t>
      </w:r>
      <w:r>
        <w:rPr>
          <w:rFonts w:hint="default" w:ascii="Times New Roman" w:hAnsi="Times New Roman" w:eastAsia="宋体" w:cs="Times New Roman"/>
          <w:color w:val="auto"/>
          <w:sz w:val="24"/>
          <w:highlight w:val="none"/>
          <w:lang w:val="en-US" w:eastAsia="zh-CN"/>
        </w:rPr>
        <w:t>工程占地对土地利用的影响分析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经预测，矿山</w:t>
      </w:r>
      <w:r>
        <w:rPr>
          <w:rFonts w:hint="default" w:ascii="Times New Roman" w:hAnsi="Times New Roman" w:eastAsia="宋体" w:cs="Times New Roman"/>
          <w:color w:val="auto"/>
          <w:highlight w:val="none"/>
          <w:lang w:val="en-US" w:eastAsia="zh-CN"/>
        </w:rPr>
        <w:t>运营期</w:t>
      </w:r>
      <w:r>
        <w:rPr>
          <w:rFonts w:hint="default" w:ascii="Times New Roman" w:hAnsi="Times New Roman" w:eastAsia="宋体" w:cs="Times New Roman"/>
          <w:color w:val="auto"/>
          <w:highlight w:val="none"/>
        </w:rPr>
        <w:t>预计新增破坏土地面积为</w:t>
      </w:r>
      <w:r>
        <w:rPr>
          <w:rFonts w:hint="default" w:ascii="Times New Roman" w:hAnsi="Times New Roman" w:eastAsia="宋体" w:cs="Times New Roman"/>
          <w:color w:val="auto"/>
          <w:highlight w:val="none"/>
          <w:lang w:val="en-US" w:eastAsia="zh-CN"/>
        </w:rPr>
        <w:t>12.5189</w:t>
      </w:r>
      <w:r>
        <w:rPr>
          <w:rFonts w:hint="default" w:ascii="Times New Roman" w:hAnsi="Times New Roman" w:eastAsia="宋体" w:cs="Times New Roman"/>
          <w:color w:val="auto"/>
          <w:highlight w:val="none"/>
        </w:rPr>
        <w:t>hm²，预测其中以挖损形式新增破坏面积为</w:t>
      </w:r>
      <w:r>
        <w:rPr>
          <w:rFonts w:hint="default" w:ascii="Times New Roman" w:hAnsi="Times New Roman" w:eastAsia="宋体" w:cs="Times New Roman"/>
          <w:color w:val="auto"/>
          <w:highlight w:val="none"/>
          <w:lang w:val="en-US" w:eastAsia="zh-CN"/>
        </w:rPr>
        <w:t>5.9835</w:t>
      </w:r>
      <w:r>
        <w:rPr>
          <w:rFonts w:hint="default" w:ascii="Times New Roman" w:hAnsi="Times New Roman" w:eastAsia="宋体" w:cs="Times New Roman"/>
          <w:color w:val="auto"/>
          <w:highlight w:val="none"/>
        </w:rPr>
        <w:t>hm²，以塌陷形式破坏的土地面积5.5915hm²，但因拟建露天一采场和预测地面塌陷范围与现状露天采坑1、部分露天采坑2、部分运输道路1存在损毁位置上的重叠，重叠面积为0.9230hm²，</w:t>
      </w:r>
      <w:r>
        <w:rPr>
          <w:rFonts w:hint="default" w:ascii="Times New Roman" w:hAnsi="Times New Roman" w:eastAsia="宋体" w:cs="Times New Roman"/>
          <w:color w:val="auto"/>
          <w:highlight w:val="none"/>
          <w:lang w:val="vi-VN"/>
        </w:rPr>
        <w:t>在考虑到损毁面积不重复计算的前提下，最终确定</w:t>
      </w:r>
      <w:r>
        <w:rPr>
          <w:rFonts w:hint="default" w:ascii="Times New Roman" w:hAnsi="Times New Roman" w:eastAsia="宋体" w:cs="Times New Roman"/>
          <w:color w:val="auto"/>
          <w:highlight w:val="none"/>
        </w:rPr>
        <w:t>矿山</w:t>
      </w:r>
      <w:r>
        <w:rPr>
          <w:rFonts w:hint="default" w:ascii="Times New Roman" w:hAnsi="Times New Roman" w:eastAsia="宋体" w:cs="Times New Roman"/>
          <w:color w:val="auto"/>
          <w:highlight w:val="none"/>
          <w:lang w:val="en-US" w:eastAsia="zh-CN"/>
        </w:rPr>
        <w:t>运营期</w:t>
      </w:r>
      <w:r>
        <w:rPr>
          <w:rFonts w:hint="default" w:ascii="Times New Roman" w:hAnsi="Times New Roman" w:eastAsia="宋体" w:cs="Times New Roman"/>
          <w:color w:val="auto"/>
          <w:highlight w:val="none"/>
        </w:rPr>
        <w:t>拟建工程预计新增破坏土地面积为</w:t>
      </w:r>
      <w:r>
        <w:rPr>
          <w:rFonts w:hint="default" w:ascii="Times New Roman" w:hAnsi="Times New Roman" w:eastAsia="宋体" w:cs="Times New Roman"/>
          <w:color w:val="auto"/>
          <w:highlight w:val="none"/>
          <w:lang w:val="en-US" w:eastAsia="zh-CN"/>
        </w:rPr>
        <w:t>12.5189</w:t>
      </w:r>
      <w:r>
        <w:rPr>
          <w:rFonts w:hint="default" w:ascii="Times New Roman" w:hAnsi="Times New Roman" w:eastAsia="宋体" w:cs="Times New Roman"/>
          <w:color w:val="auto"/>
          <w:highlight w:val="none"/>
        </w:rPr>
        <w:t>hm²</w:t>
      </w:r>
      <w:r>
        <w:rPr>
          <w:rFonts w:hint="default" w:ascii="Times New Roman" w:hAnsi="Times New Roman" w:eastAsia="宋体" w:cs="Times New Roman"/>
          <w:color w:val="auto"/>
          <w:highlight w:val="none"/>
          <w:lang w:val="vi-VN"/>
        </w:rPr>
        <w:t>。</w:t>
      </w:r>
      <w:r>
        <w:rPr>
          <w:rFonts w:hint="default" w:ascii="Times New Roman" w:hAnsi="Times New Roman" w:eastAsia="宋体" w:cs="Times New Roman"/>
          <w:color w:val="auto"/>
          <w:highlight w:val="none"/>
        </w:rPr>
        <w:t>破坏的土地类型为采矿用地和有林地，其中破坏林地面积</w:t>
      </w:r>
      <w:r>
        <w:rPr>
          <w:rFonts w:hint="default" w:ascii="Times New Roman" w:hAnsi="Times New Roman" w:eastAsia="宋体" w:cs="Times New Roman"/>
          <w:color w:val="auto"/>
          <w:highlight w:val="none"/>
          <w:lang w:val="en-US" w:eastAsia="zh-CN"/>
        </w:rPr>
        <w:t>11.3134</w:t>
      </w:r>
      <w:r>
        <w:rPr>
          <w:rFonts w:hint="default" w:ascii="Times New Roman" w:hAnsi="Times New Roman" w:eastAsia="宋体" w:cs="Times New Roman"/>
          <w:color w:val="auto"/>
          <w:highlight w:val="none"/>
        </w:rPr>
        <w:t>hm²（＞4hm²），依据DZ／T0223—2011《矿山地质环境保护与恢复治理方案编制规范》附表E矿山地质环境影响程度分级表，预测矿山未来开采活动对土地资源的影响和破坏程度为严重。</w:t>
      </w:r>
    </w:p>
    <w:p>
      <w:pPr>
        <w:keepNext w:val="0"/>
        <w:keepLines w:val="0"/>
        <w:pageBreakBefore w:val="0"/>
        <w:widowControl w:val="0"/>
        <w:kinsoku/>
        <w:wordWrap/>
        <w:overflowPunct/>
        <w:topLinePunct w:val="0"/>
        <w:autoSpaceDE/>
        <w:autoSpaceDN/>
        <w:bidi w:val="0"/>
        <w:adjustRightInd w:val="0"/>
        <w:snapToGrid w:val="0"/>
        <w:spacing w:before="253" w:beforeLines="50" w:line="240" w:lineRule="atLeast"/>
        <w:ind w:firstLine="0" w:firstLineChars="0"/>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 w:val="24"/>
          <w:highlight w:val="none"/>
        </w:rPr>
        <w:t>表</w:t>
      </w:r>
      <w:r>
        <w:rPr>
          <w:rFonts w:hint="default" w:ascii="Times New Roman" w:hAnsi="Times New Roman" w:eastAsia="宋体" w:cs="Times New Roman"/>
          <w:b/>
          <w:color w:val="auto"/>
          <w:sz w:val="24"/>
          <w:highlight w:val="none"/>
          <w:lang w:val="en-US" w:eastAsia="zh-CN"/>
        </w:rPr>
        <w:t>5.</w:t>
      </w:r>
      <w:r>
        <w:rPr>
          <w:rFonts w:hint="eastAsia"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lang w:val="en-US" w:eastAsia="zh-CN"/>
        </w:rPr>
        <w:t>-</w:t>
      </w:r>
      <w:r>
        <w:rPr>
          <w:rFonts w:hint="eastAsia" w:ascii="Times New Roman" w:hAnsi="Times New Roman" w:eastAsia="宋体" w:cs="Times New Roman"/>
          <w:b/>
          <w:color w:val="auto"/>
          <w:sz w:val="24"/>
          <w:highlight w:val="none"/>
          <w:lang w:val="en-US" w:eastAsia="zh-CN"/>
        </w:rPr>
        <w:t>1</w:t>
      </w:r>
      <w:r>
        <w:rPr>
          <w:rFonts w:hint="default" w:ascii="Times New Roman" w:hAnsi="Times New Roman" w:eastAsia="宋体" w:cs="Times New Roman"/>
          <w:b/>
          <w:color w:val="auto"/>
          <w:sz w:val="24"/>
          <w:highlight w:val="none"/>
          <w:lang w:val="en-US" w:eastAsia="zh-CN"/>
        </w:rPr>
        <w:t>运营期</w:t>
      </w:r>
      <w:r>
        <w:rPr>
          <w:rFonts w:hint="default" w:ascii="Times New Roman" w:hAnsi="Times New Roman" w:eastAsia="宋体" w:cs="Times New Roman"/>
          <w:b/>
          <w:color w:val="auto"/>
          <w:sz w:val="24"/>
          <w:highlight w:val="none"/>
        </w:rPr>
        <w:t>预测影响和破坏土地资源面积及类型表</w:t>
      </w:r>
    </w:p>
    <w:tbl>
      <w:tblPr>
        <w:tblStyle w:val="45"/>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959"/>
        <w:gridCol w:w="1207"/>
        <w:gridCol w:w="1205"/>
        <w:gridCol w:w="1205"/>
        <w:gridCol w:w="1205"/>
        <w:gridCol w:w="1211"/>
        <w:gridCol w:w="129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055"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破坏单元</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破坏</w:t>
            </w:r>
          </w:p>
        </w:tc>
        <w:tc>
          <w:tcPr>
            <w:tcW w:w="2599" w:type="pct"/>
            <w:gridSpan w:val="4"/>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破坏土地面积及地类（hm²）</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055"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方式</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裸地</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其他草地</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（hm²）</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拟建露天一采场</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挖损</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5.4479</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5.4479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拟建露天二采场</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挖损</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0.4914</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1.8669</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2.3583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0"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平硐3</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挖损</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0.0221</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平硐4</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挖损</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0.0221</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0.0221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预测地面塌陷范围</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塌陷</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5.5915</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5.5915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05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重叠面积</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-0.2616</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-0.6614</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-0.923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1705"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预测小计</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11.3134</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1.2055</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5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69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12.5189</w:t>
            </w:r>
          </w:p>
        </w:tc>
      </w:tr>
    </w:tbl>
    <w:p>
      <w:pPr>
        <w:bidi w:val="0"/>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备注：以上面积不包括基建期。</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5.4.1.2</w:t>
      </w:r>
      <w:r>
        <w:rPr>
          <w:rFonts w:hint="default" w:ascii="Times New Roman" w:hAnsi="Times New Roman" w:eastAsia="宋体" w:cs="Times New Roman"/>
          <w:color w:val="auto"/>
          <w:sz w:val="24"/>
          <w:highlight w:val="none"/>
          <w:lang w:val="en-US" w:eastAsia="zh-CN"/>
        </w:rPr>
        <w:t>占地时效性、土地利用格局影响分析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时效性分析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工程用地</w:t>
      </w:r>
      <w:r>
        <w:rPr>
          <w:rFonts w:hint="default" w:ascii="Times New Roman" w:hAnsi="Times New Roman" w:eastAsia="宋体" w:cs="Times New Roman"/>
          <w:color w:val="auto"/>
          <w:highlight w:val="none"/>
          <w:lang w:val="en-US" w:eastAsia="zh-CN"/>
        </w:rPr>
        <w:t>主要</w:t>
      </w:r>
      <w:r>
        <w:rPr>
          <w:rFonts w:hint="default" w:ascii="Times New Roman" w:hAnsi="Times New Roman" w:eastAsia="宋体" w:cs="Times New Roman"/>
          <w:color w:val="auto"/>
          <w:highlight w:val="none"/>
        </w:rPr>
        <w:t>为</w:t>
      </w:r>
      <w:r>
        <w:rPr>
          <w:rFonts w:hint="default" w:ascii="Times New Roman" w:hAnsi="Times New Roman" w:eastAsia="宋体" w:cs="Times New Roman"/>
          <w:color w:val="auto"/>
          <w:highlight w:val="none"/>
          <w:lang w:val="en-US" w:eastAsia="zh-CN"/>
        </w:rPr>
        <w:t>露天开采</w:t>
      </w:r>
      <w:r>
        <w:rPr>
          <w:rFonts w:hint="default" w:ascii="Times New Roman" w:hAnsi="Times New Roman" w:eastAsia="宋体" w:cs="Times New Roman"/>
          <w:color w:val="auto"/>
          <w:highlight w:val="none"/>
        </w:rPr>
        <w:t>，一经</w:t>
      </w:r>
      <w:r>
        <w:rPr>
          <w:rFonts w:hint="default" w:ascii="Times New Roman" w:hAnsi="Times New Roman" w:eastAsia="宋体" w:cs="Times New Roman"/>
          <w:color w:val="auto"/>
          <w:highlight w:val="none"/>
          <w:lang w:val="en-US" w:eastAsia="zh-CN"/>
        </w:rPr>
        <w:t>开采</w:t>
      </w:r>
      <w:r>
        <w:rPr>
          <w:rFonts w:hint="default" w:ascii="Times New Roman" w:hAnsi="Times New Roman" w:eastAsia="宋体" w:cs="Times New Roman"/>
          <w:color w:val="auto"/>
          <w:highlight w:val="none"/>
        </w:rPr>
        <w:t>，其原有土地功能将会发生改变；</w:t>
      </w:r>
      <w:r>
        <w:rPr>
          <w:rFonts w:hint="default" w:ascii="Times New Roman" w:hAnsi="Times New Roman" w:eastAsia="宋体" w:cs="Times New Roman"/>
          <w:color w:val="auto"/>
          <w:highlight w:val="none"/>
          <w:lang w:val="en-US" w:eastAsia="zh-CN"/>
        </w:rPr>
        <w:t>闭矿后</w:t>
      </w:r>
      <w:r>
        <w:rPr>
          <w:rFonts w:hint="default" w:ascii="Times New Roman" w:hAnsi="Times New Roman" w:eastAsia="宋体" w:cs="Times New Roman"/>
          <w:color w:val="auto"/>
          <w:highlight w:val="none"/>
        </w:rPr>
        <w:t>进行土地复垦，恢复原使用功能。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土地利用格局影响分析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工程占地将使评价区内部分非</w:t>
      </w:r>
      <w:r>
        <w:rPr>
          <w:rFonts w:hint="default" w:ascii="Times New Roman" w:hAnsi="Times New Roman" w:eastAsia="宋体" w:cs="Times New Roman"/>
          <w:color w:val="auto"/>
          <w:highlight w:val="none"/>
          <w:lang w:val="en-US" w:eastAsia="zh-CN"/>
        </w:rPr>
        <w:t>采矿</w:t>
      </w:r>
      <w:r>
        <w:rPr>
          <w:rFonts w:hint="default" w:ascii="Times New Roman" w:hAnsi="Times New Roman" w:eastAsia="宋体" w:cs="Times New Roman"/>
          <w:color w:val="auto"/>
          <w:highlight w:val="none"/>
        </w:rPr>
        <w:t>用地转变为</w:t>
      </w:r>
      <w:r>
        <w:rPr>
          <w:rFonts w:hint="default" w:ascii="Times New Roman" w:hAnsi="Times New Roman" w:eastAsia="宋体" w:cs="Times New Roman"/>
          <w:color w:val="auto"/>
          <w:highlight w:val="none"/>
          <w:lang w:val="en-US" w:eastAsia="zh-CN"/>
        </w:rPr>
        <w:t>采矿</w:t>
      </w:r>
      <w:r>
        <w:rPr>
          <w:rFonts w:hint="default" w:ascii="Times New Roman" w:hAnsi="Times New Roman" w:eastAsia="宋体" w:cs="Times New Roman"/>
          <w:color w:val="auto"/>
          <w:highlight w:val="none"/>
        </w:rPr>
        <w:t>用地，占地区域原有以林地为主的自然、半自然土地利用形式将转变为以</w:t>
      </w:r>
      <w:r>
        <w:rPr>
          <w:rFonts w:hint="default" w:ascii="Times New Roman" w:hAnsi="Times New Roman" w:eastAsia="宋体" w:cs="Times New Roman"/>
          <w:color w:val="auto"/>
          <w:highlight w:val="none"/>
          <w:lang w:val="en-US" w:eastAsia="zh-CN"/>
        </w:rPr>
        <w:t>采矿用地</w:t>
      </w:r>
      <w:r>
        <w:rPr>
          <w:rFonts w:hint="default" w:ascii="Times New Roman" w:hAnsi="Times New Roman" w:eastAsia="宋体" w:cs="Times New Roman"/>
          <w:color w:val="auto"/>
          <w:highlight w:val="none"/>
        </w:rPr>
        <w:t>为主体的城镇建设用地，评价范围内土地利用格局将会发生一定程度的变化。</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本工程虽占用</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资源，但工程</w:t>
      </w:r>
      <w:r>
        <w:rPr>
          <w:rFonts w:hint="default" w:ascii="Times New Roman" w:hAnsi="Times New Roman" w:eastAsia="宋体" w:cs="Times New Roman"/>
          <w:color w:val="auto"/>
          <w:highlight w:val="none"/>
          <w:lang w:val="en-US" w:eastAsia="zh-CN"/>
        </w:rPr>
        <w:t>占地</w:t>
      </w:r>
      <w:r>
        <w:rPr>
          <w:rFonts w:hint="default" w:ascii="Times New Roman" w:hAnsi="Times New Roman" w:eastAsia="宋体" w:cs="Times New Roman"/>
          <w:color w:val="auto"/>
          <w:highlight w:val="none"/>
        </w:rPr>
        <w:t>较为分散</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整体横向影响范围</w:t>
      </w:r>
      <w:r>
        <w:rPr>
          <w:rFonts w:hint="default" w:ascii="Times New Roman" w:hAnsi="Times New Roman" w:eastAsia="宋体" w:cs="Times New Roman"/>
          <w:color w:val="auto"/>
          <w:highlight w:val="none"/>
          <w:lang w:val="en-US" w:eastAsia="zh-CN"/>
        </w:rPr>
        <w:t>最大约360m</w:t>
      </w:r>
      <w:r>
        <w:rPr>
          <w:rFonts w:hint="default" w:ascii="Times New Roman" w:hAnsi="Times New Roman" w:eastAsia="宋体" w:cs="Times New Roman"/>
          <w:color w:val="auto"/>
          <w:highlight w:val="none"/>
        </w:rPr>
        <w:t>，因此对整个评价范围而言，这种变化影响较小，不会导致沿线土地利用格局发生明显变化。工程</w:t>
      </w:r>
      <w:r>
        <w:rPr>
          <w:rFonts w:hint="default" w:ascii="Times New Roman" w:hAnsi="Times New Roman" w:eastAsia="宋体" w:cs="Times New Roman"/>
          <w:color w:val="auto"/>
          <w:highlight w:val="none"/>
          <w:lang w:val="en-US" w:eastAsia="zh-CN"/>
        </w:rPr>
        <w:t>闭矿后严格按</w:t>
      </w:r>
      <w:r>
        <w:rPr>
          <w:rFonts w:hint="default" w:ascii="Times New Roman" w:hAnsi="Times New Roman" w:eastAsia="宋体" w:cs="Times New Roman"/>
          <w:color w:val="auto"/>
          <w:sz w:val="24"/>
          <w:highlight w:val="none"/>
        </w:rPr>
        <w:t>《土地复垦技术标准》进行土地复垦和植被重建工作。</w:t>
      </w:r>
      <w:r>
        <w:rPr>
          <w:rFonts w:hint="default" w:ascii="Times New Roman" w:hAnsi="Times New Roman" w:eastAsia="宋体" w:cs="Times New Roman"/>
          <w:color w:val="auto"/>
          <w:highlight w:val="none"/>
        </w:rPr>
        <w:t>预计</w:t>
      </w:r>
      <w:r>
        <w:rPr>
          <w:rFonts w:hint="default" w:ascii="Times New Roman" w:hAnsi="Times New Roman" w:eastAsia="宋体" w:cs="Times New Roman"/>
          <w:color w:val="auto"/>
          <w:highlight w:val="none"/>
          <w:lang w:val="en-US" w:eastAsia="zh-CN"/>
        </w:rPr>
        <w:t>闭矿</w:t>
      </w:r>
      <w:r>
        <w:rPr>
          <w:rFonts w:hint="default" w:ascii="Times New Roman" w:hAnsi="Times New Roman" w:eastAsia="宋体" w:cs="Times New Roman"/>
          <w:color w:val="auto"/>
          <w:highlight w:val="none"/>
        </w:rPr>
        <w:t>结束后5年左右，可基本恢复土地的原有使用功能。综上所述，工程建设对评价区域土地利用格局影响轻微。</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5.4.1.3</w:t>
      </w:r>
      <w:r>
        <w:rPr>
          <w:rFonts w:hint="default" w:ascii="Times New Roman" w:hAnsi="Times New Roman" w:eastAsia="宋体" w:cs="Times New Roman"/>
          <w:color w:val="auto"/>
          <w:sz w:val="24"/>
          <w:highlight w:val="none"/>
          <w:lang w:val="en-US" w:eastAsia="zh-CN"/>
        </w:rPr>
        <w:t>对农业生产的影响分析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本采矿范围及塌陷影响范围内无农田，工程建设对</w:t>
      </w:r>
      <w:r>
        <w:rPr>
          <w:rFonts w:hint="default" w:ascii="Times New Roman" w:hAnsi="Times New Roman" w:eastAsia="宋体" w:cs="Times New Roman"/>
          <w:color w:val="auto"/>
          <w:sz w:val="24"/>
          <w:szCs w:val="24"/>
          <w:highlight w:val="none"/>
        </w:rPr>
        <w:t>原有农</w:t>
      </w:r>
      <w:r>
        <w:rPr>
          <w:rFonts w:hint="default" w:ascii="Times New Roman" w:hAnsi="Times New Roman" w:eastAsia="宋体" w:cs="Times New Roman"/>
          <w:color w:val="auto"/>
          <w:sz w:val="24"/>
          <w:szCs w:val="24"/>
          <w:highlight w:val="none"/>
          <w:lang w:val="en-US" w:eastAsia="zh-CN"/>
        </w:rPr>
        <w:t>业生产</w:t>
      </w:r>
      <w:r>
        <w:rPr>
          <w:rFonts w:hint="default" w:ascii="Times New Roman" w:hAnsi="Times New Roman" w:eastAsia="宋体" w:cs="Times New Roman"/>
          <w:color w:val="auto"/>
          <w:sz w:val="24"/>
          <w:szCs w:val="24"/>
          <w:highlight w:val="none"/>
        </w:rPr>
        <w:t>的</w:t>
      </w:r>
      <w:r>
        <w:rPr>
          <w:rFonts w:hint="default" w:ascii="Times New Roman" w:hAnsi="Times New Roman" w:eastAsia="宋体" w:cs="Times New Roman"/>
          <w:color w:val="auto"/>
          <w:sz w:val="24"/>
          <w:szCs w:val="24"/>
          <w:highlight w:val="none"/>
          <w:lang w:val="en-US" w:eastAsia="zh-CN"/>
        </w:rPr>
        <w:t>不产生影响。</w:t>
      </w:r>
    </w:p>
    <w:p>
      <w:pPr>
        <w:pStyle w:val="5"/>
        <w:bidi w:val="0"/>
        <w:rPr>
          <w:rFonts w:hint="default"/>
          <w:color w:val="auto"/>
          <w:highlight w:val="none"/>
          <w:lang w:val="en-US" w:eastAsia="zh-CN"/>
        </w:rPr>
      </w:pPr>
      <w:r>
        <w:rPr>
          <w:rFonts w:hint="default"/>
          <w:color w:val="auto"/>
          <w:highlight w:val="none"/>
          <w:lang w:val="en-US" w:eastAsia="zh-CN"/>
        </w:rPr>
        <w:t>对植物的影响分析</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5.4.2.1</w:t>
      </w:r>
      <w:r>
        <w:rPr>
          <w:rFonts w:hint="default" w:ascii="Times New Roman" w:hAnsi="Times New Roman" w:eastAsia="宋体" w:cs="Times New Roman"/>
          <w:color w:val="auto"/>
          <w:sz w:val="24"/>
          <w:highlight w:val="none"/>
          <w:lang w:val="en-US" w:eastAsia="zh-CN"/>
        </w:rPr>
        <w:t>对植被生物量的影响分析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根据工程评价范围内土地利用情况，统计各植被类型的面积，估算出评价范围内的生物量总量。</w:t>
      </w:r>
    </w:p>
    <w:p>
      <w:pPr>
        <w:keepNext w:val="0"/>
        <w:keepLines w:val="0"/>
        <w:pageBreakBefore w:val="0"/>
        <w:widowControl w:val="0"/>
        <w:kinsoku/>
        <w:wordWrap/>
        <w:overflowPunct/>
        <w:topLinePunct w:val="0"/>
        <w:autoSpaceDE/>
        <w:autoSpaceDN/>
        <w:bidi w:val="0"/>
        <w:adjustRightInd w:val="0"/>
        <w:snapToGrid w:val="0"/>
        <w:spacing w:before="253" w:beforeLines="50" w:line="240" w:lineRule="atLeast"/>
        <w:ind w:firstLine="0" w:firstLineChars="0"/>
        <w:jc w:val="center"/>
        <w:textAlignment w:val="auto"/>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表5.</w:t>
      </w:r>
      <w:r>
        <w:rPr>
          <w:rFonts w:hint="eastAsia"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lang w:val="en-US" w:eastAsia="zh-CN"/>
        </w:rPr>
        <w:t>-</w:t>
      </w:r>
      <w:r>
        <w:rPr>
          <w:rFonts w:hint="eastAsia" w:ascii="Times New Roman" w:hAnsi="Times New Roman" w:eastAsia="宋体" w:cs="Times New Roman"/>
          <w:b/>
          <w:color w:val="auto"/>
          <w:sz w:val="24"/>
          <w:highlight w:val="none"/>
          <w:lang w:val="en-US" w:eastAsia="zh-CN"/>
        </w:rPr>
        <w:t>2</w:t>
      </w:r>
      <w:r>
        <w:rPr>
          <w:rFonts w:hint="default" w:ascii="Times New Roman" w:hAnsi="Times New Roman" w:eastAsia="宋体" w:cs="Times New Roman"/>
          <w:b/>
          <w:color w:val="auto"/>
          <w:sz w:val="24"/>
          <w:highlight w:val="none"/>
          <w:lang w:val="en-US" w:eastAsia="zh-CN"/>
        </w:rPr>
        <w:t>评价范围内植被生物量统计</w:t>
      </w:r>
    </w:p>
    <w:tbl>
      <w:tblPr>
        <w:tblStyle w:val="45"/>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618"/>
        <w:gridCol w:w="1603"/>
        <w:gridCol w:w="1603"/>
        <w:gridCol w:w="1650"/>
        <w:gridCol w:w="1603"/>
        <w:gridCol w:w="120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871" w:type="pct"/>
            <w:vMerge w:val="restar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用地类型</w:t>
            </w:r>
          </w:p>
        </w:tc>
        <w:tc>
          <w:tcPr>
            <w:tcW w:w="1726"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面积hm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p>
        </w:tc>
        <w:tc>
          <w:tcPr>
            <w:tcW w:w="888"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平均生物量t/hm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2</w:t>
            </w:r>
          </w:p>
        </w:tc>
        <w:tc>
          <w:tcPr>
            <w:tcW w:w="1512"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生物量t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871" w:type="pct"/>
            <w:vMerge w:val="continue"/>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数量</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比例（%）</w:t>
            </w:r>
          </w:p>
        </w:tc>
        <w:tc>
          <w:tcPr>
            <w:tcW w:w="888"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数量</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比例（%）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耕地</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86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2.51</w:t>
            </w:r>
          </w:p>
        </w:tc>
        <w:tc>
          <w:tcPr>
            <w:tcW w:w="88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189</w:t>
            </w:r>
          </w:p>
        </w:tc>
        <w:tc>
          <w:tcPr>
            <w:tcW w:w="64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林地</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254.1</w:t>
            </w:r>
          </w:p>
        </w:tc>
        <w:tc>
          <w:tcPr>
            <w:tcW w:w="86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91.21</w:t>
            </w:r>
          </w:p>
        </w:tc>
        <w:tc>
          <w:tcPr>
            <w:tcW w:w="88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37.5</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9528.75</w:t>
            </w:r>
          </w:p>
        </w:tc>
        <w:tc>
          <w:tcPr>
            <w:tcW w:w="64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97.16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草地</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8.2</w:t>
            </w:r>
          </w:p>
        </w:tc>
        <w:tc>
          <w:tcPr>
            <w:tcW w:w="86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2.94</w:t>
            </w:r>
          </w:p>
        </w:tc>
        <w:tc>
          <w:tcPr>
            <w:tcW w:w="88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61.5</w:t>
            </w:r>
          </w:p>
        </w:tc>
        <w:tc>
          <w:tcPr>
            <w:tcW w:w="64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建设用地</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9.3</w:t>
            </w:r>
          </w:p>
        </w:tc>
        <w:tc>
          <w:tcPr>
            <w:tcW w:w="86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3.34</w:t>
            </w:r>
          </w:p>
        </w:tc>
        <w:tc>
          <w:tcPr>
            <w:tcW w:w="88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27.9</w:t>
            </w:r>
          </w:p>
        </w:tc>
        <w:tc>
          <w:tcPr>
            <w:tcW w:w="64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8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278.6</w:t>
            </w:r>
          </w:p>
        </w:tc>
        <w:tc>
          <w:tcPr>
            <w:tcW w:w="863"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c>
          <w:tcPr>
            <w:tcW w:w="888"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63"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9807.15</w:t>
            </w:r>
          </w:p>
        </w:tc>
        <w:tc>
          <w:tcPr>
            <w:tcW w:w="64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100</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由上表可知，工程评价范围内</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面积比例较大，达</w:t>
      </w:r>
      <w:r>
        <w:rPr>
          <w:rFonts w:hint="default" w:ascii="Times New Roman" w:hAnsi="Times New Roman" w:eastAsia="宋体" w:cs="Times New Roman"/>
          <w:color w:val="auto"/>
          <w:highlight w:val="none"/>
          <w:lang w:val="en-US" w:eastAsia="zh-CN"/>
        </w:rPr>
        <w:t>254.1</w:t>
      </w:r>
      <w:r>
        <w:rPr>
          <w:rFonts w:hint="default" w:ascii="Times New Roman" w:hAnsi="Times New Roman" w:eastAsia="宋体" w:cs="Times New Roman"/>
          <w:color w:val="auto"/>
          <w:highlight w:val="none"/>
        </w:rPr>
        <w:t>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，占总面积的</w:t>
      </w:r>
      <w:r>
        <w:rPr>
          <w:rFonts w:hint="default" w:ascii="Times New Roman" w:hAnsi="Times New Roman" w:eastAsia="宋体" w:cs="Times New Roman"/>
          <w:color w:val="auto"/>
          <w:highlight w:val="none"/>
          <w:lang w:val="en-US" w:eastAsia="zh-CN"/>
        </w:rPr>
        <w:t>91.21</w:t>
      </w:r>
      <w:r>
        <w:rPr>
          <w:rFonts w:hint="default" w:ascii="Times New Roman" w:hAnsi="Times New Roman" w:eastAsia="宋体" w:cs="Times New Roman"/>
          <w:color w:val="auto"/>
          <w:highlight w:val="none"/>
        </w:rPr>
        <w:t>%，远高于其它用地类型，其生物量所占比重（</w:t>
      </w:r>
      <w:r>
        <w:rPr>
          <w:rFonts w:hint="default" w:ascii="Times New Roman" w:hAnsi="Times New Roman" w:eastAsia="宋体" w:cs="Times New Roman"/>
          <w:color w:val="auto"/>
          <w:highlight w:val="none"/>
          <w:lang w:val="en-US" w:eastAsia="zh-CN"/>
        </w:rPr>
        <w:t>97.16</w:t>
      </w:r>
      <w:r>
        <w:rPr>
          <w:rFonts w:hint="default" w:ascii="Times New Roman" w:hAnsi="Times New Roman" w:eastAsia="宋体" w:cs="Times New Roman"/>
          <w:color w:val="auto"/>
          <w:highlight w:val="none"/>
        </w:rPr>
        <w:t>%）明显高于其它植被类型，在评价范围内占绝对控制地位，由此可见，评价区植被生物量取决</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的数量及分布情况。</w:t>
      </w:r>
    </w:p>
    <w:p>
      <w:pPr>
        <w:bidi w:val="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lang w:val="en-US" w:eastAsia="zh-CN"/>
        </w:rPr>
        <w:t>根据《岫岩满族自治县苏子沟镇大何家堡村钾长石矿矿山地质环境保护与土地复垦方案》，</w:t>
      </w:r>
      <w:r>
        <w:rPr>
          <w:rFonts w:hint="default" w:ascii="Times New Roman" w:hAnsi="Times New Roman" w:eastAsia="宋体" w:cs="Times New Roman"/>
          <w:color w:val="auto"/>
          <w:sz w:val="24"/>
          <w:highlight w:val="none"/>
        </w:rPr>
        <w:t>岫岩满族自治县苏子沟镇大何家堡子村钾长石矿复垦区范围为17.4392hm²，其中已损坏面积3.8101hm²，拟损毁面积13.6291hm²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包括拟</w:t>
      </w:r>
      <w:r>
        <w:rPr>
          <w:rFonts w:hint="default" w:ascii="Times New Roman" w:hAnsi="Times New Roman" w:eastAsia="宋体" w:cs="Times New Roman"/>
          <w:color w:val="auto"/>
          <w:highlight w:val="none"/>
        </w:rPr>
        <w:t>塌陷</w:t>
      </w:r>
      <w:r>
        <w:rPr>
          <w:rFonts w:hint="default" w:ascii="Times New Roman" w:hAnsi="Times New Roman" w:eastAsia="宋体" w:cs="Times New Roman"/>
          <w:color w:val="auto"/>
          <w:highlight w:val="none"/>
          <w:lang w:val="en-US" w:eastAsia="zh-CN"/>
        </w:rPr>
        <w:t>区</w:t>
      </w:r>
      <w:r>
        <w:rPr>
          <w:rFonts w:hint="default" w:ascii="Times New Roman" w:hAnsi="Times New Roman" w:eastAsia="宋体" w:cs="Times New Roman"/>
          <w:color w:val="auto"/>
          <w:highlight w:val="none"/>
        </w:rPr>
        <w:t>5.5915hm²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拟损失生物量为469.5t</w:t>
      </w:r>
      <w:r>
        <w:rPr>
          <w:rFonts w:hint="default" w:ascii="Times New Roman" w:hAnsi="Times New Roman" w:eastAsia="宋体" w:cs="Times New Roman"/>
          <w:color w:val="auto"/>
          <w:sz w:val="24"/>
          <w:highlight w:val="none"/>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highlight w:val="none"/>
        </w:rPr>
        <w:t>根据岫岩满族自治县自然资源局提供的‘</w:t>
      </w:r>
      <w:r>
        <w:rPr>
          <w:rFonts w:hint="default" w:ascii="Times New Roman" w:hAnsi="Times New Roman" w:eastAsia="宋体" w:cs="Times New Roman"/>
          <w:bCs/>
          <w:color w:val="auto"/>
          <w:sz w:val="24"/>
          <w:highlight w:val="none"/>
        </w:rPr>
        <w:t>K51-G-086054、K51-G-086055</w:t>
      </w:r>
      <w:r>
        <w:rPr>
          <w:rFonts w:hint="default" w:ascii="Times New Roman" w:hAnsi="Times New Roman" w:eastAsia="宋体" w:cs="Times New Roman"/>
          <w:color w:val="auto"/>
          <w:sz w:val="24"/>
          <w:highlight w:val="none"/>
        </w:rPr>
        <w:t>’土地利用现状分幅图，确认复垦区占用裸地面积0.0435hm²，有林地面积14.9506hm²</w:t>
      </w:r>
      <w:r>
        <w:rPr>
          <w:rFonts w:hint="default" w:ascii="Times New Roman" w:hAnsi="Times New Roman" w:eastAsia="宋体" w:cs="Times New Roman"/>
          <w:color w:val="auto"/>
          <w:kern w:val="0"/>
          <w:sz w:val="24"/>
          <w:highlight w:val="none"/>
        </w:rPr>
        <w:t>，</w:t>
      </w:r>
      <w:r>
        <w:rPr>
          <w:rFonts w:hint="default" w:ascii="Times New Roman" w:hAnsi="Times New Roman" w:eastAsia="宋体" w:cs="Times New Roman"/>
          <w:color w:val="auto"/>
          <w:sz w:val="24"/>
          <w:highlight w:val="none"/>
        </w:rPr>
        <w:t>采矿用地2.3677hm²</w:t>
      </w:r>
      <w:r>
        <w:rPr>
          <w:rFonts w:hint="default" w:ascii="Times New Roman" w:hAnsi="Times New Roman" w:eastAsia="宋体" w:cs="Times New Roman"/>
          <w:color w:val="auto"/>
          <w:kern w:val="0"/>
          <w:sz w:val="24"/>
          <w:highlight w:val="none"/>
        </w:rPr>
        <w:t>，其他草地0.0774</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highlight w:val="none"/>
        </w:rPr>
        <w:t>因预测地面塌陷存在不确定性，暂不计入复垦责任范围面积，所以</w:t>
      </w:r>
      <w:r>
        <w:rPr>
          <w:rFonts w:hint="default" w:ascii="Times New Roman" w:hAnsi="Times New Roman" w:eastAsia="宋体" w:cs="Times New Roman"/>
          <w:color w:val="auto"/>
          <w:highlight w:val="none"/>
          <w:lang w:val="en-US" w:eastAsia="zh-CN"/>
        </w:rPr>
        <w:t>土地复垦</w:t>
      </w:r>
      <w:r>
        <w:rPr>
          <w:rFonts w:hint="default" w:ascii="Times New Roman" w:hAnsi="Times New Roman" w:eastAsia="宋体" w:cs="Times New Roman"/>
          <w:color w:val="auto"/>
          <w:highlight w:val="none"/>
        </w:rPr>
        <w:t>方案的评价范围为复垦责任范围，面积为11.9492hm²。</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各损毁区主要破坏了有林地和采矿用地，为斑状、条带状割裂损毁，且地表物质组成多为废石、基岩，通过极限条件法进行土地复垦适宜性评价，各单元适宜性评价结果显示，虽存在多种适宜性，但是考虑到实际、周边地类，使同地类集中、规模化，耕地、园地占补平衡等客观要求，本着宜农则农、宜林则林的原则，各评价单元最终复垦方向及面积见表</w:t>
      </w:r>
      <w:r>
        <w:rPr>
          <w:rFonts w:hint="default"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before="253" w:beforeLines="50" w:line="240" w:lineRule="atLeast"/>
        <w:ind w:firstLine="0" w:firstLineChars="0"/>
        <w:jc w:val="center"/>
        <w:textAlignment w:val="auto"/>
        <w:rPr>
          <w:rFonts w:hint="default" w:ascii="Times New Roman" w:hAnsi="Times New Roman" w:eastAsia="宋体" w:cs="Times New Roman"/>
          <w:b/>
          <w:color w:val="auto"/>
          <w:sz w:val="24"/>
          <w:highlight w:val="none"/>
          <w:lang w:val="en-US" w:eastAsia="zh-CN"/>
        </w:rPr>
      </w:pPr>
      <w:r>
        <w:rPr>
          <w:rFonts w:hint="default" w:ascii="Times New Roman" w:hAnsi="Times New Roman" w:eastAsia="宋体" w:cs="Times New Roman"/>
          <w:b/>
          <w:color w:val="auto"/>
          <w:sz w:val="24"/>
          <w:highlight w:val="none"/>
          <w:lang w:val="en-US" w:eastAsia="zh-CN"/>
        </w:rPr>
        <w:t>表5.</w:t>
      </w:r>
      <w:r>
        <w:rPr>
          <w:rFonts w:hint="eastAsia" w:ascii="Times New Roman" w:hAnsi="Times New Roman" w:eastAsia="宋体" w:cs="Times New Roman"/>
          <w:b/>
          <w:color w:val="auto"/>
          <w:sz w:val="24"/>
          <w:highlight w:val="none"/>
          <w:lang w:val="en-US" w:eastAsia="zh-CN"/>
        </w:rPr>
        <w:t>4</w:t>
      </w:r>
      <w:r>
        <w:rPr>
          <w:rFonts w:hint="default" w:ascii="Times New Roman" w:hAnsi="Times New Roman" w:eastAsia="宋体" w:cs="Times New Roman"/>
          <w:b/>
          <w:color w:val="auto"/>
          <w:sz w:val="24"/>
          <w:highlight w:val="none"/>
          <w:lang w:val="en-US" w:eastAsia="zh-CN"/>
        </w:rPr>
        <w:t>-</w:t>
      </w:r>
      <w:r>
        <w:rPr>
          <w:rFonts w:hint="eastAsia" w:ascii="Times New Roman" w:hAnsi="Times New Roman" w:eastAsia="宋体" w:cs="Times New Roman"/>
          <w:b/>
          <w:color w:val="auto"/>
          <w:sz w:val="24"/>
          <w:highlight w:val="none"/>
          <w:lang w:val="en-US" w:eastAsia="zh-CN"/>
        </w:rPr>
        <w:t>3</w:t>
      </w:r>
      <w:r>
        <w:rPr>
          <w:rFonts w:hint="default" w:ascii="Times New Roman" w:hAnsi="Times New Roman" w:eastAsia="宋体" w:cs="Times New Roman"/>
          <w:b/>
          <w:color w:val="auto"/>
          <w:sz w:val="24"/>
          <w:highlight w:val="none"/>
          <w:lang w:val="en-US" w:eastAsia="zh-CN"/>
        </w:rPr>
        <w:t>土地复垦适宜性评价结果表</w:t>
      </w:r>
    </w:p>
    <w:tbl>
      <w:tblPr>
        <w:tblStyle w:val="45"/>
        <w:tblW w:w="90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3"/>
        <w:gridCol w:w="1462"/>
        <w:gridCol w:w="1756"/>
        <w:gridCol w:w="1325"/>
        <w:gridCol w:w="22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复垦单元</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损毁前地类</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损毁面积（hm²）</w:t>
            </w:r>
          </w:p>
        </w:tc>
        <w:tc>
          <w:tcPr>
            <w:tcW w:w="13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复垦方向</w:t>
            </w:r>
          </w:p>
        </w:tc>
        <w:tc>
          <w:tcPr>
            <w:tcW w:w="22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复垦面积（hm²）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井口区</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0.1029</w:t>
            </w:r>
          </w:p>
        </w:tc>
        <w:tc>
          <w:tcPr>
            <w:tcW w:w="13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22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0.1029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露天采坑区平台</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4.8659</w:t>
            </w:r>
          </w:p>
        </w:tc>
        <w:tc>
          <w:tcPr>
            <w:tcW w:w="132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2298"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5.8589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0.9930</w:t>
            </w:r>
          </w:p>
        </w:tc>
        <w:tc>
          <w:tcPr>
            <w:tcW w:w="132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2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露天采坑区边坡</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2.1698</w:t>
            </w:r>
          </w:p>
        </w:tc>
        <w:tc>
          <w:tcPr>
            <w:tcW w:w="132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无</w:t>
            </w:r>
          </w:p>
        </w:tc>
        <w:tc>
          <w:tcPr>
            <w:tcW w:w="2298"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0.8739</w:t>
            </w:r>
          </w:p>
        </w:tc>
        <w:tc>
          <w:tcPr>
            <w:tcW w:w="132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2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排岩场区平台</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0.3060</w:t>
            </w:r>
          </w:p>
        </w:tc>
        <w:tc>
          <w:tcPr>
            <w:tcW w:w="132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2298"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216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0.1260</w:t>
            </w:r>
          </w:p>
        </w:tc>
        <w:tc>
          <w:tcPr>
            <w:tcW w:w="132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2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排岩场区边坡</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0.3469</w:t>
            </w:r>
          </w:p>
        </w:tc>
        <w:tc>
          <w:tcPr>
            <w:tcW w:w="132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灌木林地</w:t>
            </w:r>
          </w:p>
        </w:tc>
        <w:tc>
          <w:tcPr>
            <w:tcW w:w="2298"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0.4411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0.0942</w:t>
            </w:r>
          </w:p>
        </w:tc>
        <w:tc>
          <w:tcPr>
            <w:tcW w:w="132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2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运输道路区</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1.8361</w:t>
            </w:r>
          </w:p>
        </w:tc>
        <w:tc>
          <w:tcPr>
            <w:tcW w:w="132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2298"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2.0043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采矿用地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0.0473</w:t>
            </w:r>
          </w:p>
        </w:tc>
        <w:tc>
          <w:tcPr>
            <w:tcW w:w="132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2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裸地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0.0435</w:t>
            </w:r>
          </w:p>
        </w:tc>
        <w:tc>
          <w:tcPr>
            <w:tcW w:w="132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2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其他草地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0.0774</w:t>
            </w:r>
          </w:p>
        </w:tc>
        <w:tc>
          <w:tcPr>
            <w:tcW w:w="132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298"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地表建筑设施区</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0.0663</w:t>
            </w:r>
          </w:p>
        </w:tc>
        <w:tc>
          <w:tcPr>
            <w:tcW w:w="13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22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0.0663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预测地面塌陷区</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5.4900</w:t>
            </w:r>
          </w:p>
        </w:tc>
        <w:tc>
          <w:tcPr>
            <w:tcW w:w="13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有林地</w:t>
            </w:r>
          </w:p>
        </w:tc>
        <w:tc>
          <w:tcPr>
            <w:tcW w:w="22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5.4900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1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合计</w:t>
            </w:r>
          </w:p>
        </w:tc>
        <w:tc>
          <w:tcPr>
            <w:tcW w:w="1462"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175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17.4392</w:t>
            </w:r>
          </w:p>
        </w:tc>
        <w:tc>
          <w:tcPr>
            <w:tcW w:w="132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229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14.3955</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对复垦单元的适应性分析可以确定，岫岩满族自治县苏子沟镇大何家堡村钾长石矿复垦责任范围面积为17.4392hm²，因露天采坑边坡3.0437hm²为坡度较大，无法满足植物生长的立地条件，仅靠平台种植乔木、对边坡进行遮挡式绿化，实际复垦面积为14.3955hm²，复垦方向为有林地和灌木林地</w:t>
      </w:r>
      <w:r>
        <w:rPr>
          <w:rFonts w:hint="default" w:ascii="Times New Roman" w:hAnsi="Times New Roman" w:eastAsia="宋体" w:cs="Times New Roman"/>
          <w:color w:val="auto"/>
          <w:highlight w:val="none"/>
          <w:lang w:val="en-US" w:eastAsia="zh-CN"/>
        </w:rPr>
        <w:t>，新增生物量539.8t</w:t>
      </w:r>
      <w:r>
        <w:rPr>
          <w:rFonts w:hint="default" w:ascii="Times New Roman" w:hAnsi="Times New Roman" w:eastAsia="宋体" w:cs="Times New Roman"/>
          <w:color w:val="auto"/>
          <w:highlight w:val="none"/>
        </w:rPr>
        <w:t>，复垦后植被生物量</w:t>
      </w:r>
      <w:r>
        <w:rPr>
          <w:rFonts w:hint="default" w:ascii="Times New Roman" w:hAnsi="Times New Roman" w:eastAsia="宋体" w:cs="Times New Roman"/>
          <w:color w:val="auto"/>
          <w:highlight w:val="none"/>
          <w:lang w:val="en-US" w:eastAsia="zh-CN"/>
        </w:rPr>
        <w:t>对比现状将有所增加，</w:t>
      </w:r>
      <w:r>
        <w:rPr>
          <w:rFonts w:hint="default" w:ascii="Times New Roman" w:hAnsi="Times New Roman" w:eastAsia="宋体" w:cs="Times New Roman"/>
          <w:color w:val="auto"/>
          <w:highlight w:val="none"/>
        </w:rPr>
        <w:t>损失的生物量会得到补偿</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同时提高了区域的植被覆盖度。</w:t>
      </w:r>
    </w:p>
    <w:p>
      <w:pPr>
        <w:spacing w:beforeLines="0" w:afterLines="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植被恢复原则</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对于永久及临时占用林地的补偿原则均按照就近就地恢复原则，以达到尽量修复沿线区域受损的森林生态系统功能的目的。恢复地点充分利用林中空地、现有的宜林地和荒山荒坡，就近恢复，恢复林木数量不低于项目征占用林地的面积，保证森林面积占补平衡，保证森林生态功能不降低，植被恢复应在当地林业部门的指导下进行。</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在需要砍伐的树木中，优先考虑对保护树种的移栽，其次为幼龄林木的移栽，尽量将工程砍伐的林木数量及生态影响降至最低。首先考虑森林结构的更加合理，采用乔、灌、草相结合的方式，避免树种单一、林种单一、林层单一的问题，形成结构合理、功能全面的森林结构；恢复混交林，增强生态功能。</w:t>
      </w:r>
    </w:p>
    <w:p>
      <w:pPr>
        <w:spacing w:beforeLines="0" w:afterLines="0"/>
        <w:jc w:val="left"/>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eastAsia="zh-CN"/>
        </w:rPr>
        <w:t>）</w:t>
      </w:r>
      <w:r>
        <w:rPr>
          <w:rFonts w:hint="default" w:ascii="Times New Roman" w:hAnsi="Times New Roman" w:eastAsia="宋体" w:cs="Times New Roman"/>
          <w:b/>
          <w:bCs/>
          <w:color w:val="auto"/>
          <w:sz w:val="24"/>
          <w:szCs w:val="24"/>
          <w:highlight w:val="none"/>
        </w:rPr>
        <w:t>补偿措施</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1）林地补偿</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依据《中华人民共和国森林法》、《森林法实施条例》、《</w:t>
      </w:r>
      <w:r>
        <w:rPr>
          <w:rFonts w:hint="default" w:ascii="Times New Roman" w:hAnsi="Times New Roman" w:eastAsia="宋体" w:cs="Times New Roman"/>
          <w:color w:val="auto"/>
          <w:sz w:val="24"/>
          <w:szCs w:val="24"/>
          <w:highlight w:val="none"/>
          <w:lang w:val="en-US" w:eastAsia="zh-CN"/>
        </w:rPr>
        <w:t>辽宁省</w:t>
      </w:r>
      <w:r>
        <w:rPr>
          <w:rFonts w:hint="default" w:ascii="Times New Roman" w:hAnsi="Times New Roman" w:eastAsia="宋体" w:cs="Times New Roman"/>
          <w:color w:val="auto"/>
          <w:sz w:val="24"/>
          <w:szCs w:val="24"/>
          <w:highlight w:val="none"/>
        </w:rPr>
        <w:t>公益林管理办法》等法律法规，建设单位需办理林地审批手续，对占用的林地在林业部门指导下按照国家及地方补偿标准进行补偿。</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）表土剥离</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保存永久占地和临时占地的耕作土或表土，为植被恢复提供良好的土壤。</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对工程建设中永久占用或临时占用的耕地和林地等的表层土予以收集保存，作为后期复耕和恢复植被用。</w:t>
      </w:r>
    </w:p>
    <w:p>
      <w:pPr>
        <w:numPr>
          <w:ilvl w:val="0"/>
          <w:numId w:val="0"/>
        </w:numPr>
        <w:spacing w:beforeLines="0" w:afterLines="0"/>
        <w:ind w:left="480" w:left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）树种配置</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在树种配置上本着</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异地异树</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景观相容</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的原则；适地适树，树种选择要尽量考虑适合本区气候特点的乡土树种，与周围树种组成尽量一致，慎重对待外来植物种的引进，保证生物安全。</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）根据工程扰动地表面积和可绿化区域，设计恢复绿化面积</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根据工程扰动地表面积和可绿化区域的分布采取适宜的绿化措施，以恢复植被，减轻工程建设对项目区生态系统稳定性的影响，主要针对</w:t>
      </w:r>
      <w:r>
        <w:rPr>
          <w:rFonts w:hint="default" w:ascii="Times New Roman" w:hAnsi="Times New Roman" w:eastAsia="宋体" w:cs="Times New Roman"/>
          <w:color w:val="auto"/>
          <w:sz w:val="24"/>
          <w:szCs w:val="24"/>
          <w:highlight w:val="none"/>
          <w:lang w:val="en-US" w:eastAsia="zh-CN"/>
        </w:rPr>
        <w:t>露天采坑、平硐、工业场地</w:t>
      </w:r>
      <w:r>
        <w:rPr>
          <w:rFonts w:hint="default" w:ascii="Times New Roman" w:hAnsi="Times New Roman" w:eastAsia="宋体" w:cs="Times New Roman"/>
          <w:color w:val="auto"/>
          <w:sz w:val="24"/>
          <w:szCs w:val="24"/>
          <w:highlight w:val="none"/>
        </w:rPr>
        <w:t>及其他有关场地进行绿化。植物种类选择要求包括：适应环境，抗逆性强，可抵抗公害、病虫害，易养护；不得使用未经评估的外来物种；不产生环境污染，不应成为传播病虫害的中间媒介；选择易成活、生长快、萌根性强、茎矮叶茂、覆盖度大和根系发达的多年生木本植物或草本植物。</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5.4.2.2</w:t>
      </w:r>
      <w:r>
        <w:rPr>
          <w:rFonts w:hint="default" w:ascii="Times New Roman" w:hAnsi="Times New Roman" w:eastAsia="宋体" w:cs="Times New Roman"/>
          <w:color w:val="auto"/>
          <w:sz w:val="24"/>
          <w:highlight w:val="none"/>
          <w:lang w:val="en-US" w:eastAsia="zh-CN"/>
        </w:rPr>
        <w:t>对植物及其多样性的影响分析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工程对野生植物多样性影响主要是</w:t>
      </w:r>
      <w:r>
        <w:rPr>
          <w:rFonts w:hint="default" w:ascii="Times New Roman" w:hAnsi="Times New Roman" w:eastAsia="宋体" w:cs="Times New Roman"/>
          <w:color w:val="auto"/>
          <w:sz w:val="24"/>
          <w:szCs w:val="24"/>
          <w:highlight w:val="none"/>
          <w:lang w:val="en-US" w:eastAsia="zh-CN"/>
        </w:rPr>
        <w:t>露天开采、平硐及工业场地</w:t>
      </w:r>
      <w:r>
        <w:rPr>
          <w:rFonts w:hint="default" w:ascii="Times New Roman" w:hAnsi="Times New Roman" w:eastAsia="宋体" w:cs="Times New Roman"/>
          <w:color w:val="auto"/>
          <w:sz w:val="24"/>
          <w:szCs w:val="24"/>
          <w:highlight w:val="none"/>
        </w:rPr>
        <w:t>等</w:t>
      </w:r>
      <w:r>
        <w:rPr>
          <w:rFonts w:hint="default" w:ascii="Times New Roman" w:hAnsi="Times New Roman" w:eastAsia="宋体" w:cs="Times New Roman"/>
          <w:color w:val="auto"/>
          <w:sz w:val="24"/>
          <w:szCs w:val="24"/>
          <w:highlight w:val="none"/>
          <w:lang w:val="en-US" w:eastAsia="zh-CN"/>
        </w:rPr>
        <w:t>新增</w:t>
      </w:r>
      <w:r>
        <w:rPr>
          <w:rFonts w:hint="default" w:ascii="Times New Roman" w:hAnsi="Times New Roman" w:eastAsia="宋体" w:cs="Times New Roman"/>
          <w:color w:val="auto"/>
          <w:sz w:val="24"/>
          <w:szCs w:val="24"/>
          <w:highlight w:val="none"/>
        </w:rPr>
        <w:t>占地对地表植物的影响和破坏。评价认为，评价区内分布的植物，都是当地较为常见的物种且分布广泛。工程</w:t>
      </w:r>
      <w:r>
        <w:rPr>
          <w:rFonts w:hint="default" w:ascii="Times New Roman" w:hAnsi="Times New Roman" w:eastAsia="宋体" w:cs="Times New Roman"/>
          <w:color w:val="auto"/>
          <w:sz w:val="24"/>
          <w:szCs w:val="24"/>
          <w:highlight w:val="none"/>
          <w:lang w:val="en-US" w:eastAsia="zh-CN"/>
        </w:rPr>
        <w:t>的新增占地导致</w:t>
      </w:r>
      <w:r>
        <w:rPr>
          <w:rFonts w:hint="default" w:ascii="Times New Roman" w:hAnsi="Times New Roman" w:eastAsia="宋体" w:cs="Times New Roman"/>
          <w:color w:val="auto"/>
          <w:sz w:val="24"/>
          <w:szCs w:val="24"/>
          <w:highlight w:val="none"/>
        </w:rPr>
        <w:t>植被的暂时性消失，</w:t>
      </w:r>
      <w:r>
        <w:rPr>
          <w:rFonts w:hint="default" w:ascii="Times New Roman" w:hAnsi="Times New Roman" w:eastAsia="宋体" w:cs="Times New Roman"/>
          <w:color w:val="auto"/>
          <w:highlight w:val="none"/>
        </w:rPr>
        <w:t>工程</w:t>
      </w:r>
      <w:r>
        <w:rPr>
          <w:rFonts w:hint="default" w:ascii="Times New Roman" w:hAnsi="Times New Roman" w:eastAsia="宋体" w:cs="Times New Roman"/>
          <w:color w:val="auto"/>
          <w:highlight w:val="none"/>
          <w:lang w:val="en-US" w:eastAsia="zh-CN"/>
        </w:rPr>
        <w:t>闭矿后严格按</w:t>
      </w:r>
      <w:r>
        <w:rPr>
          <w:rFonts w:hint="default" w:ascii="Times New Roman" w:hAnsi="Times New Roman" w:eastAsia="宋体" w:cs="Times New Roman"/>
          <w:color w:val="auto"/>
          <w:sz w:val="24"/>
          <w:highlight w:val="none"/>
        </w:rPr>
        <w:t>《土地复垦技术标准》进行土地复垦</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并采用</w:t>
      </w:r>
      <w:r>
        <w:rPr>
          <w:rFonts w:hint="default" w:ascii="Times New Roman" w:hAnsi="Times New Roman" w:eastAsia="宋体" w:cs="Times New Roman"/>
          <w:color w:val="auto"/>
          <w:sz w:val="24"/>
          <w:szCs w:val="24"/>
          <w:highlight w:val="none"/>
        </w:rPr>
        <w:t>当地较为常见的物种</w:t>
      </w:r>
      <w:r>
        <w:rPr>
          <w:rFonts w:hint="default" w:ascii="Times New Roman" w:hAnsi="Times New Roman" w:eastAsia="宋体" w:cs="Times New Roman"/>
          <w:color w:val="auto"/>
          <w:sz w:val="24"/>
          <w:highlight w:val="none"/>
        </w:rPr>
        <w:t>植</w:t>
      </w:r>
      <w:r>
        <w:rPr>
          <w:rFonts w:hint="default" w:ascii="Times New Roman" w:hAnsi="Times New Roman" w:eastAsia="宋体" w:cs="Times New Roman"/>
          <w:color w:val="auto"/>
          <w:sz w:val="24"/>
          <w:highlight w:val="none"/>
          <w:lang w:val="en-US" w:eastAsia="zh-CN"/>
        </w:rPr>
        <w:t>进行</w:t>
      </w:r>
      <w:r>
        <w:rPr>
          <w:rFonts w:hint="default" w:ascii="Times New Roman" w:hAnsi="Times New Roman" w:eastAsia="宋体" w:cs="Times New Roman"/>
          <w:color w:val="auto"/>
          <w:sz w:val="24"/>
          <w:highlight w:val="none"/>
        </w:rPr>
        <w:t>重建</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szCs w:val="24"/>
          <w:highlight w:val="none"/>
        </w:rPr>
        <w:t>不会造成评价区植被类型的减少，更不会造成区域植物区系发生改变。因此，工程建设期间对野生植物的多样性影响较小。</w:t>
      </w:r>
    </w:p>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对野生动物的影响分析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矿山项目对动物资源的影响主要是在开采过程中爆破和掘进等作业会产生噪声和振动，交通运输和施工人员的活动及使用机械也会产生的噪声，将会对附近栖息在灌草丛中的小型野生动物如昆虫类、爬行类、鸟类及小型哺乳动物产生一定影响，对其正常生活产生干扰，造成其大部分迁离其原栖息地。由于项目所在矿区周边已有部分工业活动及人类活动，矿区及其周边地区人类活动频繁，对噪声和振动敏感的野生动物已经迁移出本区域，只剩下与人类活动较密切的动物在该区栖息。本次评价生态环境调查期间，并未发现有珍稀、濒危动物，也未在评价区域内观察到大型野生哺乳动物，只是偶见小型鸟类。此外，如前面分析，项目建设噪声和振动影响在采取必要治理措施后，对周边环境影响不大，也不会对矿区周边地区现有动物资源的造成明显影响。另外，项目工业场地和道路等大部分地面设施沿用原有工程设施，不会改变附近现存动物的生境和活动范围。综合分析，项目生产产生的噪声和振动以及工程占地，对区域内动物资源有一定影响，但影响范围是局部的，强度也不大，不会威胁到该区域野生动物的物种生存，动物资源在项目服务期满后将逐步得到恢复。</w:t>
      </w:r>
    </w:p>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对土壤的影响分析</w:t>
      </w:r>
    </w:p>
    <w:p>
      <w:pPr>
        <w:rPr>
          <w:rFonts w:hint="default" w:ascii="Times New Roman" w:hAnsi="Times New Roman" w:eastAsia="宋体" w:cs="Times New Roman"/>
          <w:snapToGrid w:val="0"/>
          <w:color w:val="auto"/>
          <w:kern w:val="0"/>
          <w:sz w:val="24"/>
          <w:highlight w:val="none"/>
        </w:rPr>
      </w:pPr>
      <w:r>
        <w:rPr>
          <w:rFonts w:hint="default" w:ascii="Times New Roman" w:hAnsi="Times New Roman" w:eastAsia="宋体" w:cs="Times New Roman"/>
          <w:color w:val="auto"/>
          <w:sz w:val="24"/>
          <w:highlight w:val="none"/>
          <w:lang w:val="en-US" w:eastAsia="zh-CN"/>
        </w:rPr>
        <w:t>根据土壤侵蚀现状调查</w:t>
      </w:r>
      <w:r>
        <w:rPr>
          <w:rFonts w:hint="default" w:ascii="Times New Roman" w:hAnsi="Times New Roman" w:eastAsia="宋体" w:cs="Times New Roman"/>
          <w:color w:val="auto"/>
          <w:sz w:val="24"/>
          <w:highlight w:val="none"/>
        </w:rPr>
        <w:t>，得出评价区的平均土壤侵蚀模数约为</w:t>
      </w:r>
      <w:r>
        <w:rPr>
          <w:rFonts w:hint="default" w:ascii="Times New Roman" w:hAnsi="Times New Roman" w:eastAsia="宋体" w:cs="Times New Roman"/>
          <w:color w:val="auto"/>
          <w:sz w:val="24"/>
          <w:highlight w:val="none"/>
          <w:lang w:val="en-US" w:eastAsia="zh-CN"/>
        </w:rPr>
        <w:t>1286</w:t>
      </w:r>
      <w:r>
        <w:rPr>
          <w:rFonts w:hint="default" w:ascii="Times New Roman" w:hAnsi="Times New Roman" w:eastAsia="宋体" w:cs="Times New Roman"/>
          <w:color w:val="auto"/>
          <w:sz w:val="24"/>
          <w:highlight w:val="none"/>
        </w:rPr>
        <w:t>t/km</w:t>
      </w:r>
      <w:r>
        <w:rPr>
          <w:rFonts w:hint="default" w:ascii="Times New Roman" w:hAnsi="Times New Roman" w:eastAsia="宋体" w:cs="Times New Roman"/>
          <w:color w:val="auto"/>
          <w:sz w:val="24"/>
          <w:highlight w:val="none"/>
          <w:vertAlign w:val="superscript"/>
        </w:rPr>
        <w:t>2</w:t>
      </w:r>
      <w:r>
        <w:rPr>
          <w:rFonts w:hint="default" w:ascii="Times New Roman" w:hAnsi="Times New Roman" w:eastAsia="宋体" w:cs="Times New Roman"/>
          <w:color w:val="auto"/>
          <w:sz w:val="24"/>
          <w:highlight w:val="none"/>
        </w:rPr>
        <w:t>·a，由结果可以看出，评价区土壤侵蚀强度以轻度侵蚀为主。</w:t>
      </w:r>
      <w:r>
        <w:rPr>
          <w:rFonts w:hint="default" w:ascii="Times New Roman" w:hAnsi="Times New Roman" w:eastAsia="宋体" w:cs="Times New Roman"/>
          <w:snapToGrid w:val="0"/>
          <w:color w:val="auto"/>
          <w:kern w:val="0"/>
          <w:sz w:val="24"/>
          <w:highlight w:val="none"/>
        </w:rPr>
        <w:t>项目区所在地区土壤类型主要为棕壤，矿区内的采矿活动损毁了原来的地形地貌和地表植被，对土壤造成了严重损毁。由于采矿活动阻断了林草枯枝落叶的积累，影响雨水入渗及植物对灰分元素的吸收和富集，妨碍植物与土壤物质交换，对植物生长十分不利。加之雨水冲刷对土壤理化性状产生不利影响，使有机质及氮磷钾含量降低，对土壤中微生物的活动产生影响，阻碍了植物根系的发育和生长。</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根据《能源基地晋陕蒙接壤地区地下水资源评价与合理利用》研究成果，因</w:t>
      </w:r>
      <w:r>
        <w:rPr>
          <w:rFonts w:hint="default" w:ascii="Times New Roman" w:hAnsi="Times New Roman" w:eastAsia="宋体" w:cs="Times New Roman"/>
          <w:color w:val="auto"/>
          <w:sz w:val="24"/>
          <w:szCs w:val="24"/>
          <w:highlight w:val="none"/>
          <w:lang w:val="en-US" w:eastAsia="zh-CN"/>
        </w:rPr>
        <w:t>开采</w:t>
      </w:r>
      <w:r>
        <w:rPr>
          <w:rFonts w:hint="default" w:ascii="Times New Roman" w:hAnsi="Times New Roman" w:eastAsia="宋体" w:cs="Times New Roman"/>
          <w:color w:val="auto"/>
          <w:sz w:val="24"/>
          <w:szCs w:val="24"/>
          <w:highlight w:val="none"/>
        </w:rPr>
        <w:t>引起的沉陷区内土地恶化从而导致水土流失加剧的面积约为沉陷区面积的17~21%，本环评按20%进行预测。</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开发利用方案》预测的地面塌陷范围，破坏土地面积5.5915m²，因与露天采坑4、运输道路1损毁位置部分重叠，重叠面积为0.1015hm²，在损毁面积不重复计算的前提下，预测未来地面塌陷损毁面积合计5.4900hm²，损毁土地方式为塌陷，损毁土地类型为有林地，这些区域中有</w:t>
      </w:r>
      <w:r>
        <w:rPr>
          <w:rFonts w:hint="default" w:ascii="Times New Roman" w:hAnsi="Times New Roman" w:eastAsia="宋体" w:cs="Times New Roman"/>
          <w:color w:val="auto"/>
          <w:highlight w:val="none"/>
          <w:lang w:val="en-US" w:eastAsia="zh-CN"/>
        </w:rPr>
        <w:t>1.098</w:t>
      </w:r>
      <w:r>
        <w:rPr>
          <w:rFonts w:hint="default" w:ascii="Times New Roman" w:hAnsi="Times New Roman" w:eastAsia="宋体" w:cs="Times New Roman"/>
          <w:color w:val="auto"/>
          <w:highlight w:val="none"/>
        </w:rPr>
        <w:t>hm²加速水土流失。根据矿区开采沉陷土壤侵蚀有关调查资料，地表沉陷后土壤侵蚀加速系数1.15~1.45，结合遥感土壤侵蚀调查资料，</w:t>
      </w:r>
      <w:r>
        <w:rPr>
          <w:rFonts w:hint="default" w:ascii="Times New Roman" w:hAnsi="Times New Roman" w:eastAsia="宋体" w:cs="Times New Roman"/>
          <w:color w:val="auto"/>
          <w:highlight w:val="none"/>
          <w:lang w:val="en-US" w:eastAsia="zh-CN"/>
        </w:rPr>
        <w:t>矿区</w:t>
      </w:r>
      <w:r>
        <w:rPr>
          <w:rFonts w:hint="default" w:ascii="Times New Roman" w:hAnsi="Times New Roman" w:eastAsia="宋体" w:cs="Times New Roman"/>
          <w:color w:val="auto"/>
          <w:highlight w:val="none"/>
        </w:rPr>
        <w:t>开采后新增土壤侵蚀量约为</w:t>
      </w:r>
      <w:r>
        <w:rPr>
          <w:rFonts w:hint="default" w:ascii="Times New Roman" w:hAnsi="Times New Roman" w:eastAsia="宋体" w:cs="Times New Roman"/>
          <w:color w:val="auto"/>
          <w:highlight w:val="none"/>
          <w:lang w:val="en-US" w:eastAsia="zh-CN"/>
        </w:rPr>
        <w:t>0.82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1.02</w:t>
      </w:r>
      <w:r>
        <w:rPr>
          <w:rFonts w:hint="default" w:ascii="Times New Roman" w:hAnsi="Times New Roman" w:eastAsia="宋体" w:cs="Times New Roman"/>
          <w:color w:val="auto"/>
          <w:highlight w:val="none"/>
        </w:rPr>
        <w:t>万t。</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表层土壤是经过多年植物作用而形成的熟化土壤，对于植物种子的萌发和幼苗的生长有着重要作用，表土存放会影响土壤的容重、水分等理化性状及生物学性状。</w:t>
      </w:r>
      <w:r>
        <w:rPr>
          <w:rFonts w:hint="default" w:ascii="Times New Roman" w:hAnsi="Times New Roman" w:eastAsia="宋体" w:cs="Times New Roman"/>
          <w:color w:val="auto"/>
          <w:sz w:val="24"/>
          <w:highlight w:val="none"/>
          <w:lang w:val="en-US" w:eastAsia="zh-CN"/>
        </w:rPr>
        <w:t>本项目在</w:t>
      </w:r>
      <w:r>
        <w:rPr>
          <w:rFonts w:hint="default" w:ascii="Times New Roman" w:hAnsi="Times New Roman" w:eastAsia="宋体" w:cs="Times New Roman"/>
          <w:color w:val="auto"/>
          <w:sz w:val="24"/>
          <w:highlight w:val="none"/>
        </w:rPr>
        <w:t>生产</w:t>
      </w:r>
      <w:r>
        <w:rPr>
          <w:rFonts w:hint="default" w:ascii="Times New Roman" w:hAnsi="Times New Roman" w:eastAsia="宋体" w:cs="Times New Roman"/>
          <w:color w:val="auto"/>
          <w:sz w:val="24"/>
          <w:highlight w:val="none"/>
          <w:lang w:val="en-US" w:eastAsia="zh-CN"/>
        </w:rPr>
        <w:t>过程中</w:t>
      </w:r>
      <w:r>
        <w:rPr>
          <w:rFonts w:hint="default" w:ascii="Times New Roman" w:hAnsi="Times New Roman" w:eastAsia="宋体" w:cs="Times New Roman"/>
          <w:color w:val="auto"/>
          <w:sz w:val="24"/>
          <w:highlight w:val="none"/>
        </w:rPr>
        <w:t>需进行表土剥离进行表土剥离，可临时堆放在新建采场底部平台，也可运至老采场直接用于复垦，同时在取土过程中做好防护工作，为了保持土壤结构、避免土壤板结，应避免雨季取土。</w:t>
      </w:r>
    </w:p>
    <w:p>
      <w:pPr>
        <w:spacing w:beforeLines="0" w:afterLines="0"/>
        <w:jc w:val="left"/>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szCs w:val="24"/>
          <w:highlight w:val="none"/>
        </w:rPr>
        <w:t>本项目土壤质量现状较好，因此为保证项目进行过程中不对周边土壤环境造成影响，本项目建设运营过程中应注重土壤环境的污染防控工作，需从如下几个方面进行：弃土应按照固体废物处理规定进行合理处理，确保不产生二次污染；在采坑周边修建截（排）水沟，减小汇水面积，从而减少淋滤水的产生量；提高废石的综合利用率，运营期废石用于井下采空区和采坑充填；工业场地服务期满后及时复垦绿化，减少淋滤水、地表径流的产生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对于大气沉积影响，在占地范围内应采取绿化措施，以种植具有较强吸附能力的植物为主；对于地面漫流影响及入渗途径影响的，应采取黏土压实防渗措施。</w:t>
      </w:r>
    </w:p>
    <w:p>
      <w:pPr>
        <w:pStyle w:val="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地表岩移影响分析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highlight w:val="none"/>
        </w:rPr>
        <w:t>根据《开发利用方案》</w:t>
      </w:r>
      <w:r>
        <w:rPr>
          <w:rFonts w:hint="default" w:ascii="Times New Roman" w:hAnsi="Times New Roman" w:eastAsia="宋体" w:cs="Times New Roman"/>
          <w:snapToGrid w:val="0"/>
          <w:color w:val="auto"/>
          <w:kern w:val="0"/>
          <w:sz w:val="24"/>
          <w:highlight w:val="none"/>
        </w:rPr>
        <w:t>预测的</w:t>
      </w:r>
      <w:r>
        <w:rPr>
          <w:rFonts w:hint="default" w:ascii="Times New Roman" w:hAnsi="Times New Roman" w:eastAsia="宋体" w:cs="Times New Roman"/>
          <w:color w:val="auto"/>
          <w:sz w:val="24"/>
          <w:highlight w:val="none"/>
        </w:rPr>
        <w:t>地面塌陷范围，破坏土地面积5.5915m²，因</w:t>
      </w:r>
      <w:r>
        <w:rPr>
          <w:rFonts w:hint="default" w:ascii="Times New Roman" w:hAnsi="Times New Roman" w:eastAsia="宋体" w:cs="Times New Roman"/>
          <w:bCs/>
          <w:color w:val="auto"/>
          <w:sz w:val="24"/>
          <w:highlight w:val="none"/>
        </w:rPr>
        <w:t>与露天采坑4、运输道路1损毁位置部分重叠，</w:t>
      </w:r>
      <w:r>
        <w:rPr>
          <w:rFonts w:hint="default" w:ascii="Times New Roman" w:hAnsi="Times New Roman" w:eastAsia="宋体" w:cs="Times New Roman"/>
          <w:color w:val="auto"/>
          <w:sz w:val="24"/>
          <w:highlight w:val="none"/>
        </w:rPr>
        <w:t>重叠面积为0.1015hm²，在损毁面积不重复计算的前提下，预测未来地面塌陷损毁面积合计5.4900hm²，损毁土地方式为塌陷，损毁土地类型为有林地</w:t>
      </w:r>
      <w:r>
        <w:rPr>
          <w:rFonts w:hint="default" w:ascii="Times New Roman" w:hAnsi="Times New Roman" w:eastAsia="宋体" w:cs="Times New Roman"/>
          <w:color w:val="auto"/>
          <w:sz w:val="24"/>
          <w:szCs w:val="28"/>
          <w:highlight w:val="none"/>
          <w:lang w:val="en-US" w:eastAsia="zh-CN"/>
        </w:rPr>
        <w:t>，本项目地表崩落范围见图5.2-1。</w:t>
      </w:r>
      <w:r>
        <w:rPr>
          <w:rFonts w:hint="default" w:ascii="Times New Roman" w:hAnsi="Times New Roman" w:eastAsia="宋体" w:cs="Times New Roman"/>
          <w:color w:val="auto"/>
          <w:sz w:val="24"/>
          <w:szCs w:val="24"/>
          <w:highlight w:val="none"/>
        </w:rPr>
        <w:t>鉴于本矿所处地形、地貌类型以及沉陷裂缝的破坏程度，环评提出以下裂缝处理措施：</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①对于宽度＜0.3m的较小的裂缝就地平整，简易的填土、夯实、整平即可；</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②对于宽度＞0.3m的较大的裂缝充填步骤如下：</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A、剥离裂缝地周围和需要削高垫低部位的表层土壤铲开堆放在一侧，剥离厚度为表层土壤厚度。</w:t>
      </w:r>
    </w:p>
    <w:p>
      <w:pPr>
        <w:spacing w:beforeLines="30" w:afterLines="30" w:line="360" w:lineRule="auto"/>
        <w:ind w:firstLine="480" w:firstLineChars="200"/>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4"/>
          <w:highlight w:val="none"/>
        </w:rPr>
        <w:t>B、在复垦场地附近上坡方向就近选取土作为回填物。</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C、位于低洼处的大裂缝和塌陷坑应在平整土地之前填充。</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D、将回填物对沉陷裂缝进行填充，在充填部位或削高垫低部位覆盖耕层土壤。</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E、平整土地后显露出来的裂缝和塌陷坑则在平整土地之后填充。</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F、对于表层土壤质量较差的地块，直接剥离就近生土充填裂缝，不进行表土单独剥离。</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项目区地貌以低山丘陵地貌为主。项目实施过程中，尽管塌陷会出现地裂缝和台阶状下沉，局部区域地形会有一定的影响，但是整体上区域地表形态不会发生根本性变化，只在局部地区出现裂缝、台阶状下沉（不会导致积水）等情况，对该区域自然体系的异质化程度影响不大，仍以</w:t>
      </w:r>
      <w:r>
        <w:rPr>
          <w:rFonts w:hint="default" w:ascii="Times New Roman" w:hAnsi="Times New Roman" w:eastAsia="宋体" w:cs="Times New Roman"/>
          <w:color w:val="auto"/>
          <w:sz w:val="24"/>
          <w:szCs w:val="24"/>
          <w:highlight w:val="none"/>
          <w:lang w:val="en-US" w:eastAsia="zh-CN"/>
        </w:rPr>
        <w:t>林地</w:t>
      </w:r>
      <w:r>
        <w:rPr>
          <w:rFonts w:hint="default" w:ascii="Times New Roman" w:hAnsi="Times New Roman" w:eastAsia="宋体" w:cs="Times New Roman"/>
          <w:color w:val="auto"/>
          <w:sz w:val="24"/>
          <w:szCs w:val="24"/>
          <w:highlight w:val="none"/>
        </w:rPr>
        <w:t>生态系统为主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highlight w:val="none"/>
          <w:lang w:val="en-US" w:eastAsia="zh-CN"/>
        </w:rPr>
        <w:t>在</w:t>
      </w:r>
      <w:r>
        <w:rPr>
          <w:rFonts w:hint="default" w:ascii="Times New Roman" w:hAnsi="Times New Roman" w:eastAsia="宋体" w:cs="Times New Roman"/>
          <w:color w:val="auto"/>
          <w:highlight w:val="none"/>
        </w:rPr>
        <w:t>采取了有效的井下充填措施，沉陷发生后，对林木的损坏程度不大，可以采取扶正加固的方法对倾斜的树木进行保护。建设单位</w:t>
      </w:r>
      <w:r>
        <w:rPr>
          <w:rFonts w:hint="default" w:ascii="Times New Roman" w:hAnsi="Times New Roman" w:eastAsia="宋体" w:cs="Times New Roman"/>
          <w:color w:val="auto"/>
          <w:sz w:val="24"/>
          <w:highlight w:val="none"/>
        </w:rPr>
        <w:t>地面塌陷</w:t>
      </w:r>
      <w:r>
        <w:rPr>
          <w:rFonts w:hint="default" w:ascii="Times New Roman" w:hAnsi="Times New Roman" w:eastAsia="宋体" w:cs="Times New Roman"/>
          <w:color w:val="auto"/>
          <w:sz w:val="24"/>
          <w:highlight w:val="none"/>
          <w:lang w:val="en-US" w:eastAsia="zh-CN"/>
        </w:rPr>
        <w:t>区严格按照</w:t>
      </w:r>
      <w:r>
        <w:rPr>
          <w:rFonts w:hint="default" w:ascii="Times New Roman" w:hAnsi="Times New Roman" w:eastAsia="宋体" w:cs="Times New Roman"/>
          <w:color w:val="auto"/>
          <w:highlight w:val="none"/>
          <w:lang w:val="en-US" w:eastAsia="zh-CN"/>
        </w:rPr>
        <w:t>《岫岩满族自治县苏子沟镇大何家堡村钾长石矿矿山地质环境保护与土地复垦方案》进行土地复垦，</w:t>
      </w:r>
      <w:r>
        <w:rPr>
          <w:rFonts w:hint="default" w:ascii="Times New Roman" w:hAnsi="Times New Roman" w:eastAsia="宋体" w:cs="Times New Roman"/>
          <w:color w:val="auto"/>
          <w:highlight w:val="none"/>
        </w:rPr>
        <w:t>设立地表移动的长期观测点，适时观测，发现出现地表沉陷现象及时上报当地政府有关部门。建设单位为了控制采矿境界范围内的地表沉陷以及可能造成的环境影响，必须严格控制采矿境界范围；在开采境界外围50m范围内周边设立明显的警示标志；通知当地政府和周围村屯，严禁在该范围内建设永久性建筑物。</w:t>
      </w:r>
    </w:p>
    <w:p>
      <w:pPr>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647690" cy="3465195"/>
            <wp:effectExtent l="0" t="0" r="10160" b="1905"/>
            <wp:docPr id="319"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61"/>
                    <pic:cNvPicPr>
                      <a:picLocks noChangeAspect="1"/>
                    </pic:cNvPicPr>
                  </pic:nvPicPr>
                  <pic:blipFill>
                    <a:blip r:embed="rId114"/>
                    <a:stretch>
                      <a:fillRect/>
                    </a:stretch>
                  </pic:blipFill>
                  <pic:spPr>
                    <a:xfrm>
                      <a:off x="0" y="0"/>
                      <a:ext cx="5647690" cy="3465195"/>
                    </a:xfrm>
                    <a:prstGeom prst="rect">
                      <a:avLst/>
                    </a:prstGeom>
                    <a:noFill/>
                    <a:ln>
                      <a:noFill/>
                    </a:ln>
                  </pic:spPr>
                </pic:pic>
              </a:graphicData>
            </a:graphic>
          </wp:inline>
        </w:drawing>
      </w:r>
    </w:p>
    <w:p>
      <w:pPr>
        <w:jc w:val="center"/>
        <w:rPr>
          <w:rFonts w:hint="default" w:ascii="Times New Roman" w:hAnsi="Times New Roman" w:eastAsia="宋体" w:cs="Times New Roman"/>
          <w:b/>
          <w:bCs/>
          <w:color w:val="auto"/>
          <w:sz w:val="24"/>
          <w:szCs w:val="28"/>
          <w:highlight w:val="none"/>
          <w:lang w:val="en-US" w:eastAsia="zh-CN"/>
        </w:rPr>
      </w:pPr>
      <w:r>
        <w:rPr>
          <w:rFonts w:hint="default" w:ascii="Times New Roman" w:hAnsi="Times New Roman" w:eastAsia="宋体" w:cs="Times New Roman"/>
          <w:b/>
          <w:bCs/>
          <w:color w:val="auto"/>
          <w:sz w:val="24"/>
          <w:szCs w:val="28"/>
          <w:highlight w:val="none"/>
          <w:lang w:val="en-US" w:eastAsia="zh-CN"/>
        </w:rPr>
        <w:t>图5.</w:t>
      </w:r>
      <w:r>
        <w:rPr>
          <w:rFonts w:hint="eastAsia" w:ascii="Times New Roman" w:hAnsi="Times New Roman" w:eastAsia="宋体" w:cs="Times New Roman"/>
          <w:b/>
          <w:bCs/>
          <w:color w:val="auto"/>
          <w:sz w:val="24"/>
          <w:szCs w:val="28"/>
          <w:highlight w:val="none"/>
          <w:lang w:val="en-US" w:eastAsia="zh-CN"/>
        </w:rPr>
        <w:t>4</w:t>
      </w:r>
      <w:r>
        <w:rPr>
          <w:rFonts w:hint="default" w:ascii="Times New Roman" w:hAnsi="Times New Roman" w:eastAsia="宋体" w:cs="Times New Roman"/>
          <w:b/>
          <w:bCs/>
          <w:color w:val="auto"/>
          <w:sz w:val="24"/>
          <w:szCs w:val="28"/>
          <w:highlight w:val="none"/>
          <w:lang w:val="en-US" w:eastAsia="zh-CN"/>
        </w:rPr>
        <w:t>-1项目地表岩石崩落范围图</w:t>
      </w:r>
    </w:p>
    <w:p>
      <w:pPr>
        <w:pStyle w:val="5"/>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生态影响评价</w:t>
      </w:r>
      <w:r>
        <w:rPr>
          <w:rFonts w:hint="eastAsia" w:ascii="Times New Roman" w:hAnsi="Times New Roman" w:eastAsia="宋体" w:cs="Times New Roman"/>
          <w:color w:val="auto"/>
          <w:highlight w:val="none"/>
          <w:lang w:val="en-US" w:eastAsia="zh-CN"/>
        </w:rPr>
        <w:t>结论</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）占地合理性分析</w:t>
      </w:r>
    </w:p>
    <w:p>
      <w:pPr>
        <w:spacing w:line="360" w:lineRule="auto"/>
        <w:ind w:firstLine="472" w:firstLineChars="197"/>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矿山现状破坏土地面积为3.8101hm²，预测新增破坏土地面积为13.6291hm²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包括拟</w:t>
      </w:r>
      <w:r>
        <w:rPr>
          <w:rFonts w:hint="default" w:ascii="Times New Roman" w:hAnsi="Times New Roman" w:eastAsia="宋体" w:cs="Times New Roman"/>
          <w:color w:val="auto"/>
          <w:highlight w:val="none"/>
        </w:rPr>
        <w:t>塌陷</w:t>
      </w:r>
      <w:r>
        <w:rPr>
          <w:rFonts w:hint="default" w:ascii="Times New Roman" w:hAnsi="Times New Roman" w:eastAsia="宋体" w:cs="Times New Roman"/>
          <w:color w:val="auto"/>
          <w:highlight w:val="none"/>
          <w:lang w:val="en-US" w:eastAsia="zh-CN"/>
        </w:rPr>
        <w:t>区</w:t>
      </w:r>
      <w:r>
        <w:rPr>
          <w:rFonts w:hint="default" w:ascii="Times New Roman" w:hAnsi="Times New Roman" w:eastAsia="宋体" w:cs="Times New Roman"/>
          <w:color w:val="auto"/>
          <w:highlight w:val="none"/>
        </w:rPr>
        <w:t>5.5915hm²</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highlight w:val="none"/>
          <w:lang w:val="en-US" w:eastAsia="zh-CN"/>
        </w:rPr>
        <w:t>拟损失生物量为469.5t，</w:t>
      </w:r>
      <w:r>
        <w:rPr>
          <w:rFonts w:hint="default" w:ascii="Times New Roman" w:hAnsi="Times New Roman" w:eastAsia="宋体" w:cs="Times New Roman"/>
          <w:color w:val="auto"/>
          <w:highlight w:val="none"/>
        </w:rPr>
        <w:t>破坏的土地类型为采矿用地和有林地</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highlight w:val="none"/>
        </w:rPr>
        <w:t>实际复垦面积为14.3955hm²，复垦方向为有林地和灌木林地</w:t>
      </w:r>
      <w:r>
        <w:rPr>
          <w:rFonts w:hint="default" w:ascii="Times New Roman" w:hAnsi="Times New Roman" w:eastAsia="宋体" w:cs="Times New Roman"/>
          <w:color w:val="auto"/>
          <w:highlight w:val="none"/>
          <w:lang w:val="en-US" w:eastAsia="zh-CN"/>
        </w:rPr>
        <w:t>，新增生物量539.8t</w:t>
      </w:r>
      <w:r>
        <w:rPr>
          <w:rFonts w:hint="default" w:ascii="Times New Roman" w:hAnsi="Times New Roman" w:eastAsia="宋体" w:cs="Times New Roman"/>
          <w:color w:val="auto"/>
          <w:highlight w:val="none"/>
        </w:rPr>
        <w:t>，复垦后植被生物量</w:t>
      </w:r>
      <w:r>
        <w:rPr>
          <w:rFonts w:hint="default" w:ascii="Times New Roman" w:hAnsi="Times New Roman" w:eastAsia="宋体" w:cs="Times New Roman"/>
          <w:color w:val="auto"/>
          <w:highlight w:val="none"/>
          <w:lang w:val="en-US" w:eastAsia="zh-CN"/>
        </w:rPr>
        <w:t>对比现状将有所增加</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矿区</w:t>
      </w:r>
      <w:r>
        <w:rPr>
          <w:rFonts w:hint="default" w:ascii="Times New Roman" w:hAnsi="Times New Roman" w:eastAsia="宋体" w:cs="Times New Roman"/>
          <w:color w:val="auto"/>
          <w:highlight w:val="none"/>
        </w:rPr>
        <w:t>开采后新增土壤侵蚀量约为</w:t>
      </w:r>
      <w:r>
        <w:rPr>
          <w:rFonts w:hint="default" w:ascii="Times New Roman" w:hAnsi="Times New Roman" w:eastAsia="宋体" w:cs="Times New Roman"/>
          <w:color w:val="auto"/>
          <w:highlight w:val="none"/>
          <w:lang w:val="en-US" w:eastAsia="zh-CN"/>
        </w:rPr>
        <w:t>0.82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1.02</w:t>
      </w:r>
      <w:r>
        <w:rPr>
          <w:rFonts w:hint="default" w:ascii="Times New Roman" w:hAnsi="Times New Roman" w:eastAsia="宋体" w:cs="Times New Roman"/>
          <w:color w:val="auto"/>
          <w:highlight w:val="none"/>
        </w:rPr>
        <w:t>万t。</w:t>
      </w:r>
      <w:r>
        <w:rPr>
          <w:rFonts w:hint="default" w:ascii="Times New Roman" w:hAnsi="Times New Roman" w:eastAsia="宋体" w:cs="Times New Roman"/>
          <w:color w:val="auto"/>
          <w:sz w:val="24"/>
          <w:szCs w:val="24"/>
          <w:highlight w:val="none"/>
        </w:rPr>
        <w:t>工程占地将改变原有土地的使用功能，将使区域林地减少，评价范围内土地利用格局将产生功能性变化，但在宏观上，工程建设对</w:t>
      </w:r>
      <w:r>
        <w:rPr>
          <w:rFonts w:hint="default" w:ascii="Times New Roman" w:hAnsi="Times New Roman" w:eastAsia="宋体" w:cs="Times New Roman"/>
          <w:color w:val="auto"/>
          <w:sz w:val="24"/>
          <w:szCs w:val="24"/>
          <w:highlight w:val="none"/>
          <w:lang w:val="en-US" w:eastAsia="zh-CN"/>
        </w:rPr>
        <w:t>区域内</w:t>
      </w:r>
      <w:r>
        <w:rPr>
          <w:rFonts w:hint="default" w:ascii="Times New Roman" w:hAnsi="Times New Roman" w:eastAsia="宋体" w:cs="Times New Roman"/>
          <w:color w:val="auto"/>
          <w:sz w:val="24"/>
          <w:szCs w:val="24"/>
          <w:highlight w:val="none"/>
        </w:rPr>
        <w:t>的土地利用格局影响不大。</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）工程建设对</w:t>
      </w:r>
      <w:r>
        <w:rPr>
          <w:rFonts w:hint="default" w:ascii="Times New Roman" w:hAnsi="Times New Roman" w:eastAsia="宋体" w:cs="Times New Roman"/>
          <w:color w:val="auto"/>
          <w:sz w:val="24"/>
          <w:szCs w:val="24"/>
          <w:highlight w:val="none"/>
          <w:lang w:val="en-US" w:eastAsia="zh-CN"/>
        </w:rPr>
        <w:t>植物的</w:t>
      </w:r>
      <w:r>
        <w:rPr>
          <w:rFonts w:hint="default" w:ascii="Times New Roman" w:hAnsi="Times New Roman" w:eastAsia="宋体" w:cs="Times New Roman"/>
          <w:color w:val="auto"/>
          <w:sz w:val="24"/>
          <w:szCs w:val="24"/>
          <w:highlight w:val="none"/>
        </w:rPr>
        <w:t>影响分析</w:t>
      </w:r>
    </w:p>
    <w:p>
      <w:pPr>
        <w:spacing w:beforeLines="0" w:afterLine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项目建设时不可避免地会造成</w:t>
      </w:r>
      <w:r>
        <w:rPr>
          <w:rFonts w:hint="default" w:ascii="Times New Roman" w:hAnsi="Times New Roman" w:eastAsia="宋体" w:cs="Times New Roman"/>
          <w:color w:val="auto"/>
          <w:sz w:val="24"/>
          <w:szCs w:val="24"/>
          <w:highlight w:val="none"/>
          <w:lang w:val="en-US" w:eastAsia="zh-CN"/>
        </w:rPr>
        <w:t>评价区域内</w:t>
      </w:r>
      <w:r>
        <w:rPr>
          <w:rFonts w:hint="default" w:ascii="Times New Roman" w:hAnsi="Times New Roman" w:eastAsia="宋体" w:cs="Times New Roman"/>
          <w:color w:val="auto"/>
          <w:sz w:val="24"/>
          <w:szCs w:val="24"/>
          <w:highlight w:val="none"/>
        </w:rPr>
        <w:t>植物物种个体数量和植被面积减少，此项目占地区域呈</w:t>
      </w:r>
      <w:r>
        <w:rPr>
          <w:rFonts w:hint="default" w:ascii="Times New Roman" w:hAnsi="Times New Roman" w:eastAsia="宋体" w:cs="Times New Roman"/>
          <w:color w:val="auto"/>
          <w:sz w:val="24"/>
          <w:szCs w:val="24"/>
          <w:highlight w:val="none"/>
          <w:lang w:val="en-US" w:eastAsia="zh-CN"/>
        </w:rPr>
        <w:t>分散</w:t>
      </w:r>
      <w:r>
        <w:rPr>
          <w:rFonts w:hint="default" w:ascii="Times New Roman" w:hAnsi="Times New Roman" w:eastAsia="宋体" w:cs="Times New Roman"/>
          <w:color w:val="auto"/>
          <w:sz w:val="24"/>
          <w:szCs w:val="24"/>
          <w:highlight w:val="none"/>
        </w:rPr>
        <w:t>状，范围为中心线两侧各30m左右，</w:t>
      </w:r>
      <w:r>
        <w:rPr>
          <w:rFonts w:hint="default" w:ascii="Times New Roman" w:hAnsi="Times New Roman" w:eastAsia="宋体" w:cs="Times New Roman"/>
          <w:color w:val="auto"/>
          <w:highlight w:val="none"/>
        </w:rPr>
        <w:t>整体横向影响范围</w:t>
      </w:r>
      <w:r>
        <w:rPr>
          <w:rFonts w:hint="default" w:ascii="Times New Roman" w:hAnsi="Times New Roman" w:eastAsia="宋体" w:cs="Times New Roman"/>
          <w:color w:val="auto"/>
          <w:highlight w:val="none"/>
          <w:lang w:val="en-US" w:eastAsia="zh-CN"/>
        </w:rPr>
        <w:t>最大约360m</w:t>
      </w:r>
      <w:r>
        <w:rPr>
          <w:rFonts w:hint="default" w:ascii="Times New Roman" w:hAnsi="Times New Roman" w:eastAsia="宋体" w:cs="Times New Roman"/>
          <w:color w:val="auto"/>
          <w:highlight w:val="none"/>
        </w:rPr>
        <w:t>，因此对整个评价范围而言，这种变化影响较小，不会导致沿线土地利用格局发生明显变化</w:t>
      </w:r>
      <w:r>
        <w:rPr>
          <w:rFonts w:hint="default" w:ascii="Times New Roman" w:hAnsi="Times New Roman" w:eastAsia="宋体" w:cs="Times New Roman"/>
          <w:color w:val="auto"/>
          <w:sz w:val="24"/>
          <w:szCs w:val="24"/>
          <w:highlight w:val="none"/>
        </w:rPr>
        <w:t>。工程建设将砍伐或移栽占地范围内的植物，对植被造成破坏。但减少的植被类型为沿线地区常见的常绿阔叶林，且多为次生林和人工植被，植被类型和群落结构较为简单，且群落内部植物组成基本相同，在</w:t>
      </w:r>
      <w:r>
        <w:rPr>
          <w:rFonts w:hint="default" w:ascii="Times New Roman" w:hAnsi="Times New Roman" w:eastAsia="宋体" w:cs="Times New Roman"/>
          <w:color w:val="auto"/>
          <w:sz w:val="24"/>
          <w:szCs w:val="24"/>
          <w:highlight w:val="none"/>
          <w:lang w:val="en-US" w:eastAsia="zh-CN"/>
        </w:rPr>
        <w:t>东北</w:t>
      </w:r>
      <w:r>
        <w:rPr>
          <w:rFonts w:hint="default" w:ascii="Times New Roman" w:hAnsi="Times New Roman" w:eastAsia="宋体" w:cs="Times New Roman"/>
          <w:color w:val="auto"/>
          <w:sz w:val="24"/>
          <w:szCs w:val="24"/>
          <w:highlight w:val="none"/>
        </w:rPr>
        <w:t>地区比较常见，不具有稀有性和特有性，不会造成某一植物群落和内部关键物种在此区域内消失；</w:t>
      </w:r>
      <w:r>
        <w:rPr>
          <w:rFonts w:hint="default" w:ascii="Times New Roman" w:hAnsi="Times New Roman" w:eastAsia="宋体" w:cs="Times New Roman"/>
          <w:color w:val="auto"/>
          <w:highlight w:val="none"/>
        </w:rPr>
        <w:t>工程</w:t>
      </w:r>
      <w:r>
        <w:rPr>
          <w:rFonts w:hint="default" w:ascii="Times New Roman" w:hAnsi="Times New Roman" w:eastAsia="宋体" w:cs="Times New Roman"/>
          <w:color w:val="auto"/>
          <w:highlight w:val="none"/>
          <w:lang w:val="en-US" w:eastAsia="zh-CN"/>
        </w:rPr>
        <w:t>闭矿后严格按</w:t>
      </w:r>
      <w:r>
        <w:rPr>
          <w:rFonts w:hint="default" w:ascii="Times New Roman" w:hAnsi="Times New Roman" w:eastAsia="宋体" w:cs="Times New Roman"/>
          <w:color w:val="auto"/>
          <w:sz w:val="24"/>
          <w:highlight w:val="none"/>
        </w:rPr>
        <w:t>《土地复垦技术标准》进行土地复垦和植被重建工作。</w:t>
      </w:r>
      <w:r>
        <w:rPr>
          <w:rFonts w:hint="default" w:ascii="Times New Roman" w:hAnsi="Times New Roman" w:eastAsia="宋体" w:cs="Times New Roman"/>
          <w:color w:val="auto"/>
          <w:highlight w:val="none"/>
        </w:rPr>
        <w:t>预计</w:t>
      </w:r>
      <w:r>
        <w:rPr>
          <w:rFonts w:hint="default" w:ascii="Times New Roman" w:hAnsi="Times New Roman" w:eastAsia="宋体" w:cs="Times New Roman"/>
          <w:color w:val="auto"/>
          <w:highlight w:val="none"/>
          <w:lang w:val="en-US" w:eastAsia="zh-CN"/>
        </w:rPr>
        <w:t>闭矿</w:t>
      </w:r>
      <w:r>
        <w:rPr>
          <w:rFonts w:hint="default" w:ascii="Times New Roman" w:hAnsi="Times New Roman" w:eastAsia="宋体" w:cs="Times New Roman"/>
          <w:color w:val="auto"/>
          <w:highlight w:val="none"/>
        </w:rPr>
        <w:t>结束后5年左右，可基本恢复土地的原有使用功能。</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）工程建设对野生动物影响分析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在项目</w:t>
      </w:r>
      <w:r>
        <w:rPr>
          <w:rFonts w:hint="default" w:ascii="Times New Roman" w:hAnsi="Times New Roman" w:eastAsia="宋体" w:cs="Times New Roman"/>
          <w:color w:val="auto"/>
          <w:sz w:val="24"/>
          <w:szCs w:val="24"/>
          <w:highlight w:val="none"/>
          <w:lang w:val="en-US" w:eastAsia="zh-CN"/>
        </w:rPr>
        <w:t>基建</w:t>
      </w:r>
      <w:r>
        <w:rPr>
          <w:rFonts w:hint="default" w:ascii="Times New Roman" w:hAnsi="Times New Roman" w:eastAsia="宋体" w:cs="Times New Roman"/>
          <w:color w:val="auto"/>
          <w:sz w:val="24"/>
          <w:szCs w:val="24"/>
          <w:highlight w:val="none"/>
        </w:rPr>
        <w:t>期</w:t>
      </w:r>
      <w:r>
        <w:rPr>
          <w:rFonts w:hint="default" w:ascii="Times New Roman" w:hAnsi="Times New Roman" w:eastAsia="宋体" w:cs="Times New Roman"/>
          <w:color w:val="auto"/>
          <w:sz w:val="24"/>
          <w:szCs w:val="24"/>
          <w:highlight w:val="none"/>
          <w:lang w:val="en-US" w:eastAsia="zh-CN"/>
        </w:rPr>
        <w:t>和运营期</w:t>
      </w:r>
      <w:r>
        <w:rPr>
          <w:rFonts w:hint="default" w:ascii="Times New Roman" w:hAnsi="Times New Roman" w:eastAsia="宋体" w:cs="Times New Roman"/>
          <w:color w:val="auto"/>
          <w:sz w:val="24"/>
          <w:szCs w:val="24"/>
          <w:highlight w:val="none"/>
        </w:rPr>
        <w:t>，严格执行野生动植物和生物多样性保护措施。林业主管部门监督野生植物和生物多样性保护措施的执行情况，应将项目建设对野生植物和生物多样性的影响降到最低限度。项目生产产生的噪声和振动以及工程占地，对区域内动物资源有一定影响，但影响范围是局部的，强度也不大，不会威胁到该区域野生动物的物种生存，动物资源在项目服务期满后将逐步得到恢复。</w:t>
      </w:r>
    </w:p>
    <w:p>
      <w:pPr>
        <w:numPr>
          <w:ilvl w:val="0"/>
          <w:numId w:val="7"/>
        </w:numPr>
        <w:spacing w:beforeLines="0" w:afterLines="0"/>
        <w:ind w:left="-2" w:leftChars="0" w:firstLine="482" w:firstLineChar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工程建设对</w:t>
      </w:r>
      <w:r>
        <w:rPr>
          <w:rFonts w:hint="default" w:ascii="Times New Roman" w:hAnsi="Times New Roman" w:eastAsia="宋体" w:cs="Times New Roman"/>
          <w:color w:val="auto"/>
          <w:sz w:val="24"/>
          <w:szCs w:val="24"/>
          <w:highlight w:val="none"/>
          <w:lang w:val="en-US" w:eastAsia="zh-CN"/>
        </w:rPr>
        <w:t>土壤和水土流失的</w:t>
      </w:r>
      <w:r>
        <w:rPr>
          <w:rFonts w:hint="default" w:ascii="Times New Roman" w:hAnsi="Times New Roman" w:eastAsia="宋体" w:cs="Times New Roman"/>
          <w:color w:val="auto"/>
          <w:sz w:val="24"/>
          <w:szCs w:val="24"/>
          <w:highlight w:val="none"/>
        </w:rPr>
        <w:t>影响分析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水土流失主要发生在工程建设期和自然恢复期，表现为工程建设破坏地貌、土壤、植被而导致土壤抗蚀性能降低，土壤流失量增加。项目永久占地和永久占地面积较小，对地表植被破坏有限；本项目施工期对现状地表植被进行生态恢复治理，矿区内的水土流失状况将得到进一步改善。</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highlight w:val="none"/>
          <w:lang w:val="en-US" w:eastAsia="zh-CN"/>
        </w:rPr>
        <w:t>地表岩移影响分析</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项目区地貌以低山丘陵地貌为主。项目实施过程中，尽管塌陷会出现地裂缝和台阶状下沉，局部区域地形会有一定的影响，但是整体上区域地表形态不会发生根本性变化，只在局部地区出现裂缝、台阶状下沉（不会导致积水）等情况，对该区域自然体系的异质化程度影响不大，仍以</w:t>
      </w:r>
      <w:r>
        <w:rPr>
          <w:rFonts w:hint="default" w:ascii="Times New Roman" w:hAnsi="Times New Roman" w:eastAsia="宋体" w:cs="Times New Roman"/>
          <w:color w:val="auto"/>
          <w:highlight w:val="none"/>
          <w:lang w:val="en-US" w:eastAsia="zh-CN"/>
        </w:rPr>
        <w:t>林地</w:t>
      </w:r>
      <w:r>
        <w:rPr>
          <w:rFonts w:hint="default" w:ascii="Times New Roman" w:hAnsi="Times New Roman" w:eastAsia="宋体" w:cs="Times New Roman"/>
          <w:color w:val="auto"/>
          <w:highlight w:val="none"/>
        </w:rPr>
        <w:t>生态系统为主</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在</w:t>
      </w:r>
      <w:r>
        <w:rPr>
          <w:rFonts w:hint="default" w:ascii="Times New Roman" w:hAnsi="Times New Roman" w:eastAsia="宋体" w:cs="Times New Roman"/>
          <w:color w:val="auto"/>
          <w:highlight w:val="none"/>
        </w:rPr>
        <w:t>采取了有效的井下充填措施</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highlight w:val="none"/>
        </w:rPr>
        <w:t>塌陷</w:t>
      </w:r>
      <w:r>
        <w:rPr>
          <w:rFonts w:hint="default" w:ascii="Times New Roman" w:hAnsi="Times New Roman" w:eastAsia="宋体" w:cs="Times New Roman"/>
          <w:color w:val="auto"/>
          <w:sz w:val="24"/>
          <w:highlight w:val="none"/>
          <w:lang w:val="en-US" w:eastAsia="zh-CN"/>
        </w:rPr>
        <w:t>区严格按照</w:t>
      </w:r>
      <w:r>
        <w:rPr>
          <w:rFonts w:hint="default" w:ascii="Times New Roman" w:hAnsi="Times New Roman" w:eastAsia="宋体" w:cs="Times New Roman"/>
          <w:color w:val="auto"/>
          <w:highlight w:val="none"/>
          <w:lang w:val="en-US" w:eastAsia="zh-CN"/>
        </w:rPr>
        <w:t>《岫岩满族自治县苏子沟镇大何家堡村钾长石矿矿山地质环境保护与土地复垦方案》进行土地复垦，</w:t>
      </w:r>
      <w:r>
        <w:rPr>
          <w:rFonts w:hint="default" w:ascii="Times New Roman" w:hAnsi="Times New Roman" w:eastAsia="宋体" w:cs="Times New Roman"/>
          <w:color w:val="auto"/>
          <w:highlight w:val="none"/>
        </w:rPr>
        <w:t>设立地表移动的长期观测点</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沉陷发生后，对林木的损坏程度不大</w:t>
      </w:r>
      <w:r>
        <w:rPr>
          <w:rFonts w:hint="default" w:ascii="Times New Roman" w:hAnsi="Times New Roman" w:eastAsia="宋体" w:cs="Times New Roman"/>
          <w:color w:val="auto"/>
          <w:highlight w:val="none"/>
          <w:lang w:eastAsia="zh-CN"/>
        </w:rPr>
        <w:t>。</w:t>
      </w:r>
    </w:p>
    <w:p>
      <w:pPr>
        <w:spacing w:line="360" w:lineRule="auto"/>
        <w:ind w:firstLine="472" w:firstLineChars="197"/>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综上所述，本项目</w:t>
      </w:r>
      <w:r>
        <w:rPr>
          <w:rFonts w:hint="default" w:ascii="Times New Roman" w:hAnsi="Times New Roman" w:eastAsia="宋体" w:cs="Times New Roman"/>
          <w:color w:val="auto"/>
          <w:sz w:val="24"/>
          <w:highlight w:val="none"/>
          <w:lang w:val="en-US" w:eastAsia="zh-CN"/>
        </w:rPr>
        <w:t>建设过程中</w:t>
      </w:r>
      <w:r>
        <w:rPr>
          <w:rFonts w:hint="default" w:ascii="Times New Roman" w:hAnsi="Times New Roman" w:eastAsia="宋体" w:cs="Times New Roman"/>
          <w:color w:val="auto"/>
          <w:sz w:val="24"/>
          <w:highlight w:val="none"/>
        </w:rPr>
        <w:t>，地表结构发生一定的变化，水土保持能力有所下降，土壤侵蚀也增加，工矿景观格局加强。项目建设造成部分区域自我调节能力降低，仅依靠生态系统的自我恢复不能完成全部恢复，因此需要采取人工干预，加速矿区生态系统的改良；积极采取生态恢复措施，项目服务期满后尽快落实土地复垦工作，使生态系统恢复加速完成，恢复生态系统。</w:t>
      </w:r>
    </w:p>
    <w:p>
      <w:pPr>
        <w:pStyle w:val="4"/>
        <w:bidi w:val="0"/>
        <w:ind w:left="0" w:leftChars="0" w:firstLineChars="0"/>
        <w:rPr>
          <w:rFonts w:hint="default" w:ascii="Times New Roman" w:hAnsi="Times New Roman" w:eastAsia="宋体" w:cs="Times New Roman"/>
          <w:color w:val="auto"/>
          <w:highlight w:val="none"/>
        </w:rPr>
      </w:pPr>
      <w:bookmarkStart w:id="316" w:name="_Toc29016"/>
      <w:bookmarkStart w:id="317" w:name="_Toc481758540"/>
      <w:bookmarkStart w:id="318" w:name="_Toc482780895"/>
      <w:bookmarkStart w:id="319" w:name="_Toc3973111"/>
      <w:bookmarkStart w:id="320" w:name="_Toc27108"/>
      <w:bookmarkStart w:id="321" w:name="_Toc427938760"/>
      <w:r>
        <w:rPr>
          <w:rFonts w:hint="default" w:ascii="Times New Roman" w:hAnsi="Times New Roman" w:eastAsia="宋体" w:cs="Times New Roman"/>
          <w:color w:val="auto"/>
          <w:highlight w:val="none"/>
        </w:rPr>
        <w:t>服务期满后对生态环境的影响分析</w:t>
      </w:r>
      <w:bookmarkEnd w:id="316"/>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当本项目服务期满后，将不会增加对生态环境产生的新影响，原有的影响将持续一段时间。但随着在生产过程逐步退役的生产设施，如采区工业场地等覆土复垦、绿化、植被等生态恢复措施的实施，无论是景观格局、水土保持、还是植被的恢复等方面均有大的改观，影响时间将会大大缩短。</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在此，建议建设单位结合目前矿山开采现状，制定完善的矿区生态恢复与复垦规划，以便指导矿山的生态恢复工作。</w:t>
      </w:r>
    </w:p>
    <w:p>
      <w:pPr>
        <w:pStyle w:val="4"/>
        <w:bidi w:val="0"/>
        <w:ind w:left="0" w:leftChars="0" w:firstLineChars="0"/>
        <w:rPr>
          <w:rFonts w:hint="default" w:ascii="Times New Roman" w:hAnsi="Times New Roman" w:eastAsia="宋体" w:cs="Times New Roman"/>
          <w:color w:val="auto"/>
          <w:highlight w:val="none"/>
        </w:rPr>
      </w:pPr>
      <w:bookmarkStart w:id="322" w:name="_Toc28323"/>
      <w:r>
        <w:rPr>
          <w:rFonts w:hint="default" w:ascii="Times New Roman" w:hAnsi="Times New Roman" w:eastAsia="宋体" w:cs="Times New Roman"/>
          <w:color w:val="auto"/>
          <w:highlight w:val="none"/>
        </w:rPr>
        <w:t>生态环境综合整治规划</w:t>
      </w:r>
      <w:bookmarkEnd w:id="317"/>
      <w:bookmarkEnd w:id="318"/>
      <w:bookmarkEnd w:id="319"/>
      <w:bookmarkEnd w:id="320"/>
      <w:bookmarkEnd w:id="321"/>
      <w:bookmarkEnd w:id="322"/>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防治原则</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矿山生态环境保护与恢复治理应遵循以下原则：</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（1）严格控制矿产资源开发对矿山环境的扰动和破坏，最大限度的减少或避免矿山开发引发的矿山环境问题；</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（2）遵循</w:t>
      </w:r>
      <w:r>
        <w:rPr>
          <w:rFonts w:hint="eastAsia" w:cs="Times New Roman"/>
          <w:color w:val="auto"/>
          <w:highlight w:val="none"/>
          <w:lang w:eastAsia="zh-CN"/>
        </w:rPr>
        <w:t>“</w:t>
      </w:r>
      <w:r>
        <w:rPr>
          <w:rFonts w:hint="default" w:ascii="Times New Roman" w:hAnsi="Times New Roman" w:eastAsia="宋体" w:cs="Times New Roman"/>
          <w:color w:val="auto"/>
          <w:highlight w:val="none"/>
        </w:rPr>
        <w:t>谁开发谁保护，谁破坏谁治理，谁出资谁受益</w:t>
      </w:r>
      <w:r>
        <w:rPr>
          <w:rFonts w:hint="eastAsia" w:cs="Times New Roman"/>
          <w:color w:val="auto"/>
          <w:highlight w:val="none"/>
          <w:lang w:eastAsia="zh-CN"/>
        </w:rPr>
        <w:t>”</w:t>
      </w:r>
      <w:r>
        <w:rPr>
          <w:rFonts w:hint="default" w:ascii="Times New Roman" w:hAnsi="Times New Roman" w:eastAsia="宋体" w:cs="Times New Roman"/>
          <w:color w:val="auto"/>
          <w:highlight w:val="none"/>
        </w:rPr>
        <w:t>及</w:t>
      </w:r>
      <w:r>
        <w:rPr>
          <w:rFonts w:hint="eastAsia" w:cs="Times New Roman"/>
          <w:color w:val="auto"/>
          <w:highlight w:val="none"/>
          <w:lang w:eastAsia="zh-CN"/>
        </w:rPr>
        <w:t>“</w:t>
      </w:r>
      <w:r>
        <w:rPr>
          <w:rFonts w:hint="default" w:ascii="Times New Roman" w:hAnsi="Times New Roman" w:eastAsia="宋体" w:cs="Times New Roman"/>
          <w:color w:val="auto"/>
          <w:highlight w:val="none"/>
        </w:rPr>
        <w:t>依靠科技进步、发展循环经济、建设绿色矿业</w:t>
      </w:r>
      <w:r>
        <w:rPr>
          <w:rFonts w:hint="eastAsia" w:cs="Times New Roman"/>
          <w:color w:val="auto"/>
          <w:highlight w:val="none"/>
          <w:lang w:eastAsia="zh-CN"/>
        </w:rPr>
        <w:t>”</w:t>
      </w:r>
      <w:r>
        <w:rPr>
          <w:rFonts w:hint="default" w:ascii="Times New Roman" w:hAnsi="Times New Roman" w:eastAsia="宋体" w:cs="Times New Roman"/>
          <w:color w:val="auto"/>
          <w:highlight w:val="none"/>
        </w:rPr>
        <w:t>的原则；</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（3）结合矿山实际、实事求是、注重可操作性的原则；</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（4）开采和环境保护与恢复治理同步的原则；</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（5）防治措施应根据环境问题的危险性和危害程度，结合矿山生产情况，</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因地制宜，统筹规划，分期实施，以最小投入获取最大经济、环境效益的原则。</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生态影响综合整治措施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在矿山服务期满前制定总体的、详细的生态恢复规划，对</w:t>
      </w:r>
      <w:r>
        <w:rPr>
          <w:rFonts w:hint="default" w:ascii="Times New Roman" w:hAnsi="Times New Roman" w:eastAsia="宋体" w:cs="Times New Roman"/>
          <w:color w:val="auto"/>
          <w:highlight w:val="none"/>
          <w:lang w:val="en-US" w:eastAsia="zh-CN"/>
        </w:rPr>
        <w:t>矿石临时堆场</w:t>
      </w:r>
      <w:r>
        <w:rPr>
          <w:rFonts w:hint="default" w:ascii="Times New Roman" w:hAnsi="Times New Roman" w:eastAsia="宋体" w:cs="Times New Roman"/>
          <w:color w:val="auto"/>
          <w:highlight w:val="none"/>
        </w:rPr>
        <w:t>、办公区等分别实行相应的恢复措施，按生态恢复方案，进行复垦、植被。</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根据地质环境条件及生态植被生长条件，生态环境保护与恢复治理需进行以下</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个方面的</w:t>
      </w:r>
      <w:r>
        <w:rPr>
          <w:rFonts w:hint="default" w:ascii="Times New Roman" w:hAnsi="Times New Roman" w:eastAsia="宋体" w:cs="Times New Roman"/>
          <w:color w:val="auto"/>
          <w:highlight w:val="none"/>
          <w:lang w:val="en-US" w:eastAsia="zh-CN"/>
        </w:rPr>
        <w:t>措施</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1、剥离表土利用措施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表层土壤是经过多年植物作用而形成的熟化土壤，对于植物种子的萌发和幼</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苗的生长有着重要作用，表土存放会影响土壤的容重、水分等理化性状及生物学性状。故矿山复垦工作应优先利用矿山剥离土，同时在取土过程中做好防护工作，为了保持土壤结构、避免土壤板结，应避免雨季取土。</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2、客土工程措施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客土来源于三部分，其一为矿山生产剩余剥离土，优先用于矿山前期土地复垦工作；其二为拟损毁土地剥离土，同样优先用于矿山前期土地复垦工作；其三为外购土壤，外购土源可直接运至临时存土场，再从临时存土场运输至各复垦单元。由于复垦区土源以棕壤类底层土为主，土壤有机质含量低，块状结构，可在覆土前将期敲碎并进行土壤改良，本项目客土方式为全面客土及穴状客土两种方式。路树的种植则采用人工挖坑、穴状客土的方式。</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3、土地平整措施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对于已经不具备植被生长立地条件的矿山各个复垦单元，需要先对其进行平整，通过土壤覆盖，并采用机械结合人工方式平整，使平整后的坡度满足复垦质量要求。</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4、灌溉工程措施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为保证苗木成活率，达到复垦标准，需在管护期采取灌溉措施，考虑到矿山实际情况，灌溉采取水车拉水方式进行。</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5、生物化学措施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（1）复垦区域植被选择应遵循以下原则：</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1）植物种类筛选</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矿区植被重建的主要任务及目标，同时结合矿区的特殊自然条件，选定的植物要具有以下特性：具有较强的适应脆弱环境的能力，即对于干旱、风害、冻害等不良立地因子具有较强的适应能力。根据当地的种植经验及气候特点，方案选择乔木树种为刺槐；灌木树种为紫穗槐；草籽为紫穗槐和白羊草。</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（2）苗木规格</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刺槐：1年生（地径0.5cm-1.0cm）、2年生（地径1.0cm-2.0cm）苗木；紫穗槐：1年生苗木（地径≥0.5cm），地锦：1年生苗木（地径≥0.5cm）；</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（3）树坑规格</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覆土沉实后，进行植被恢复。穴状整地种植，坑穴规格均为0.5m×0.5m×0.5m。</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（4）密度（播种量）</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种植乔木刺槐株距为1.5m×1.5m，每穴1株；道路种植行距为2.0m，每穴1株。种植灌木紫穗槐株距为1.0m×1.0m，每穴1株。三叶地锦种植株距为0.3m，每穴2株。播种草籽按30kg/hm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（5）栽植方法</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根据当地的气候环境，种植时间最好安排在春季或秋季，在落叶以后到大地封冻之前这段时间进行种植。</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栽植前的准备：树木栽植前应先挖坑，挖坑时，底口的尺寸不得小于上口。幼苗运输过程要避免相互压挤。要选择生长旺盛，长势良好的苗木。</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栽植：裸根苗栽植时，先将苗木扶正，放入坑内，再用土进行回填。在回填了一半土后，轻提苗木使根系舒展，这样能保证树的根系全部朝下。随后填土分层踏实，乔木与原根颈一平。随后进行林间播撒草籽，播撒时，要注意条带均匀，可用细齿耙往返拉松表土，使草籽被土覆盖。</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栽植后管理：在树坑周围用土筑成高于根颈10～15cm的浇水堰，筑实、底平，不应漏水。并及时进行浇水，浇水应缓浇慢渗，而且一定要浇透，使土壤吸足水分。如果出现漏水、土壤下陷和树木倾斜，要及时扶正、培土。在无雨的天气，第一次浇水不能隔夜。</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生态恢复治理方案</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依据《矿产资源开发利用方案》设计矿山服务年限15.78年。根据《矿山储量年度报告》可知，根据动态监测资料显示，由于该矿一直处于停产状态，因此，截止2022年7月矿山剩余服务年限15.78年。</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方案考虑到矿区内大部分破坏单元的治理和复垦工作要在矿山闭坑后方能实施，同时考虑各种不可预见因素、土壤、植被的恢复及植被管护等问题，本方案的服务年限在矿山设计服务年限的基础上延长4年，其中，包括矿山恢复治理与土地复垦期1年，后期监测管护期3年。即本方案服务年限为19.78年，时间自2022年7月至2041年4月。结合矿山开采时序，将治理复垦工作划分为三个阶段：</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第一阶段为2022年7月至2027年6月：</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2022年7月-2023年6月：项目伊始，首先清理露天采场边坡的危岩、浮石，露天采场边坡面积3.0437hm²，清理石方量913m³；对排岩场1、排岩场2、排岩场3、排岩场4底部修建挡土墙191m；沿着露天采场外围和预测塌陷区拉设铁丝网约3300m，并且树立警示牌65个；同时对项目区实施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2）2023年7月-2024年6月：本年度对废弃的露天采坑2、露天采坑3、露天采坑4边坡栽植地锦；对拟建露天采场一370m、350m平台面积为0.4428hm²和拟建露天采场二420m、400m平台面积为0.3794hm²和对排岩场2面积为0.1181 hm²、排岩场4面积为0.2836hm²进行平整、客土；其中对露天采场平台栽植刺槐、排岩场边坡栽植紫穗槐、露天采场边坡栽植地锦进行植被恢复。复垦区总面积为1.2239hm²；同时，实施地质环境监测工作。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3）2024年7月-2025年6月：本年度对拟建露天采场二380m平台面积0.7070 hm²进行平整、客土；对露天采场平台栽植刺槐、露天采场边坡栽植地锦进行植被恢复。复垦区总面积为0.7070hm²；对2023年复垦区进行管护工作，管护面积1.2239hm²，同时，实施地质环境监测工作。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4）2025年7月-2026年6月：本年度对拟建露天采场二+360m平台面积0.2571 hm²进行平整、客土；对露天采场平台栽植刺槐、露天采场边坡栽植地锦进行植被恢复。复垦区总面积为0.2571hm²；对2023年、2024年复垦区进行管护工作，管护面积1.9309hm²，同时，实施地质环境监测工作。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5）2026年7月-2027年6月：本年度对拟建露天采场一330m平台面积为0.3778 hm²和拟建露天采场二340m平台面积为0.2635hm²和对排岩场1面积为0.2425hm²进行平整、客土；对露天采场平台栽植刺槐、排岩场边坡栽植紫穗槐、露天采场边坡栽植地锦进行植被恢复。复垦区总面积为0.8838hm²；对2023年、2024年、2025年复垦区进行管护工作，管护面积2.1880hm²，同时，实施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第二阶段为2027年7月至2037年4月：</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1）2027年7月至2028年6月：为不影响矿山正常生产，本年度矿山需对2024年、2025年、2026年复垦区进行管护工作，管护面积为1.8479hm²，同时实施矿山地质环境监测工作。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2）2028年7月-2029年6月：为不影响矿山正常生产，本年度矿山需对2025年、2026年复垦区进行管护工作，管护面积为1.1409hm²，同时实施矿山地质环境监测工作。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3）2029年7月-2030年6月：本年度对拟建露天采场一310m平台面积1.3212 hm²进行平整、客土；对露天采场平台栽植刺槐、露天采场边坡栽植地锦进行植被恢复。复垦区总面积为1.3212hm²；对2026年复垦区进行管护工作，管护面积为0.8838hm²，同时实施矿山地质环境监测工作。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4）2030年7月-2033年6月：为不影响矿山正常生产，本年度矿山需对2029年复垦区进行管护工作，管护面积为1.3212hm²，同时实施矿山地质环境监测工作。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5）2033年7月-2034年6月：本阶段对拟建露天采场一290m平台面积0.3924hm²进行平整、客土；对露天采场平台栽植刺槐、露天采场边坡栽植地锦进行植被恢复。复垦区总面积为0.3924hm²；同时，实施地质环境监测工作。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6）2034年7月-2037年4月：为不影响矿山正常生产，本年度矿山需对2033年复垦区进行管护工作，管护面积为0.3924hm²，同时实施矿山地质环境监测工作。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第三阶段为2037年5月—2041年4月：</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1）2037年5月至2038年4月：</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阶段矿山进入闭坑治理、复垦及管护期，采取工程手段和生态技术手段进行矿山地质环境治理和土地复垦。对其余未治理和复垦的损毁单元进行矿山地质环境恢复治理和土地复垦。其中包括拟建露天采场一280平台面积1.7177 hm²、4个拟建平硐和2个井口面积0.1029 hm²、地表建筑物设施面积0.0663 hm²、运输道路面积2.0043 hm²、排岩场3面积0.2289hm²，复垦面积为4.1201hm²。</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1）2038年5月-2041年4月：</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对闭坑复垦工程进行管护工作，直到矿山恢复治理后的生态环境趋于稳定。</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管护面积为4.1201hm²。详见表</w:t>
      </w:r>
      <w:r>
        <w:rPr>
          <w:rFonts w:hint="default"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-1。</w:t>
      </w:r>
    </w:p>
    <w:p>
      <w:pPr>
        <w:keepNext w:val="0"/>
        <w:keepLines w:val="0"/>
        <w:pageBreakBefore w:val="0"/>
        <w:widowControl w:val="0"/>
        <w:kinsoku/>
        <w:wordWrap/>
        <w:overflowPunct/>
        <w:topLinePunct w:val="0"/>
        <w:autoSpaceDE/>
        <w:autoSpaceDN/>
        <w:bidi w:val="0"/>
        <w:adjustRightInd w:val="0"/>
        <w:snapToGrid w:val="0"/>
        <w:spacing w:before="253" w:beforeLines="50" w:line="240" w:lineRule="atLeast"/>
        <w:ind w:left="0" w:leftChars="0" w:firstLine="0" w:firstLineChars="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w:t>
      </w:r>
      <w:r>
        <w:rPr>
          <w:rFonts w:hint="eastAsia"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生态环境综合整治实施进度计划</w:t>
      </w:r>
    </w:p>
    <w:tbl>
      <w:tblPr>
        <w:tblStyle w:val="4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5"/>
        <w:gridCol w:w="1542"/>
        <w:gridCol w:w="2326"/>
        <w:gridCol w:w="1083"/>
        <w:gridCol w:w="1243"/>
        <w:gridCol w:w="949"/>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阶段</w:t>
            </w:r>
          </w:p>
        </w:tc>
        <w:tc>
          <w:tcPr>
            <w:tcW w:w="83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治理复垦年度</w:t>
            </w:r>
          </w:p>
        </w:tc>
        <w:tc>
          <w:tcPr>
            <w:tcW w:w="1252"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治理复垦位置</w:t>
            </w:r>
          </w:p>
        </w:tc>
        <w:tc>
          <w:tcPr>
            <w:tcW w:w="1763" w:type="pct"/>
            <w:gridSpan w:val="3"/>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主要工程措施</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主要工程量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第一阶段</w:t>
            </w: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2022年7月-2023年6月</w:t>
            </w:r>
          </w:p>
        </w:tc>
        <w:tc>
          <w:tcPr>
            <w:tcW w:w="1252"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露天采场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危岩清理</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表土剥离</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露天采场外围</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预测塌陷区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警示牌</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块</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铁丝网</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排岩场</w:t>
            </w:r>
          </w:p>
        </w:tc>
        <w:tc>
          <w:tcPr>
            <w:tcW w:w="583"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挡土墙</w:t>
            </w:r>
          </w:p>
        </w:tc>
        <w:tc>
          <w:tcPr>
            <w:tcW w:w="66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挖方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583"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6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浆砌</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583"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截水沟</w:t>
            </w:r>
          </w:p>
        </w:tc>
        <w:tc>
          <w:tcPr>
            <w:tcW w:w="66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挖方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583"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66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浆砌</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2023年7月-2024年6月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废弃露天采场2、露天采场3、露天采场4</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拟建露天采场二420m、400m平台</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拟建露天采场一370m、350m平台、排岩场2、排岩场4</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平整土方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平整石方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客土工程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灌溉工程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紫穗槐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三叶地锦</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6420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草籽</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1.2239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2024年7月-2025年6月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拟建露天采场二380m平台</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平整土方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平整石方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客土工程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灌溉工程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三叶地锦</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草籽</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0.7070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土地复垦工程管护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1.2239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2025年7月-2026年6月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拟建露天采场二360m平台</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平整土方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平整石方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客土工程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灌溉工程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三叶地锦</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草籽</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0.2571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土地复垦工程管护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1.9309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2026年7月-2027年6月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拟建露天采场一330m平台、拟建露天采场二340m平台、</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排岩场1</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平整土方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平整石方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客土工程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灌溉工程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紫穗槐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三叶地锦</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4707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草籽</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0.8838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土地复垦工程管护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2.1880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第二阶段</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段</w:t>
            </w: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2027年7月-2028年6月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土地复垦工程管护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1.8479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2028年7月-2029年6月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土地复垦工程管护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1.1409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2029年7月-2030年6月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拟建露天采场一310m平台</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平整土方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6606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平整石方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客土工程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6606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灌溉工程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5872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三叶地锦</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草籽</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1.3212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土地复垦工程管护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0.8838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2030年7月-2033年6月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土地复垦工程管护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1.3212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2033年7月-2034年6月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拟建露天采场一290m平台</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平整土方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平整石方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客土工程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灌溉工程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三叶地锦</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草籽</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0.3924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2034年7月-2037年4月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矿山地质环境监测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点</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土地复垦工程管护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3*0.3924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第三阶段</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段</w:t>
            </w:r>
          </w:p>
        </w:tc>
        <w:tc>
          <w:tcPr>
            <w:tcW w:w="830"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2037年5月-2038年4月</w:t>
            </w:r>
          </w:p>
        </w:tc>
        <w:tc>
          <w:tcPr>
            <w:tcW w:w="125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地表建筑物设施</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运输道路</w:t>
            </w:r>
          </w:p>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拟建露天采场一280m平台、</w:t>
            </w:r>
          </w:p>
          <w:p>
            <w:pPr>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4个拟建平硐和2个井口</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井硐回填</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井口封堵</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平整土方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10580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平整石方</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客土工程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灌溉工程</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刺槐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13735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紫穗槐</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三叶地锦</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株</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草籽</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2.1158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建筑物拆除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m³</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blHeader/>
        </w:trPr>
        <w:tc>
          <w:tcPr>
            <w:tcW w:w="234" w:type="pct"/>
            <w:vMerge w:val="continue"/>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30"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2038年5月-2041年4月</w:t>
            </w:r>
          </w:p>
        </w:tc>
        <w:tc>
          <w:tcPr>
            <w:tcW w:w="1252"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复垦区</w:t>
            </w:r>
          </w:p>
        </w:tc>
        <w:tc>
          <w:tcPr>
            <w:tcW w:w="1252" w:type="pct"/>
            <w:gridSpan w:val="2"/>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管护</w:t>
            </w:r>
          </w:p>
        </w:tc>
        <w:tc>
          <w:tcPr>
            <w:tcW w:w="511"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年*hm²</w:t>
            </w:r>
          </w:p>
        </w:tc>
        <w:tc>
          <w:tcPr>
            <w:tcW w:w="918"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3*4.1201</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22"/>
        <w:jc w:val="both"/>
        <w:textAlignment w:val="auto"/>
        <w:rPr>
          <w:rFonts w:hint="default" w:ascii="Times New Roman" w:hAnsi="Times New Roman" w:eastAsia="宋体" w:cs="Times New Roman"/>
          <w:color w:val="auto"/>
          <w:highlight w:val="none"/>
        </w:rPr>
      </w:pPr>
    </w:p>
    <w:p>
      <w:pPr>
        <w:keepNext w:val="0"/>
        <w:keepLines w:val="0"/>
        <w:pageBreakBefore w:val="0"/>
        <w:widowControl w:val="0"/>
        <w:kinsoku/>
        <w:wordWrap/>
        <w:overflowPunct/>
        <w:topLinePunct w:val="0"/>
        <w:autoSpaceDE/>
        <w:autoSpaceDN/>
        <w:bidi w:val="0"/>
        <w:adjustRightInd w:val="0"/>
        <w:snapToGrid w:val="0"/>
        <w:spacing w:line="360" w:lineRule="auto"/>
        <w:ind w:firstLine="422"/>
        <w:jc w:val="both"/>
        <w:textAlignment w:val="auto"/>
        <w:rPr>
          <w:rFonts w:hint="default" w:ascii="Times New Roman" w:hAnsi="Times New Roman" w:eastAsia="宋体" w:cs="Times New Roman"/>
          <w:color w:val="auto"/>
          <w:highlight w:val="none"/>
        </w:rPr>
        <w:sectPr>
          <w:pgSz w:w="11907" w:h="16840"/>
          <w:pgMar w:top="1418" w:right="1418" w:bottom="158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ind w:firstLine="0" w:firstLineChars="0"/>
        <w:jc w:val="center"/>
        <w:rPr>
          <w:rFonts w:hint="default" w:ascii="Times New Roman" w:hAnsi="Times New Roman" w:eastAsia="宋体" w:cs="Times New Roman"/>
          <w:b/>
          <w:bCs/>
          <w:color w:val="auto"/>
          <w:highlight w:val="none"/>
          <w:lang w:val="en-US" w:eastAsia="zh-CN"/>
        </w:rPr>
      </w:pPr>
      <w:r>
        <w:rPr>
          <w:color w:val="auto"/>
        </w:rPr>
        <w:drawing>
          <wp:inline distT="0" distB="0" distL="114300" distR="114300">
            <wp:extent cx="11885295" cy="8413750"/>
            <wp:effectExtent l="0" t="0" r="1905" b="6350"/>
            <wp:docPr id="10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4"/>
                    <pic:cNvPicPr>
                      <a:picLocks noChangeAspect="1"/>
                    </pic:cNvPicPr>
                  </pic:nvPicPr>
                  <pic:blipFill>
                    <a:blip r:embed="rId115"/>
                    <a:stretch>
                      <a:fillRect/>
                    </a:stretch>
                  </pic:blipFill>
                  <pic:spPr>
                    <a:xfrm>
                      <a:off x="0" y="0"/>
                      <a:ext cx="11885295" cy="8413750"/>
                    </a:xfrm>
                    <a:prstGeom prst="rect">
                      <a:avLst/>
                    </a:prstGeom>
                    <a:noFill/>
                    <a:ln>
                      <a:noFill/>
                    </a:ln>
                  </pic:spPr>
                </pic:pic>
              </a:graphicData>
            </a:graphic>
          </wp:inline>
        </w:drawing>
      </w:r>
    </w:p>
    <w:p>
      <w:pPr>
        <w:ind w:firstLine="0" w:firstLineChars="0"/>
        <w:jc w:val="center"/>
        <w:rPr>
          <w:rFonts w:hint="default" w:ascii="Times New Roman" w:hAnsi="Times New Roman" w:eastAsia="宋体" w:cs="Times New Roman"/>
          <w:b/>
          <w:bCs/>
          <w:color w:val="auto"/>
          <w:highlight w:val="none"/>
          <w:lang w:val="en-US" w:eastAsia="zh-CN"/>
        </w:rPr>
        <w:sectPr>
          <w:pgSz w:w="23811" w:h="16838" w:orient="landscape"/>
          <w:pgMar w:top="1418" w:right="1418" w:bottom="1418" w:left="158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bCs/>
          <w:color w:val="auto"/>
          <w:highlight w:val="none"/>
          <w:lang w:val="en-US" w:eastAsia="zh-CN"/>
        </w:rPr>
        <w:t>图5.</w:t>
      </w:r>
      <w:r>
        <w:rPr>
          <w:rFonts w:hint="eastAsia"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-1项目生态恢复时段分布图</w:t>
      </w:r>
    </w:p>
    <w:p>
      <w:pPr>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drawing>
          <wp:inline distT="0" distB="0" distL="114300" distR="114300">
            <wp:extent cx="12024360" cy="8486775"/>
            <wp:effectExtent l="0" t="0" r="15240" b="9525"/>
            <wp:docPr id="340" name="图片 340" descr="05-岫岩满族自治县苏子沟镇大何家堡子村钾长石矿矿区土地复垦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05-岫岩满族自治县苏子沟镇大何家堡子村钾长石矿矿区土地复垦规划图"/>
                    <pic:cNvPicPr>
                      <a:picLocks noChangeAspect="1"/>
                    </pic:cNvPicPr>
                  </pic:nvPicPr>
                  <pic:blipFill>
                    <a:blip r:embed="rId116"/>
                    <a:srcRect t="3835"/>
                    <a:stretch>
                      <a:fillRect/>
                    </a:stretch>
                  </pic:blipFill>
                  <pic:spPr>
                    <a:xfrm>
                      <a:off x="0" y="0"/>
                      <a:ext cx="12024360" cy="8486775"/>
                    </a:xfrm>
                    <a:prstGeom prst="rect">
                      <a:avLst/>
                    </a:prstGeom>
                  </pic:spPr>
                </pic:pic>
              </a:graphicData>
            </a:graphic>
          </wp:inline>
        </w:drawing>
      </w:r>
    </w:p>
    <w:p>
      <w:pPr>
        <w:ind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图5.</w:t>
      </w:r>
      <w:r>
        <w:rPr>
          <w:rFonts w:hint="eastAsia"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val="en-US" w:eastAsia="zh-CN"/>
        </w:rPr>
        <w:t>项目</w:t>
      </w:r>
      <w:r>
        <w:rPr>
          <w:rFonts w:hint="eastAsia" w:ascii="Times New Roman" w:hAnsi="Times New Roman" w:eastAsia="宋体" w:cs="Times New Roman"/>
          <w:b/>
          <w:bCs/>
          <w:color w:val="auto"/>
          <w:highlight w:val="none"/>
          <w:lang w:val="en-US" w:eastAsia="zh-CN"/>
        </w:rPr>
        <w:t>矿山地质环境治理工程部署图</w:t>
      </w:r>
      <w:r>
        <w:rPr>
          <w:rFonts w:hint="eastAsia" w:cs="Times New Roman"/>
          <w:b/>
          <w:bCs/>
          <w:color w:val="auto"/>
          <w:highlight w:val="none"/>
          <w:lang w:val="en-US" w:eastAsia="zh-CN"/>
        </w:rPr>
        <w:t>1</w:t>
      </w:r>
    </w:p>
    <w:p>
      <w:pPr>
        <w:ind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drawing>
          <wp:inline distT="0" distB="0" distL="114300" distR="114300">
            <wp:extent cx="11462385" cy="8533130"/>
            <wp:effectExtent l="0" t="0" r="5715" b="1270"/>
            <wp:docPr id="298" name="图片 298" descr="06-岫岩满族自治县苏子沟镇大何家堡子村钾长石矿矿山地质环境治理工程部署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06-岫岩满族自治县苏子沟镇大何家堡子村钾长石矿矿山地质环境治理工程部署图"/>
                    <pic:cNvPicPr>
                      <a:picLocks noChangeAspect="1"/>
                    </pic:cNvPicPr>
                  </pic:nvPicPr>
                  <pic:blipFill>
                    <a:blip r:embed="rId117"/>
                    <a:srcRect t="4591"/>
                    <a:stretch>
                      <a:fillRect/>
                    </a:stretch>
                  </pic:blipFill>
                  <pic:spPr>
                    <a:xfrm>
                      <a:off x="0" y="0"/>
                      <a:ext cx="11462385" cy="8533130"/>
                    </a:xfrm>
                    <a:prstGeom prst="rect">
                      <a:avLst/>
                    </a:prstGeom>
                  </pic:spPr>
                </pic:pic>
              </a:graphicData>
            </a:graphic>
          </wp:inline>
        </w:drawing>
      </w:r>
    </w:p>
    <w:p>
      <w:pPr>
        <w:ind w:firstLine="0" w:firstLineChars="0"/>
        <w:jc w:val="center"/>
        <w:rPr>
          <w:rFonts w:hint="default" w:ascii="Times New Roman" w:hAnsi="Times New Roman" w:eastAsia="宋体" w:cs="Times New Roman"/>
          <w:color w:val="auto"/>
          <w:sz w:val="21"/>
          <w:szCs w:val="21"/>
          <w:highlight w:val="none"/>
          <w:lang w:val="en-US"/>
        </w:rPr>
      </w:pPr>
      <w:r>
        <w:rPr>
          <w:rFonts w:hint="default" w:ascii="Times New Roman" w:hAnsi="Times New Roman" w:eastAsia="宋体" w:cs="Times New Roman"/>
          <w:b/>
          <w:bCs/>
          <w:color w:val="auto"/>
          <w:highlight w:val="none"/>
          <w:lang w:val="en-US" w:eastAsia="zh-CN"/>
        </w:rPr>
        <w:t>图5.</w:t>
      </w:r>
      <w:r>
        <w:rPr>
          <w:rFonts w:hint="eastAsia"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w:t>
      </w:r>
      <w:r>
        <w:rPr>
          <w:rFonts w:hint="eastAsia"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lang w:val="en-US" w:eastAsia="zh-CN"/>
        </w:rPr>
        <w:t>项目</w:t>
      </w:r>
      <w:r>
        <w:rPr>
          <w:rFonts w:hint="eastAsia" w:ascii="Times New Roman" w:hAnsi="Times New Roman" w:eastAsia="宋体" w:cs="Times New Roman"/>
          <w:b/>
          <w:bCs/>
          <w:color w:val="auto"/>
          <w:highlight w:val="none"/>
          <w:lang w:val="en-US" w:eastAsia="zh-CN"/>
        </w:rPr>
        <w:t>矿山地质环境治理工程部署图2</w:t>
      </w:r>
    </w:p>
    <w:p>
      <w:pPr>
        <w:pStyle w:val="37"/>
        <w:rPr>
          <w:rFonts w:hint="default" w:ascii="Times New Roman" w:hAnsi="Times New Roman" w:eastAsia="宋体" w:cs="Times New Roman"/>
          <w:color w:val="auto"/>
          <w:highlight w:val="none"/>
        </w:rPr>
        <w:sectPr>
          <w:pgSz w:w="23811" w:h="16838" w:orient="landscape"/>
          <w:pgMar w:top="1418" w:right="1418" w:bottom="1418" w:left="158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生态恢复治理措施投资</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综合各治理区复垦单元的工作计划，确定各个阶段治理复垦总投资。</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根据《岫岩满族自治县苏子沟镇大何家堡村钾长石矿矿山地质环境保护与土地复垦方案》</w:t>
      </w:r>
      <w:r>
        <w:rPr>
          <w:rFonts w:hint="default" w:ascii="Times New Roman" w:hAnsi="Times New Roman" w:eastAsia="宋体" w:cs="Times New Roman"/>
          <w:color w:val="auto"/>
          <w:highlight w:val="none"/>
        </w:rPr>
        <w:t>，岫岩满族自治县苏子沟镇大何家堡村钾长石矿前5年矿山地质环境恢复治理工程静态投资81.7376万元，动态投资83.5777万元；矿山服务期内矿山地质环境恢复治理工程静态投资149.6898元，动态投资179.1290万元。</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经估算，岫岩满族自治县苏子沟镇大何家堡村钾长石矿前5年内土地复垦工程静态投资66.9000万元，动态投资71.7011万元；矿山服务期内土地复垦工程静态投资193.3131万元，动态投资257.5777万元。</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岫岩满族自治县苏子沟镇大何家堡村钾长石矿矿山地质环境保护与土地复垦方案前5年内静态投资总额为148.6376万元、动态投资总额为155.2781万元；矿山服务期限内静态投资总额为343.0029万元、动态投资总额为436.7067万元。</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矿山地质环境保护与土地复垦总费用构成汇总见表</w:t>
      </w:r>
      <w:r>
        <w:rPr>
          <w:rFonts w:hint="default"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 xml:space="preserve">表 </w:t>
      </w:r>
      <w:r>
        <w:rPr>
          <w:rFonts w:hint="default" w:ascii="Times New Roman" w:hAnsi="Times New Roman" w:eastAsia="宋体" w:cs="Times New Roman"/>
          <w:b/>
          <w:color w:val="auto"/>
          <w:sz w:val="21"/>
          <w:szCs w:val="21"/>
          <w:highlight w:val="none"/>
          <w:lang w:val="en-US" w:eastAsia="zh-CN"/>
        </w:rPr>
        <w:t>5.</w:t>
      </w:r>
      <w:r>
        <w:rPr>
          <w:rFonts w:hint="eastAsia"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rPr>
        <w:t xml:space="preserve">  矿山地质环境保护与土地复垦总费用汇总见表</w:t>
      </w:r>
    </w:p>
    <w:tbl>
      <w:tblPr>
        <w:tblStyle w:val="45"/>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55"/>
        <w:gridCol w:w="1732"/>
        <w:gridCol w:w="1701"/>
        <w:gridCol w:w="1812"/>
        <w:gridCol w:w="18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127" w:type="pct"/>
            <w:vMerge w:val="restar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费用构成</w:t>
            </w:r>
          </w:p>
        </w:tc>
        <w:tc>
          <w:tcPr>
            <w:tcW w:w="1883" w:type="pct"/>
            <w:gridSpan w:val="2"/>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近五年投资（万元）</w:t>
            </w:r>
          </w:p>
        </w:tc>
        <w:tc>
          <w:tcPr>
            <w:tcW w:w="1989" w:type="pct"/>
            <w:gridSpan w:val="2"/>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方案服务期投资（万元）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127" w:type="pct"/>
            <w:vMerge w:val="continue"/>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p>
        </w:tc>
        <w:tc>
          <w:tcPr>
            <w:tcW w:w="950"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静态投资</w:t>
            </w:r>
          </w:p>
        </w:tc>
        <w:tc>
          <w:tcPr>
            <w:tcW w:w="932"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动态投资</w:t>
            </w:r>
          </w:p>
        </w:tc>
        <w:tc>
          <w:tcPr>
            <w:tcW w:w="994"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静态投资</w:t>
            </w:r>
          </w:p>
        </w:tc>
        <w:tc>
          <w:tcPr>
            <w:tcW w:w="994"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动态投资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127"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环境恢复治理费用</w:t>
            </w:r>
          </w:p>
        </w:tc>
        <w:tc>
          <w:tcPr>
            <w:tcW w:w="950"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81.7376</w:t>
            </w:r>
          </w:p>
        </w:tc>
        <w:tc>
          <w:tcPr>
            <w:tcW w:w="932"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83.5777</w:t>
            </w:r>
          </w:p>
        </w:tc>
        <w:tc>
          <w:tcPr>
            <w:tcW w:w="994"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149.6898</w:t>
            </w:r>
          </w:p>
        </w:tc>
        <w:tc>
          <w:tcPr>
            <w:tcW w:w="994"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179.1290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127"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土地复垦</w:t>
            </w:r>
          </w:p>
        </w:tc>
        <w:tc>
          <w:tcPr>
            <w:tcW w:w="950"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66.9000</w:t>
            </w:r>
          </w:p>
        </w:tc>
        <w:tc>
          <w:tcPr>
            <w:tcW w:w="932"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71.7011</w:t>
            </w:r>
          </w:p>
        </w:tc>
        <w:tc>
          <w:tcPr>
            <w:tcW w:w="994"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193.3131</w:t>
            </w:r>
          </w:p>
        </w:tc>
        <w:tc>
          <w:tcPr>
            <w:tcW w:w="994"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257.5777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jc w:val="center"/>
        </w:trPr>
        <w:tc>
          <w:tcPr>
            <w:tcW w:w="1127"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总费用</w:t>
            </w:r>
          </w:p>
        </w:tc>
        <w:tc>
          <w:tcPr>
            <w:tcW w:w="950"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148.6376</w:t>
            </w:r>
          </w:p>
        </w:tc>
        <w:tc>
          <w:tcPr>
            <w:tcW w:w="932"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155.2781</w:t>
            </w:r>
          </w:p>
        </w:tc>
        <w:tc>
          <w:tcPr>
            <w:tcW w:w="994"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343.0029</w:t>
            </w:r>
          </w:p>
        </w:tc>
        <w:tc>
          <w:tcPr>
            <w:tcW w:w="994" w:type="pct"/>
            <w:tcBorders>
              <w:tl2br w:val="nil"/>
              <w:tr2bl w:val="nil"/>
            </w:tcBorders>
            <w:shd w:val="clear" w:color="auto" w:fill="auto"/>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436.7067</w:t>
            </w:r>
          </w:p>
        </w:tc>
      </w:tr>
    </w:tbl>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按照治理工程与采矿工程相结合的原则，根据岫岩满族自治县苏子沟镇大何家堡村钾长石矿矿山环境治理目标和治理规划，根据矿山地质环境恢复治理工程和土地复垦工程投资估算成果，最终确定矿山地质环境恢复治理工程与土地复垦工程近期费用安排，详见表</w:t>
      </w:r>
      <w:r>
        <w:rPr>
          <w:rFonts w:hint="default"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-4。</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w:t>
      </w:r>
      <w:r>
        <w:rPr>
          <w:rFonts w:hint="eastAsia"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 xml:space="preserve">  近期矿山环境治理工程费用年度安排表</w:t>
      </w:r>
    </w:p>
    <w:tbl>
      <w:tblPr>
        <w:tblStyle w:val="45"/>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3"/>
        <w:gridCol w:w="1497"/>
        <w:gridCol w:w="815"/>
        <w:gridCol w:w="817"/>
        <w:gridCol w:w="954"/>
        <w:gridCol w:w="1223"/>
        <w:gridCol w:w="1223"/>
        <w:gridCol w:w="13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阶段时间</w:t>
            </w: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治理位置</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主要工程措施</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工程量</w:t>
            </w:r>
          </w:p>
        </w:tc>
        <w:tc>
          <w:tcPr>
            <w:tcW w:w="67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年静态投资</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（万元）</w:t>
            </w:r>
          </w:p>
        </w:tc>
        <w:tc>
          <w:tcPr>
            <w:tcW w:w="67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价差预备费</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（万元）</w:t>
            </w:r>
          </w:p>
        </w:tc>
        <w:tc>
          <w:tcPr>
            <w:tcW w:w="746"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年动态投资</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2022年7月-2023年6月</w:t>
            </w: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露天采场</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危岩清理</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913m³</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57.0259</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c>
          <w:tcPr>
            <w:tcW w:w="746"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57.0259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露天采场外围、预测塌陷区</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警示牌</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65块</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铁丝网</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3300m</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排岩场</w:t>
            </w:r>
          </w:p>
        </w:tc>
        <w:tc>
          <w:tcPr>
            <w:tcW w:w="447"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挡土墙</w:t>
            </w:r>
          </w:p>
        </w:tc>
        <w:tc>
          <w:tcPr>
            <w:tcW w:w="448"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挖方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113m³</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9"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447"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448"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浆砌</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372 m³</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447"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截水沟</w:t>
            </w:r>
          </w:p>
        </w:tc>
        <w:tc>
          <w:tcPr>
            <w:tcW w:w="448"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挖方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74</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447"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448"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浆砌</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36</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矿山地质环境监测</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27个</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2023年7月-2024年6月</w:t>
            </w: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拟建露天采场二420m、400m平台</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拟建露天采场一370m、350m平台、排岩场2、排岩场4</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平整石方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2448m³</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7.5675</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0.2270</w:t>
            </w:r>
          </w:p>
        </w:tc>
        <w:tc>
          <w:tcPr>
            <w:tcW w:w="746"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7.7945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矿山地质环境监测</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27个</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2024年7月-2025年6月</w:t>
            </w: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拟建露天采场二380m平台</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平整石方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1414m³</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5.9921</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0.3649</w:t>
            </w:r>
          </w:p>
        </w:tc>
        <w:tc>
          <w:tcPr>
            <w:tcW w:w="746"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6.3570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矿山地质环境监测</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27个</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2025年7月-2026年6月</w:t>
            </w: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拟建露天采场360m平台</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平整石方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514m³</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4.6207</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0.4285</w:t>
            </w:r>
          </w:p>
        </w:tc>
        <w:tc>
          <w:tcPr>
            <w:tcW w:w="746"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5.0492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矿山地质环境监测</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27个</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2026年7月-2027年6月</w:t>
            </w: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拟建露天采场一330m平台、拟建露天采场340m平台、排岩场1</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平整石方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1768m³</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6.5314</w:t>
            </w:r>
          </w:p>
        </w:tc>
        <w:tc>
          <w:tcPr>
            <w:tcW w:w="67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0.8197</w:t>
            </w:r>
          </w:p>
        </w:tc>
        <w:tc>
          <w:tcPr>
            <w:tcW w:w="746"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7.3511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82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矿山地质环境监测</w:t>
            </w:r>
          </w:p>
        </w:tc>
        <w:tc>
          <w:tcPr>
            <w:tcW w:w="895" w:type="pct"/>
            <w:gridSpan w:val="2"/>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w:t>
            </w:r>
          </w:p>
        </w:tc>
        <w:tc>
          <w:tcPr>
            <w:tcW w:w="522"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27个</w:t>
            </w: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6"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67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合计</w:t>
            </w:r>
          </w:p>
        </w:tc>
        <w:tc>
          <w:tcPr>
            <w:tcW w:w="2239" w:type="pct"/>
            <w:gridSpan w:val="4"/>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81.7376</w:t>
            </w:r>
          </w:p>
        </w:tc>
        <w:tc>
          <w:tcPr>
            <w:tcW w:w="67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1.8401</w:t>
            </w:r>
          </w:p>
        </w:tc>
        <w:tc>
          <w:tcPr>
            <w:tcW w:w="746"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83.5777</w:t>
            </w:r>
          </w:p>
        </w:tc>
      </w:tr>
    </w:tbl>
    <w:p>
      <w:pPr>
        <w:spacing w:line="240" w:lineRule="auto"/>
        <w:ind w:firstLine="422"/>
        <w:jc w:val="center"/>
        <w:rPr>
          <w:rFonts w:hint="default" w:ascii="Times New Roman" w:hAnsi="Times New Roman" w:eastAsia="宋体" w:cs="Times New Roman"/>
          <w:b/>
          <w:color w:val="auto"/>
          <w:sz w:val="21"/>
          <w:szCs w:val="21"/>
          <w:highlight w:val="none"/>
        </w:rPr>
      </w:pP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w:t>
      </w:r>
      <w:r>
        <w:rPr>
          <w:rFonts w:hint="eastAsia"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lang w:val="en-US" w:eastAsia="zh-CN"/>
        </w:rPr>
        <w:t>-4</w:t>
      </w:r>
      <w:r>
        <w:rPr>
          <w:rFonts w:hint="default" w:ascii="Times New Roman" w:hAnsi="Times New Roman" w:eastAsia="宋体" w:cs="Times New Roman"/>
          <w:b/>
          <w:color w:val="auto"/>
          <w:sz w:val="21"/>
          <w:szCs w:val="21"/>
          <w:highlight w:val="none"/>
        </w:rPr>
        <w:t xml:space="preserve"> 近期矿山土地复垦工程费用年度安排表</w:t>
      </w:r>
    </w:p>
    <w:tbl>
      <w:tblPr>
        <w:tblStyle w:val="45"/>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91"/>
        <w:gridCol w:w="1325"/>
        <w:gridCol w:w="1631"/>
        <w:gridCol w:w="1167"/>
        <w:gridCol w:w="1188"/>
        <w:gridCol w:w="1186"/>
        <w:gridCol w:w="132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3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阶段时间</w:t>
            </w:r>
          </w:p>
        </w:tc>
        <w:tc>
          <w:tcPr>
            <w:tcW w:w="749"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复垦位置</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主要工程措施</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工程量</w:t>
            </w:r>
          </w:p>
        </w:tc>
        <w:tc>
          <w:tcPr>
            <w:tcW w:w="674"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年静态投资</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（万元）</w:t>
            </w:r>
          </w:p>
        </w:tc>
        <w:tc>
          <w:tcPr>
            <w:tcW w:w="673" w:type="pct"/>
            <w:tcBorders>
              <w:tl2br w:val="nil"/>
              <w:tr2bl w:val="nil"/>
            </w:tcBorders>
            <w:noWrap w:val="0"/>
            <w:vAlign w:val="top"/>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价差预备费</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（万元）</w:t>
            </w:r>
          </w:p>
        </w:tc>
        <w:tc>
          <w:tcPr>
            <w:tcW w:w="749"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年动态投资</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73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2022年7月-20236月</w:t>
            </w:r>
          </w:p>
        </w:tc>
        <w:tc>
          <w:tcPr>
            <w:tcW w:w="749"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表土剥离工程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24113m³</w:t>
            </w:r>
          </w:p>
        </w:tc>
        <w:tc>
          <w:tcPr>
            <w:tcW w:w="674"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673"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749"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3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2023年7月-2024年6月</w:t>
            </w:r>
          </w:p>
        </w:tc>
        <w:tc>
          <w:tcPr>
            <w:tcW w:w="749"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拟建露天采场二420m、400m平台</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拟建露天采场一370m、350m平台、排岩场2、排岩场4</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平整土方</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6120m³</w:t>
            </w:r>
          </w:p>
        </w:tc>
        <w:tc>
          <w:tcPr>
            <w:tcW w:w="674"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25.2972</w:t>
            </w:r>
          </w:p>
        </w:tc>
        <w:tc>
          <w:tcPr>
            <w:tcW w:w="673"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0.7589</w:t>
            </w:r>
          </w:p>
        </w:tc>
        <w:tc>
          <w:tcPr>
            <w:tcW w:w="749"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26.0561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客土工程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6120m³</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灌溉工程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902m³</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刺槐</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4446株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紫穗槐</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2236</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7"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三叶地锦</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6420株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草籽</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1.2239hm2</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3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2024年7月-2025年6月</w:t>
            </w:r>
          </w:p>
        </w:tc>
        <w:tc>
          <w:tcPr>
            <w:tcW w:w="749"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拟建露天采场二380m平台</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平整土方</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3535m³</w:t>
            </w:r>
          </w:p>
        </w:tc>
        <w:tc>
          <w:tcPr>
            <w:tcW w:w="674"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14.8115</w:t>
            </w:r>
          </w:p>
        </w:tc>
        <w:tc>
          <w:tcPr>
            <w:tcW w:w="673"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0.902</w:t>
            </w:r>
          </w:p>
        </w:tc>
        <w:tc>
          <w:tcPr>
            <w:tcW w:w="749"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15.7135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7"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客土工程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3535m³</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灌溉工程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535m³</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刺槐</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3142株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三叶地锦</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1832株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复垦区</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管护</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1.2239hm²</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2025年7月-2026年6月</w:t>
            </w:r>
          </w:p>
        </w:tc>
        <w:tc>
          <w:tcPr>
            <w:tcW w:w="749"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拟建露天采场360m平台</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平整土方</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1286m³</w:t>
            </w:r>
          </w:p>
        </w:tc>
        <w:tc>
          <w:tcPr>
            <w:tcW w:w="674"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6.7805</w:t>
            </w:r>
          </w:p>
        </w:tc>
        <w:tc>
          <w:tcPr>
            <w:tcW w:w="673"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0.6287</w:t>
            </w:r>
          </w:p>
        </w:tc>
        <w:tc>
          <w:tcPr>
            <w:tcW w:w="749"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7.4092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客土工程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1286m³</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灌溉工程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195 m³</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刺槐</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1145株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三叶地锦</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1193株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草籽</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0.2571hm²</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复垦区</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管护</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1.9309hm²</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2026年7月-2027年6月</w:t>
            </w:r>
          </w:p>
        </w:tc>
        <w:tc>
          <w:tcPr>
            <w:tcW w:w="749"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拟建露天采场一330m平台、拟建露天采场二340m平台、</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排岩场1</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平整土方</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4419m³</w:t>
            </w:r>
          </w:p>
        </w:tc>
        <w:tc>
          <w:tcPr>
            <w:tcW w:w="674"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20.0108</w:t>
            </w:r>
          </w:p>
        </w:tc>
        <w:tc>
          <w:tcPr>
            <w:tcW w:w="673"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2.5115</w:t>
            </w:r>
          </w:p>
        </w:tc>
        <w:tc>
          <w:tcPr>
            <w:tcW w:w="749" w:type="pct"/>
            <w:vMerge w:val="restar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22.5223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客土工程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44190m³</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灌溉工程</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650m³</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刺槐</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3410株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紫穗槐</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1165株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三叶地锦</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4707株</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草籽</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0.8838hm2</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14" w:hRule="atLeast"/>
        </w:trPr>
        <w:tc>
          <w:tcPr>
            <w:tcW w:w="731"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复垦区</w:t>
            </w:r>
          </w:p>
        </w:tc>
        <w:tc>
          <w:tcPr>
            <w:tcW w:w="917"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管护</w:t>
            </w:r>
          </w:p>
        </w:tc>
        <w:tc>
          <w:tcPr>
            <w:tcW w:w="505"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2.1880hm²</w:t>
            </w:r>
          </w:p>
        </w:tc>
        <w:tc>
          <w:tcPr>
            <w:tcW w:w="674"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3"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749" w:type="pct"/>
            <w:vMerge w:val="continue"/>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31"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合计</w:t>
            </w:r>
          </w:p>
        </w:tc>
        <w:tc>
          <w:tcPr>
            <w:tcW w:w="2171" w:type="pct"/>
            <w:gridSpan w:val="3"/>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p>
        </w:tc>
        <w:tc>
          <w:tcPr>
            <w:tcW w:w="674"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66.9000</w:t>
            </w:r>
          </w:p>
        </w:tc>
        <w:tc>
          <w:tcPr>
            <w:tcW w:w="673"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4.8011</w:t>
            </w:r>
          </w:p>
        </w:tc>
        <w:tc>
          <w:tcPr>
            <w:tcW w:w="749" w:type="pct"/>
            <w:tcBorders>
              <w:tl2br w:val="nil"/>
              <w:tr2bl w:val="nil"/>
            </w:tcBorders>
            <w:noWrap w:val="0"/>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71.7011</w:t>
            </w:r>
          </w:p>
        </w:tc>
      </w:tr>
    </w:tbl>
    <w:p>
      <w:pPr>
        <w:pStyle w:val="5"/>
        <w:bidi w:val="0"/>
        <w:rPr>
          <w:rFonts w:hint="default" w:ascii="Times New Roman" w:hAnsi="Times New Roman" w:eastAsia="宋体" w:cs="Times New Roman"/>
          <w:color w:val="auto"/>
          <w:highlight w:val="none"/>
          <w:lang w:val="en-US" w:eastAsia="zh-CN"/>
        </w:rPr>
      </w:pPr>
      <w:bookmarkStart w:id="323" w:name="_Toc15376198"/>
      <w:r>
        <w:rPr>
          <w:rFonts w:hint="default" w:ascii="Times New Roman" w:hAnsi="Times New Roman" w:eastAsia="宋体" w:cs="Times New Roman"/>
          <w:color w:val="auto"/>
          <w:highlight w:val="none"/>
          <w:lang w:val="en-US" w:eastAsia="zh-CN"/>
        </w:rPr>
        <w:t>生态管理和监控</w:t>
      </w:r>
      <w:bookmarkEnd w:id="323"/>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生态环境管理和监控是政府环境保护机构依据国家和地方制订的有关自然资源和生态保护的法律、法规、条例、技术规范、标准等所进行的行政工作，应成为本项目日常工作的一个重要组成部分。</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1、生态管理及监控内容</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根据项目建设的性质、规模、生态影响的程度和范围、项目所在地的自然、经济、社会等因素提出生态管理及监控内容为：</w:t>
      </w:r>
    </w:p>
    <w:p>
      <w:pPr>
        <w:numPr>
          <w:ilvl w:val="0"/>
          <w:numId w:val="1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防止区域内自然体系生产能力进一步下降；</w:t>
      </w:r>
    </w:p>
    <w:p>
      <w:pPr>
        <w:numPr>
          <w:ilvl w:val="0"/>
          <w:numId w:val="1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防止区域内水资源遭到破坏；</w:t>
      </w:r>
    </w:p>
    <w:p>
      <w:pPr>
        <w:numPr>
          <w:ilvl w:val="0"/>
          <w:numId w:val="1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防止区域水土流失、沙漠化日趋严重；</w:t>
      </w:r>
    </w:p>
    <w:p>
      <w:pPr>
        <w:numPr>
          <w:ilvl w:val="0"/>
          <w:numId w:val="1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防止区域内人类活动给自然体系增加更大的压力；</w:t>
      </w:r>
    </w:p>
    <w:p>
      <w:pPr>
        <w:numPr>
          <w:ilvl w:val="0"/>
          <w:numId w:val="13"/>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按辽宁省矿产资源开发生态环境保护与恢复治理方案相关管理办法，建设单位应编制矿井生态环境保护与恢复治理方案，并落实实施。</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2、生态管理计划</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（1）管理系统</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矿井应设生态环保专人1~2人，负责生态环保计划实施。</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项目施工单位应有专人负责的生态环境管理工作。</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（2）管理机构的职责</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①贯彻执行国家及各省市各项环保方针、政策和法规，制定本项目的生态环境管理办法。</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②对项目实施涉及的生态环保工作进行监督管理，制定项目的生态环境管理与工作计划并进行实施，负责项目建设中各项生态环保措施实施的监督和日常管理工作。</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③组织开展本项目生态环保宣传，提高各级管理人员和施工人员的生态环保意识和管理水平。</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④组织、领导项目在</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、运营期的生态环保科研和信息工作，推广先进的生态环保经验和技术。</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⑤下达项目在</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、运营期的生态环境监测任务。</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⑥负责项目在</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、运营期的生态破坏事故的调查和处理。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⑦做好生态环保工作方面的横向和纵向协调工作，负责生态环境监测和科研等资料汇总整理工作，及时上报各级环保部门，积极推进项目生态环保工作。</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（3）生态管理指标</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根据项目区的自然环境条件以及自然生态体系中各个要素的特征，提出管理指标：</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①按国家和地方有关规定，项目征占地区生态损失在征占地前得到补偿；</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②建立岩移观测站，坚持长期地表岩移观测；严格按照项目设计和环评提出的保护方案开采，禁止越界开采；</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③因矿井开采沉陷减少的生物量损失完全得到补偿；</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④结合矿区开采计划实施沉陷区土地综合整治，提高植被覆盖率；</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⑤妥善解决矿地矛盾，建设环境友好型矿区。</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3、生态监测计划</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生态环境监测计划是对</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和生产期各监测项目的内容、监测频率、监测制度、报告制度、实施单位等进行说明，以便为制定更具有针对性的生态恢复措施奠定基础。生态环境监测计划见表</w:t>
      </w:r>
      <w:r>
        <w:rPr>
          <w:rFonts w:hint="default" w:ascii="Times New Roman" w:hAnsi="Times New Roman" w:eastAsia="宋体"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5.</w:t>
      </w:r>
      <w:r>
        <w:rPr>
          <w:rFonts w:hint="eastAsia"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lang w:val="en-US" w:eastAsia="zh-CN"/>
        </w:rPr>
        <w:t>-5</w:t>
      </w:r>
      <w:r>
        <w:rPr>
          <w:rFonts w:hint="default" w:ascii="Times New Roman" w:hAnsi="Times New Roman" w:eastAsia="宋体" w:cs="Times New Roman"/>
          <w:b/>
          <w:color w:val="auto"/>
          <w:sz w:val="21"/>
          <w:szCs w:val="21"/>
          <w:highlight w:val="none"/>
        </w:rPr>
        <w:t>生态环境监控计划</w:t>
      </w:r>
    </w:p>
    <w:tbl>
      <w:tblPr>
        <w:tblStyle w:val="46"/>
        <w:tblW w:w="92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7"/>
        <w:gridCol w:w="2701"/>
        <w:gridCol w:w="53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2701"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监测项目</w:t>
            </w:r>
          </w:p>
        </w:tc>
        <w:tc>
          <w:tcPr>
            <w:tcW w:w="5379"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主要技术要求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701"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施工现场清理</w:t>
            </w:r>
          </w:p>
        </w:tc>
        <w:tc>
          <w:tcPr>
            <w:tcW w:w="5379" w:type="dxa"/>
            <w:tcBorders>
              <w:tl2br w:val="nil"/>
              <w:tr2bl w:val="nil"/>
            </w:tcBorders>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1.监测项目：施工结束后，施工现场的弃土、石、渣等固废处理和生态环境恢复情况；</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2.监测频率：施工结束后1次；</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3.监测点：各施工区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701"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水土流失</w:t>
            </w:r>
          </w:p>
        </w:tc>
        <w:tc>
          <w:tcPr>
            <w:tcW w:w="5379" w:type="dxa"/>
            <w:tcBorders>
              <w:tl2br w:val="nil"/>
              <w:tr2bl w:val="nil"/>
            </w:tcBorders>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1.监测项目：水土流失类型、流失量；</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2.监测频率：每年1次；</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3.监测点：施工区域2~3个代表点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2701"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林地</w:t>
            </w:r>
          </w:p>
        </w:tc>
        <w:tc>
          <w:tcPr>
            <w:tcW w:w="5379" w:type="dxa"/>
            <w:tcBorders>
              <w:tl2br w:val="nil"/>
              <w:tr2bl w:val="nil"/>
            </w:tcBorders>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1.监测项目：树木类型、树木高度、盖度、生物量、群落变化、优势种更替；</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2.监测频率：每年1次；</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3.监测点：项目矿区范围2~3个点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2701"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土壤环境</w:t>
            </w:r>
          </w:p>
        </w:tc>
        <w:tc>
          <w:tcPr>
            <w:tcW w:w="5379" w:type="dxa"/>
            <w:tcBorders>
              <w:tl2br w:val="nil"/>
              <w:tr2bl w:val="nil"/>
            </w:tcBorders>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1.监测项目：pH、有机质、全N、有效P、K；</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2.监测频率：每年1次；</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3.监测点：项目实施区3~5个点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2701"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环保工程竣工验收</w:t>
            </w:r>
          </w:p>
        </w:tc>
        <w:tc>
          <w:tcPr>
            <w:tcW w:w="5379" w:type="dxa"/>
            <w:tcBorders>
              <w:tl2br w:val="nil"/>
              <w:tr2bl w:val="nil"/>
            </w:tcBorders>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1.监测项目：植被恢复和建设等生态环保措施落实情况；</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2.监测频率：1次；</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3.监测地点：项目所涉及区域</w:t>
            </w:r>
          </w:p>
        </w:tc>
      </w:tr>
    </w:tbl>
    <w:p>
      <w:pPr>
        <w:pStyle w:val="58"/>
        <w:rPr>
          <w:rFonts w:hint="default" w:ascii="Times New Roman" w:hAnsi="Times New Roman" w:eastAsia="宋体" w:cs="Times New Roman"/>
          <w:b/>
          <w:bCs/>
          <w:color w:val="auto"/>
          <w:highlight w:val="none"/>
          <w:lang w:val="en-US" w:eastAsia="zh-CN"/>
        </w:rPr>
      </w:pPr>
    </w:p>
    <w:p>
      <w:pPr>
        <w:pStyle w:val="58"/>
        <w:rPr>
          <w:rFonts w:hint="default" w:ascii="Times New Roman" w:hAnsi="Times New Roman" w:eastAsia="宋体" w:cs="Times New Roman"/>
          <w:b/>
          <w:bCs/>
          <w:color w:val="auto"/>
          <w:highlight w:val="none"/>
          <w:lang w:val="en-US" w:eastAsia="zh-CN"/>
        </w:rPr>
        <w:sectPr>
          <w:pgSz w:w="11907" w:h="16840"/>
          <w:pgMar w:top="1418" w:right="158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bookmarkEnd w:id="285"/>
    <w:bookmarkEnd w:id="286"/>
    <w:bookmarkEnd w:id="287"/>
    <w:bookmarkEnd w:id="288"/>
    <w:bookmarkEnd w:id="289"/>
    <w:p>
      <w:pPr>
        <w:pStyle w:val="3"/>
        <w:numPr>
          <w:ilvl w:val="0"/>
          <w:numId w:val="12"/>
        </w:numPr>
        <w:rPr>
          <w:rFonts w:hint="default" w:ascii="Times New Roman" w:hAnsi="Times New Roman" w:eastAsia="宋体" w:cs="Times New Roman"/>
          <w:color w:val="auto"/>
          <w:highlight w:val="none"/>
        </w:rPr>
      </w:pPr>
      <w:bookmarkStart w:id="324" w:name="_Toc5003"/>
      <w:bookmarkStart w:id="325" w:name="_Toc15376202"/>
      <w:bookmarkStart w:id="326" w:name="_Toc515537858"/>
      <w:bookmarkStart w:id="327" w:name="_Toc15376192"/>
      <w:bookmarkStart w:id="328" w:name="_Toc377022558"/>
      <w:bookmarkStart w:id="329" w:name="_Toc303671549"/>
      <w:bookmarkStart w:id="330" w:name="_Toc303671422"/>
      <w:bookmarkStart w:id="331" w:name="_Toc369000242"/>
      <w:bookmarkStart w:id="332" w:name="_Toc368298825"/>
      <w:bookmarkStart w:id="333" w:name="_Toc395187021"/>
      <w:bookmarkStart w:id="334" w:name="_Toc450827046"/>
      <w:bookmarkStart w:id="335" w:name="_Toc515537851"/>
      <w:bookmarkStart w:id="336" w:name="_Toc305953245"/>
      <w:bookmarkStart w:id="337" w:name="_Toc319511281"/>
      <w:bookmarkStart w:id="338" w:name="_Toc316410312"/>
      <w:bookmarkStart w:id="339" w:name="_Toc368298917"/>
      <w:r>
        <w:rPr>
          <w:rFonts w:hint="default" w:ascii="Times New Roman" w:hAnsi="Times New Roman" w:eastAsia="宋体" w:cs="Times New Roman"/>
          <w:color w:val="auto"/>
          <w:highlight w:val="none"/>
        </w:rPr>
        <w:t>环境影响预测与评价</w:t>
      </w:r>
      <w:bookmarkEnd w:id="324"/>
      <w:bookmarkEnd w:id="325"/>
    </w:p>
    <w:p>
      <w:pPr>
        <w:pStyle w:val="4"/>
        <w:numPr>
          <w:ilvl w:val="1"/>
          <w:numId w:val="12"/>
        </w:numPr>
        <w:spacing w:before="120" w:after="120"/>
        <w:ind w:left="0" w:leftChars="0" w:firstLineChars="0"/>
        <w:rPr>
          <w:rFonts w:hint="default" w:ascii="Times New Roman" w:hAnsi="Times New Roman" w:eastAsia="宋体" w:cs="Times New Roman"/>
          <w:snapToGrid w:val="0"/>
          <w:color w:val="auto"/>
          <w:highlight w:val="none"/>
        </w:rPr>
      </w:pPr>
      <w:bookmarkStart w:id="340" w:name="_Toc22253"/>
      <w:bookmarkStart w:id="341" w:name="_Toc515537853"/>
      <w:bookmarkStart w:id="342" w:name="_Toc450827050"/>
      <w:bookmarkStart w:id="343" w:name="_Toc15376203"/>
      <w:r>
        <w:rPr>
          <w:rFonts w:hint="default" w:ascii="Times New Roman" w:hAnsi="Times New Roman" w:eastAsia="宋体" w:cs="Times New Roman"/>
          <w:snapToGrid w:val="0"/>
          <w:color w:val="auto"/>
          <w:highlight w:val="none"/>
          <w:lang w:val="en-US" w:eastAsia="zh-CN"/>
        </w:rPr>
        <w:t>基建期环境影响分析</w:t>
      </w:r>
      <w:bookmarkEnd w:id="340"/>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基建期大气环境影响分析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本项目建设期对大气造成的影响主要是施工过程中产生的扬尘、粉尘，汽车尾气等。</w:t>
      </w:r>
    </w:p>
    <w:p>
      <w:pPr>
        <w:numPr>
          <w:ilvl w:val="0"/>
          <w:numId w:val="14"/>
        </w:num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施工扬尘</w:t>
      </w:r>
    </w:p>
    <w:p>
      <w:pPr>
        <w:spacing w:beforeLines="0" w:afterLine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lang w:val="en-US" w:eastAsia="zh-CN"/>
        </w:rPr>
        <w:t>施工</w:t>
      </w:r>
      <w:r>
        <w:rPr>
          <w:rFonts w:hint="default" w:ascii="Times New Roman" w:hAnsi="Times New Roman" w:eastAsia="宋体" w:cs="Times New Roman"/>
          <w:color w:val="auto"/>
          <w:sz w:val="24"/>
          <w:szCs w:val="24"/>
          <w:highlight w:val="none"/>
        </w:rPr>
        <w:t>扬尘主要产生于地面场地平整、基础开挖作业和</w:t>
      </w:r>
      <w:r>
        <w:rPr>
          <w:rFonts w:hint="default" w:ascii="Times New Roman" w:hAnsi="Times New Roman" w:eastAsia="宋体" w:cs="Times New Roman"/>
          <w:color w:val="auto"/>
          <w:sz w:val="24"/>
          <w:szCs w:val="24"/>
          <w:highlight w:val="none"/>
          <w:lang w:val="en-US" w:eastAsia="zh-CN"/>
        </w:rPr>
        <w:t>表土</w:t>
      </w:r>
      <w:r>
        <w:rPr>
          <w:rFonts w:hint="default" w:ascii="Times New Roman" w:hAnsi="Times New Roman" w:eastAsia="宋体" w:cs="Times New Roman"/>
          <w:color w:val="auto"/>
          <w:sz w:val="24"/>
          <w:szCs w:val="24"/>
          <w:highlight w:val="none"/>
        </w:rPr>
        <w:t>输送过程中，影响范围为施工场地附近100m内，受影响的对象主要为施工人员。</w:t>
      </w:r>
    </w:p>
    <w:p>
      <w:pPr>
        <w:bidi w:val="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1）采掘场岩层剥离过程中产生的扬尘</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lang w:val="en-US" w:eastAsia="zh-CN"/>
        </w:rPr>
        <w:t>露天采区、平硐建设</w:t>
      </w:r>
      <w:r>
        <w:rPr>
          <w:rFonts w:hint="default" w:ascii="Times New Roman" w:hAnsi="Times New Roman" w:eastAsia="宋体" w:cs="Times New Roman"/>
          <w:color w:val="auto"/>
          <w:highlight w:val="none"/>
        </w:rPr>
        <w:t>在剥离作业现场同时作业的大型设备有挖掘机、自卸卡车、装载机，作业过程中将产生大量的扬尘，表层岩土层剥离过程中产生的扬尘量较大，因此表层剥离对周围环境影响较大。</w:t>
      </w:r>
      <w:r>
        <w:rPr>
          <w:rFonts w:hint="default" w:ascii="Times New Roman" w:hAnsi="Times New Roman" w:eastAsia="宋体" w:cs="Times New Roman"/>
          <w:color w:val="auto"/>
          <w:sz w:val="24"/>
          <w:szCs w:val="24"/>
          <w:highlight w:val="none"/>
        </w:rPr>
        <w:t>需采取一定的措施减少施工扬尘</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要求施工单位：</w:t>
      </w:r>
      <w:r>
        <w:rPr>
          <w:rFonts w:hint="default" w:ascii="Times New Roman" w:hAnsi="Times New Roman" w:eastAsia="宋体" w:cs="Times New Roman"/>
          <w:color w:val="auto"/>
          <w:sz w:val="24"/>
          <w:szCs w:val="24"/>
          <w:highlight w:val="none"/>
        </w:rPr>
        <w:t>土石方挖掘完后，要及时回填，剩余土方应及时运到</w:t>
      </w:r>
      <w:r>
        <w:rPr>
          <w:rFonts w:hint="default" w:ascii="Times New Roman" w:hAnsi="Times New Roman" w:eastAsia="宋体" w:cs="Times New Roman"/>
          <w:color w:val="auto"/>
          <w:sz w:val="24"/>
          <w:szCs w:val="24"/>
          <w:highlight w:val="none"/>
          <w:lang w:val="en-US" w:eastAsia="zh-CN"/>
        </w:rPr>
        <w:t>原有露天采坑进行复垦</w:t>
      </w:r>
      <w:r>
        <w:rPr>
          <w:rFonts w:hint="default" w:ascii="Times New Roman" w:hAnsi="Times New Roman" w:eastAsia="宋体" w:cs="Times New Roman"/>
          <w:color w:val="auto"/>
          <w:sz w:val="24"/>
          <w:szCs w:val="24"/>
          <w:highlight w:val="none"/>
        </w:rPr>
        <w:t>，或临时堆放</w:t>
      </w:r>
      <w:r>
        <w:rPr>
          <w:rFonts w:hint="default" w:ascii="Times New Roman" w:hAnsi="Times New Roman" w:eastAsia="宋体" w:cs="Times New Roman"/>
          <w:color w:val="auto"/>
          <w:highlight w:val="none"/>
        </w:rPr>
        <w:t>新建采场底部平台</w:t>
      </w:r>
      <w:r>
        <w:rPr>
          <w:rFonts w:hint="default" w:ascii="Times New Roman" w:hAnsi="Times New Roman" w:eastAsia="宋体" w:cs="Times New Roman"/>
          <w:color w:val="auto"/>
          <w:sz w:val="24"/>
          <w:szCs w:val="24"/>
          <w:highlight w:val="none"/>
        </w:rPr>
        <w:t>，减轻对施工生活区的影响，同时防止水土流失；施工现场及时清理，定时洒水，保持清洁和相对湿度。在大风天气（风速≥6m/s）下，停止土石方施工，并对容易产生二次扬尘污染的重点施工现场进行遮盖。</w:t>
      </w:r>
    </w:p>
    <w:p>
      <w:pPr>
        <w:spacing w:beforeLines="0" w:afterLine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工程建设过程中，尤其要严格按照上述提到的各项措施实施，减少施工扬尘对环境的影响程度。</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）运输扬尘</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运输扬尘主要是由于施工车辆在施工道路上运输施工材料而引起的，引起运输扬尘的因素较多，主要与车辆行驶速度、风速、路面积尘量和路面湿度有关，其中风速、风力还直接影响到扬尘的传输距离。</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道路表面由于其表面土层松散、车辆碾压频繁，也易形成尘源，采取洒水措施来减少扬尘。</w:t>
      </w:r>
      <w:r>
        <w:rPr>
          <w:rFonts w:hint="default" w:ascii="Times New Roman" w:hAnsi="Times New Roman" w:eastAsia="宋体" w:cs="Times New Roman"/>
          <w:color w:val="auto"/>
          <w:sz w:val="24"/>
          <w:szCs w:val="24"/>
          <w:highlight w:val="none"/>
        </w:rPr>
        <w:t>为防止运输过程产生的二次扬尘污染，要对施工道路定时洒水，。目前国内常用于抑制路面扬尘的方法是洒水，实践验证该法抑制扬尘十分有效，具体见表</w:t>
      </w:r>
      <w:r>
        <w:rPr>
          <w:rFonts w:hint="default" w:ascii="Times New Roman" w:hAnsi="Times New Roman" w:eastAsia="宋体" w:cs="Times New Roman"/>
          <w:color w:val="auto"/>
          <w:sz w:val="24"/>
          <w:szCs w:val="24"/>
          <w:highlight w:val="none"/>
          <w:lang w:val="en-US" w:eastAsia="zh-CN"/>
        </w:rPr>
        <w:t>6.1</w:t>
      </w:r>
      <w:r>
        <w:rPr>
          <w:rFonts w:hint="default" w:ascii="Times New Roman" w:hAnsi="Times New Roman" w:eastAsia="宋体" w:cs="Times New Roman"/>
          <w:color w:val="auto"/>
          <w:sz w:val="24"/>
          <w:szCs w:val="24"/>
          <w:highlight w:val="none"/>
        </w:rPr>
        <w:t>-1。</w:t>
      </w:r>
    </w:p>
    <w:p>
      <w:pPr>
        <w:keepNext w:val="0"/>
        <w:keepLines w:val="0"/>
        <w:pageBreakBefore w:val="0"/>
        <w:widowControl w:val="0"/>
        <w:kinsoku/>
        <w:wordWrap/>
        <w:overflowPunct/>
        <w:topLinePunct w:val="0"/>
        <w:autoSpaceDE/>
        <w:autoSpaceDN/>
        <w:bidi w:val="0"/>
        <w:adjustRightInd w:val="0"/>
        <w:snapToGrid w:val="0"/>
        <w:spacing w:before="253" w:beforeLines="5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6.1</w:t>
      </w:r>
      <w:r>
        <w:rPr>
          <w:rFonts w:hint="default" w:ascii="Times New Roman" w:hAnsi="Times New Roman" w:eastAsia="宋体" w:cs="Times New Roman"/>
          <w:b/>
          <w:bCs/>
          <w:color w:val="auto"/>
          <w:sz w:val="21"/>
          <w:szCs w:val="21"/>
          <w:highlight w:val="none"/>
        </w:rPr>
        <w:t>-1施工路段洒水降尘试验结果</w:t>
      </w:r>
    </w:p>
    <w:tbl>
      <w:tblPr>
        <w:tblStyle w:val="45"/>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748"/>
        <w:gridCol w:w="1483"/>
        <w:gridCol w:w="1305"/>
        <w:gridCol w:w="1186"/>
        <w:gridCol w:w="1186"/>
        <w:gridCol w:w="1186"/>
        <w:gridCol w:w="118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1709" w:type="pct"/>
            <w:gridSpan w:val="2"/>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距路边距离（m）</w:t>
            </w:r>
          </w:p>
        </w:tc>
        <w:tc>
          <w:tcPr>
            <w:tcW w:w="70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0</w:t>
            </w:r>
          </w:p>
        </w:tc>
        <w:tc>
          <w:tcPr>
            <w:tcW w:w="64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20</w:t>
            </w:r>
          </w:p>
        </w:tc>
        <w:tc>
          <w:tcPr>
            <w:tcW w:w="64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50</w:t>
            </w:r>
          </w:p>
        </w:tc>
        <w:tc>
          <w:tcPr>
            <w:tcW w:w="64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100</w:t>
            </w:r>
          </w:p>
        </w:tc>
        <w:tc>
          <w:tcPr>
            <w:tcW w:w="64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00" w:hRule="atLeast"/>
        </w:trPr>
        <w:tc>
          <w:tcPr>
            <w:tcW w:w="904" w:type="pct"/>
            <w:vMerge w:val="restar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color w:val="auto"/>
                <w:highlight w:val="none"/>
              </w:rPr>
              <w:t>TSP（mg/m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804"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不洒水</w:t>
            </w:r>
          </w:p>
        </w:tc>
        <w:tc>
          <w:tcPr>
            <w:tcW w:w="709"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11.03</w:t>
            </w:r>
          </w:p>
        </w:tc>
        <w:tc>
          <w:tcPr>
            <w:tcW w:w="645"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2.89</w:t>
            </w:r>
          </w:p>
        </w:tc>
        <w:tc>
          <w:tcPr>
            <w:tcW w:w="645"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1.15</w:t>
            </w:r>
          </w:p>
        </w:tc>
        <w:tc>
          <w:tcPr>
            <w:tcW w:w="645"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0.86</w:t>
            </w:r>
          </w:p>
        </w:tc>
        <w:tc>
          <w:tcPr>
            <w:tcW w:w="645"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904" w:type="pct"/>
            <w:vMerge w:val="continue"/>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804"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洒水</w:t>
            </w:r>
          </w:p>
        </w:tc>
        <w:tc>
          <w:tcPr>
            <w:tcW w:w="709"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2.11</w:t>
            </w:r>
          </w:p>
        </w:tc>
        <w:tc>
          <w:tcPr>
            <w:tcW w:w="645"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645"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0.68</w:t>
            </w:r>
          </w:p>
        </w:tc>
        <w:tc>
          <w:tcPr>
            <w:tcW w:w="645"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w:t>
            </w:r>
          </w:p>
        </w:tc>
        <w:tc>
          <w:tcPr>
            <w:tcW w:w="645" w:type="pct"/>
            <w:tcBorders>
              <w:tl2br w:val="nil"/>
              <w:tr2bl w:val="nil"/>
            </w:tcBorders>
            <w:shd w:val="clear" w:color="auto" w:fill="auto"/>
            <w:vAlign w:val="top"/>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0.29</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）物料堆场扬尘</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物料堆场扬尘量与物料的种类、性质及风速有很大关系，比重小的物料容易受扰动而起尘，物料中小颗粒比例大时起尘量相应也大。</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堆场的扬尘包括料堆的风吹扬尘、装卸扬尘和过往车辆引起路面积尘二次扬尘等，这将产生较大的尘污染，会对周围环境带来一定的影响。石灰等易散失的施工材料如不加强管理也将产生大量的污染源。通过遮盖、洒水可有效的抑制扬尘量，可使扬尘量减少90%。项目物料堆场均严格设置在工业场地内，并要求设置篷布覆盖，同时进行洒水抑尘，有效的减少了堆场扬尘的不良影响。</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（2）施工机械废气</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施工机械废气主要为燃油机械设备运行产生的废气及运输车辆产生的废气，主要污染物为SO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、CO、NO</w:t>
      </w:r>
      <w:r>
        <w:rPr>
          <w:rFonts w:hint="default" w:ascii="Times New Roman" w:hAnsi="Times New Roman" w:eastAsia="宋体" w:cs="Times New Roman"/>
          <w:color w:val="auto"/>
          <w:highlight w:val="none"/>
          <w:vertAlign w:val="subscript"/>
        </w:rPr>
        <w:t>X</w:t>
      </w:r>
      <w:r>
        <w:rPr>
          <w:rFonts w:hint="default" w:ascii="Times New Roman" w:hAnsi="Times New Roman" w:eastAsia="宋体" w:cs="Times New Roman"/>
          <w:color w:val="auto"/>
          <w:highlight w:val="none"/>
        </w:rPr>
        <w:t>等。这些废气排放特点为无组织低空排放，会造成局部地区环境空气的污染。</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要求施工单位加强施工场地管理，保证各生产设备正常运转，减少施工机械待机时间及运输车辆在施工场地内停留时间，能够有效减少废气产生量。由于施工期大气污染物的排放都是暂时的，只要合理规划、科学管理，施工活动不会对区域环境空气质量产生明显影响，而且随着施工活动的结束，施工期环境影响也将消失。</w:t>
      </w:r>
    </w:p>
    <w:p>
      <w:pPr>
        <w:pStyle w:val="5"/>
        <w:bidi w:val="0"/>
        <w:rPr>
          <w:rFonts w:hint="default" w:ascii="Times New Roman" w:hAnsi="Times New Roman" w:eastAsia="宋体" w:cs="Times New Roman"/>
          <w:color w:val="auto"/>
          <w:highlight w:val="none"/>
          <w:lang w:val="en-US" w:eastAsia="zh-CN"/>
        </w:rPr>
      </w:pPr>
      <w:bookmarkStart w:id="344" w:name="5.1.1.1扬尘影响分析"/>
      <w:bookmarkEnd w:id="344"/>
      <w:bookmarkStart w:id="345" w:name="5.1.2水环境影响分析"/>
      <w:bookmarkEnd w:id="345"/>
      <w:bookmarkStart w:id="346" w:name="_bookmark90"/>
      <w:bookmarkEnd w:id="346"/>
      <w:r>
        <w:rPr>
          <w:rFonts w:hint="default" w:ascii="Times New Roman" w:hAnsi="Times New Roman" w:eastAsia="宋体" w:cs="Times New Roman"/>
          <w:color w:val="auto"/>
          <w:highlight w:val="none"/>
          <w:lang w:val="en-US" w:eastAsia="zh-CN"/>
        </w:rPr>
        <w:t>基建期地下水和地下水环境影响分析</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据工程分析，本项目建设期对周围</w:t>
      </w:r>
      <w:r>
        <w:rPr>
          <w:rFonts w:hint="default" w:ascii="Times New Roman" w:hAnsi="Times New Roman" w:eastAsia="宋体" w:cs="Times New Roman"/>
          <w:color w:val="auto"/>
          <w:sz w:val="24"/>
          <w:szCs w:val="24"/>
          <w:highlight w:val="none"/>
          <w:lang w:val="en-US" w:eastAsia="zh-CN"/>
        </w:rPr>
        <w:t>地表水和</w:t>
      </w:r>
      <w:r>
        <w:rPr>
          <w:rFonts w:hint="default" w:ascii="Times New Roman" w:hAnsi="Times New Roman" w:eastAsia="宋体" w:cs="Times New Roman"/>
          <w:color w:val="auto"/>
          <w:sz w:val="24"/>
          <w:szCs w:val="24"/>
          <w:highlight w:val="none"/>
        </w:rPr>
        <w:t>地下水环境的影响，主要表现施工人员生活污水，配料溢流、建筑材料及设备冲洗等过程排放污废水与施工过程中产生的边角料及废料以及少量生活垃圾渗滤液两方面。</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施工人员产生的生活污水较少，在居住区设生活污水池收集生活污水（主要为食堂污水和洗漱水），经沉淀处理后，回用于施工区建筑用水或洒水降尘；施工人员集中居住地要设经过防渗处理的厕所，对厕所应加强管理，定期喷洒药剂，并定期清理外运于农肥。</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②施工废水要进行收集和处理，工地设废水沉淀池，对施工废水进行沉淀处理，然后复用与搅拌砂浆等施工环节中。</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③在施工现场设置固定的冲洗场，设备及车辆定期冲洗，不允许将冲洗水随时随地排放，在冲洗场设废水沉淀池，沉淀后的中水回用于建设过程。</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④在降雨时对某些建筑材料及时遮盖以减少雨水冲刷产生污水，对污染较重的废污水应设临时储存及处理装置。</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⑤大巷掘进过程中产生的废水必须排入地面场地集中水池中与施工废水一并沉淀处理，处理后废水回用于施工或场地降尘洒水，多余处理后的废水可用于绿化。</w:t>
      </w:r>
    </w:p>
    <w:p>
      <w:pPr>
        <w:spacing w:beforeLines="0" w:afterLine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另外要合理安排施工顺序，在工作面准备结束前地面矿井水处理系统和排水管道应建成并调试完毕，在矿井试生产阶段即可实现矿井水处理和回用。</w:t>
      </w:r>
    </w:p>
    <w:p>
      <w:pPr>
        <w:pStyle w:val="5"/>
        <w:bidi w:val="0"/>
        <w:rPr>
          <w:rFonts w:hint="default" w:ascii="Times New Roman" w:hAnsi="Times New Roman" w:eastAsia="宋体" w:cs="Times New Roman"/>
          <w:color w:val="auto"/>
          <w:highlight w:val="none"/>
          <w:lang w:val="en-US" w:eastAsia="zh-CN"/>
        </w:rPr>
      </w:pPr>
      <w:bookmarkStart w:id="347" w:name="_bookmark91"/>
      <w:bookmarkEnd w:id="347"/>
      <w:bookmarkStart w:id="348" w:name="5.1.3声环境影响"/>
      <w:bookmarkEnd w:id="348"/>
      <w:r>
        <w:rPr>
          <w:rFonts w:hint="default" w:ascii="Times New Roman" w:hAnsi="Times New Roman" w:eastAsia="宋体" w:cs="Times New Roman"/>
          <w:color w:val="auto"/>
          <w:highlight w:val="none"/>
          <w:lang w:val="en-US" w:eastAsia="zh-CN"/>
        </w:rPr>
        <w:t>基建期声环境影响分析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1、施工场界噪声影响分析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涉及到的机械设备主要是钻孔机、挖掘机、搅拌机、推土机、起重机、自卸汽车等，主要施工范围为拟建工程</w:t>
      </w:r>
      <w:r>
        <w:rPr>
          <w:rFonts w:hint="default" w:ascii="Times New Roman" w:hAnsi="Times New Roman" w:eastAsia="宋体" w:cs="Times New Roman"/>
          <w:color w:val="auto"/>
          <w:highlight w:val="none"/>
          <w:lang w:val="en-US" w:eastAsia="zh-CN"/>
        </w:rPr>
        <w:t>露天采场</w:t>
      </w:r>
      <w:r>
        <w:rPr>
          <w:rFonts w:hint="default" w:ascii="Times New Roman" w:hAnsi="Times New Roman" w:eastAsia="宋体" w:cs="Times New Roman"/>
          <w:color w:val="auto"/>
          <w:highlight w:val="none"/>
        </w:rPr>
        <w:t>，主要在矿区中部。</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施工机械为点声源，其噪声预测模式采用点源几何发散衰减模式</w:t>
      </w:r>
      <w:r>
        <w:rPr>
          <w:rFonts w:hint="default" w:ascii="Times New Roman" w:hAnsi="Times New Roman" w:eastAsia="宋体" w:cs="Times New Roman"/>
          <w:color w:val="auto"/>
          <w:highlight w:val="none"/>
          <w:lang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噪声随距离衰减模式</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采用预测模式为点声源几何发散衰减模型：</w:t>
      </w:r>
    </w:p>
    <w:p>
      <w:pPr>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LA(r)=LA(r0)-20lg(r/r0)</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式中：LA(r)----距离声源r处的A声级，dB(A)；</w:t>
      </w:r>
    </w:p>
    <w:p>
      <w:pPr>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LA(ro)---距声源ro处的A声级，dB(A)；</w:t>
      </w:r>
    </w:p>
    <w:p>
      <w:pPr>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ro、r----距声源的距离，m；。</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（2）多声源叠加模式</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m:oMathPara>
        <m:oMath>
          <m:sSub>
            <m:sSubPr>
              <m:ctrlPr>
                <w:rPr>
                  <w:rFonts w:hint="default" w:ascii="Cambria Math" w:hAnsi="Cambria Math" w:eastAsia="宋体" w:cs="Times New Roman"/>
                  <w:color w:val="auto"/>
                  <w:sz w:val="24"/>
                  <w:szCs w:val="24"/>
                  <w:highlight w:val="none"/>
                </w:rPr>
              </m:ctrlPr>
            </m:sSubPr>
            <m:e>
              <m:r>
                <m:rPr/>
                <w:rPr>
                  <w:rFonts w:hint="default" w:ascii="Cambria Math" w:hAnsi="Cambria Math" w:eastAsia="宋体" w:cs="Times New Roman"/>
                  <w:color w:val="auto"/>
                  <w:sz w:val="24"/>
                  <w:szCs w:val="24"/>
                  <w:highlight w:val="none"/>
                </w:rPr>
                <m:t>L</m:t>
              </m:r>
              <m:ctrlPr>
                <w:rPr>
                  <w:rFonts w:hint="default" w:ascii="Cambria Math" w:hAnsi="Cambria Math" w:eastAsia="宋体" w:cs="Times New Roman"/>
                  <w:color w:val="auto"/>
                  <w:sz w:val="24"/>
                  <w:szCs w:val="24"/>
                  <w:highlight w:val="none"/>
                </w:rPr>
              </m:ctrlPr>
            </m:e>
            <m:sub>
              <m:r>
                <m:rPr/>
                <w:rPr>
                  <w:rFonts w:hint="default" w:ascii="Cambria Math" w:hAnsi="Cambria Math" w:eastAsia="宋体" w:cs="Times New Roman"/>
                  <w:color w:val="auto"/>
                  <w:sz w:val="24"/>
                  <w:szCs w:val="24"/>
                  <w:highlight w:val="none"/>
                </w:rPr>
                <m:t>总</m:t>
              </m:r>
              <m:ctrlPr>
                <w:rPr>
                  <w:rFonts w:hint="default" w:ascii="Cambria Math" w:hAnsi="Cambria Math" w:eastAsia="宋体" w:cs="Times New Roman"/>
                  <w:color w:val="auto"/>
                  <w:sz w:val="24"/>
                  <w:szCs w:val="24"/>
                  <w:highlight w:val="none"/>
                </w:rPr>
              </m:ctrlPr>
            </m:sub>
          </m:sSub>
          <m:r>
            <m:rPr/>
            <w:rPr>
              <w:rFonts w:hint="default" w:ascii="Cambria Math" w:hAnsi="Cambria Math" w:eastAsia="宋体" w:cs="Times New Roman"/>
              <w:color w:val="auto"/>
              <w:sz w:val="24"/>
              <w:szCs w:val="24"/>
              <w:highlight w:val="none"/>
            </w:rPr>
            <m:t>=10</m:t>
          </m:r>
          <m:r>
            <m:rPr>
              <m:sty m:val="p"/>
            </m:rPr>
            <w:rPr>
              <w:rFonts w:hint="default" w:ascii="Cambria Math" w:hAnsi="Cambria Math" w:eastAsia="宋体" w:cs="Times New Roman"/>
              <w:color w:val="auto"/>
              <w:sz w:val="24"/>
              <w:szCs w:val="24"/>
              <w:highlight w:val="none"/>
            </w:rPr>
            <m:t>lg⁡</m:t>
          </m:r>
          <m:r>
            <m:rPr/>
            <w:rPr>
              <w:rFonts w:hint="default" w:ascii="Cambria Math" w:hAnsi="Cambria Math" w:eastAsia="宋体" w:cs="Times New Roman"/>
              <w:color w:val="auto"/>
              <w:sz w:val="24"/>
              <w:szCs w:val="24"/>
              <w:highlight w:val="none"/>
            </w:rPr>
            <m:t>(</m:t>
          </m:r>
          <m:nary>
            <m:naryPr>
              <m:chr m:val="∑"/>
              <m:limLoc m:val="undOvr"/>
              <m:ctrlPr>
                <w:rPr>
                  <w:rFonts w:hint="default" w:ascii="Cambria Math" w:hAnsi="Cambria Math" w:eastAsia="宋体" w:cs="Times New Roman"/>
                  <w:i/>
                  <w:color w:val="auto"/>
                  <w:sz w:val="24"/>
                  <w:szCs w:val="24"/>
                  <w:highlight w:val="none"/>
                </w:rPr>
              </m:ctrlPr>
            </m:naryPr>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up>
              <m:r>
                <m:rPr/>
                <w:rPr>
                  <w:rFonts w:hint="default" w:ascii="Cambria Math" w:hAnsi="Cambria Math" w:eastAsia="宋体" w:cs="Times New Roman"/>
                  <w:color w:val="auto"/>
                  <w:sz w:val="24"/>
                  <w:szCs w:val="24"/>
                  <w:highlight w:val="none"/>
                </w:rPr>
                <m:t>n</m:t>
              </m:r>
              <m:ctrlPr>
                <w:rPr>
                  <w:rFonts w:hint="default" w:ascii="Cambria Math" w:hAnsi="Cambria Math" w:eastAsia="宋体" w:cs="Times New Roman"/>
                  <w:i/>
                  <w:color w:val="auto"/>
                  <w:sz w:val="24"/>
                  <w:szCs w:val="24"/>
                  <w:highlight w:val="none"/>
                </w:rPr>
              </m:ctrlPr>
            </m:sup>
            <m:e>
              <m:sSup>
                <m:sSupPr>
                  <m:ctrlPr>
                    <w:rPr>
                      <w:rFonts w:hint="default" w:ascii="Cambria Math" w:hAnsi="Cambria Math" w:eastAsia="宋体" w:cs="Times New Roman"/>
                      <w:i/>
                      <w:color w:val="auto"/>
                      <w:sz w:val="24"/>
                      <w:szCs w:val="24"/>
                      <w:highlight w:val="none"/>
                    </w:rPr>
                  </m:ctrlPr>
                </m:sSupPr>
                <m:e>
                  <m:r>
                    <m:rPr/>
                    <w:rPr>
                      <w:rFonts w:hint="default" w:ascii="Cambria Math" w:hAnsi="Cambria Math" w:eastAsia="宋体" w:cs="Times New Roman"/>
                      <w:color w:val="auto"/>
                      <w:sz w:val="24"/>
                      <w:szCs w:val="24"/>
                      <w:highlight w:val="none"/>
                    </w:rPr>
                    <m:t>10</m:t>
                  </m:r>
                  <m:ctrlPr>
                    <w:rPr>
                      <w:rFonts w:hint="default" w:ascii="Cambria Math" w:hAnsi="Cambria Math" w:eastAsia="宋体" w:cs="Times New Roman"/>
                      <w:i/>
                      <w:color w:val="auto"/>
                      <w:sz w:val="24"/>
                      <w:szCs w:val="24"/>
                      <w:highlight w:val="none"/>
                    </w:rPr>
                  </m:ctrlPr>
                </m:e>
                <m:sup>
                  <m:r>
                    <m:rPr/>
                    <w:rPr>
                      <w:rFonts w:hint="default" w:ascii="Cambria Math" w:hAnsi="Cambria Math" w:eastAsia="宋体" w:cs="Times New Roman"/>
                      <w:color w:val="auto"/>
                      <w:sz w:val="24"/>
                      <w:szCs w:val="24"/>
                      <w:highlight w:val="none"/>
                    </w:rPr>
                    <m:t>0.1</m:t>
                  </m:r>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L</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Sub>
                  <m:ctrlPr>
                    <w:rPr>
                      <w:rFonts w:hint="default" w:ascii="Cambria Math" w:hAnsi="Cambria Math" w:eastAsia="宋体" w:cs="Times New Roman"/>
                      <w:i/>
                      <w:color w:val="auto"/>
                      <w:sz w:val="24"/>
                      <w:szCs w:val="24"/>
                      <w:highlight w:val="none"/>
                    </w:rPr>
                  </m:ctrlPr>
                </m:sup>
              </m:sSup>
              <m:ctrlPr>
                <w:rPr>
                  <w:rFonts w:hint="default" w:ascii="Cambria Math" w:hAnsi="Cambria Math" w:eastAsia="宋体" w:cs="Times New Roman"/>
                  <w:i/>
                  <w:color w:val="auto"/>
                  <w:sz w:val="24"/>
                  <w:szCs w:val="24"/>
                  <w:highlight w:val="none"/>
                </w:rPr>
              </m:ctrlPr>
            </m:e>
          </m:nary>
          <m:r>
            <m:rPr/>
            <w:rPr>
              <w:rFonts w:hint="default" w:ascii="Cambria Math" w:hAnsi="Cambria Math" w:eastAsia="宋体" w:cs="Times New Roman"/>
              <w:color w:val="auto"/>
              <w:sz w:val="24"/>
              <w:szCs w:val="24"/>
              <w:highlight w:val="none"/>
            </w:rPr>
            <m:t>)</m:t>
          </m:r>
        </m:oMath>
      </m:oMathPara>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式中：L</w:t>
      </w:r>
      <w:r>
        <w:rPr>
          <w:rFonts w:hint="default" w:ascii="Times New Roman" w:hAnsi="Times New Roman" w:eastAsia="宋体" w:cs="Times New Roman"/>
          <w:color w:val="auto"/>
          <w:sz w:val="24"/>
          <w:szCs w:val="24"/>
          <w:highlight w:val="none"/>
          <w:vertAlign w:val="subscript"/>
        </w:rPr>
        <w:t>总</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叠加后总声压级</w:t>
      </w:r>
      <w:r>
        <w:rPr>
          <w:rFonts w:hint="default" w:ascii="Times New Roman" w:hAnsi="Times New Roman" w:eastAsia="宋体" w:cs="Times New Roman"/>
          <w:color w:val="auto"/>
          <w:sz w:val="24"/>
          <w:szCs w:val="24"/>
          <w:highlight w:val="none"/>
        </w:rPr>
        <w:t>，dB（A）；</w:t>
      </w:r>
    </w:p>
    <w:p>
      <w:pPr>
        <w:pStyle w:val="78"/>
        <w:keepNext w:val="0"/>
        <w:keepLines w:val="0"/>
        <w:pageBreakBefore w:val="0"/>
        <w:kinsoku/>
        <w:wordWrap/>
        <w:overflowPunct/>
        <w:topLinePunct w:val="0"/>
        <w:autoSpaceDE/>
        <w:autoSpaceDN/>
        <w:bidi w:val="0"/>
        <w:adjustRightInd w:val="0"/>
        <w:snapToGrid w:val="0"/>
        <w:ind w:firstLine="1220" w:firstLineChars="5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L</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—第i个声源到预测点处的声压级，dB（A）；</w:t>
      </w:r>
    </w:p>
    <w:p>
      <w:pPr>
        <w:pStyle w:val="78"/>
        <w:keepNext w:val="0"/>
        <w:keepLines w:val="0"/>
        <w:pageBreakBefore w:val="0"/>
        <w:kinsoku/>
        <w:wordWrap/>
        <w:overflowPunct/>
        <w:topLinePunct w:val="0"/>
        <w:autoSpaceDE/>
        <w:autoSpaceDN/>
        <w:bidi w:val="0"/>
        <w:adjustRightInd w:val="0"/>
        <w:snapToGrid w:val="0"/>
        <w:ind w:firstLine="1220" w:firstLineChars="5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n—声源个数。</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对各种设备声源在不同距离的衰减计算结果见表</w:t>
      </w:r>
      <w:r>
        <w:rPr>
          <w:rFonts w:hint="default" w:ascii="Times New Roman" w:hAnsi="Times New Roman" w:eastAsia="宋体" w:cs="Times New Roman"/>
          <w:color w:val="auto"/>
          <w:highlight w:val="none"/>
          <w:lang w:val="en-US" w:eastAsia="zh-CN"/>
        </w:rPr>
        <w:t>6.1</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val="0"/>
        <w:snapToGrid w:val="0"/>
        <w:spacing w:before="253" w:beforeLines="50" w:line="240" w:lineRule="atLeast"/>
        <w:ind w:firstLine="0" w:firstLineChars="0"/>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6.1-2</w:t>
      </w:r>
      <w:r>
        <w:rPr>
          <w:rFonts w:hint="default" w:ascii="Times New Roman" w:hAnsi="Times New Roman" w:eastAsia="宋体" w:cs="Times New Roman"/>
          <w:b/>
          <w:bCs/>
          <w:color w:val="auto"/>
          <w:sz w:val="21"/>
          <w:szCs w:val="21"/>
          <w:highlight w:val="none"/>
        </w:rPr>
        <w:t>各种噪声源在不同距离处的噪声贡献值单位：dB（A）</w:t>
      </w:r>
    </w:p>
    <w:tbl>
      <w:tblPr>
        <w:tblStyle w:val="45"/>
        <w:tblW w:w="4997" w:type="pct"/>
        <w:tblInd w:w="0" w:type="dxa"/>
        <w:tblLayout w:type="autofit"/>
        <w:tblCellMar>
          <w:top w:w="0" w:type="dxa"/>
          <w:left w:w="0" w:type="dxa"/>
          <w:bottom w:w="0" w:type="dxa"/>
          <w:right w:w="0" w:type="dxa"/>
        </w:tblCellMar>
      </w:tblPr>
      <w:tblGrid>
        <w:gridCol w:w="875"/>
        <w:gridCol w:w="818"/>
        <w:gridCol w:w="818"/>
        <w:gridCol w:w="818"/>
        <w:gridCol w:w="818"/>
        <w:gridCol w:w="818"/>
        <w:gridCol w:w="818"/>
        <w:gridCol w:w="818"/>
        <w:gridCol w:w="818"/>
        <w:gridCol w:w="818"/>
        <w:gridCol w:w="829"/>
      </w:tblGrid>
      <w:tr>
        <w:tblPrEx>
          <w:tblCellMar>
            <w:top w:w="0" w:type="dxa"/>
            <w:left w:w="0" w:type="dxa"/>
            <w:bottom w:w="0" w:type="dxa"/>
            <w:right w:w="0" w:type="dxa"/>
          </w:tblCellMar>
        </w:tblPrEx>
        <w:trPr>
          <w:trHeight w:val="415" w:hRule="exact"/>
        </w:trPr>
        <w:tc>
          <w:tcPr>
            <w:tcW w:w="483" w:type="pct"/>
            <w:vMerge w:val="restart"/>
            <w:tcBorders>
              <w:top w:val="single" w:color="000000" w:sz="12" w:space="0"/>
              <w:left w:val="nil"/>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机械名称</w:t>
            </w:r>
          </w:p>
        </w:tc>
        <w:tc>
          <w:tcPr>
            <w:tcW w:w="4516" w:type="pct"/>
            <w:gridSpan w:val="10"/>
            <w:tcBorders>
              <w:top w:val="single" w:color="000000" w:sz="1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距离声源距离(m)</w:t>
            </w:r>
          </w:p>
        </w:tc>
      </w:tr>
      <w:tr>
        <w:tblPrEx>
          <w:tblCellMar>
            <w:top w:w="0" w:type="dxa"/>
            <w:left w:w="0" w:type="dxa"/>
            <w:bottom w:w="0" w:type="dxa"/>
            <w:right w:w="0" w:type="dxa"/>
          </w:tblCellMar>
        </w:tblPrEx>
        <w:trPr>
          <w:trHeight w:val="402" w:hRule="exact"/>
        </w:trPr>
        <w:tc>
          <w:tcPr>
            <w:tcW w:w="483" w:type="pct"/>
            <w:vMerge w:val="continue"/>
            <w:tcBorders>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w:t>
            </w:r>
          </w:p>
        </w:tc>
      </w:tr>
      <w:tr>
        <w:tblPrEx>
          <w:tblCellMar>
            <w:top w:w="0" w:type="dxa"/>
            <w:left w:w="0" w:type="dxa"/>
            <w:bottom w:w="0" w:type="dxa"/>
            <w:right w:w="0" w:type="dxa"/>
          </w:tblCellMar>
        </w:tblPrEx>
        <w:trPr>
          <w:trHeight w:val="402" w:hRule="exact"/>
        </w:trPr>
        <w:tc>
          <w:tcPr>
            <w:tcW w:w="483" w:type="pct"/>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推土机</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88</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76</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66</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64</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62</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58</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56</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52</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w:t>
            </w:r>
          </w:p>
        </w:tc>
      </w:tr>
      <w:tr>
        <w:tblPrEx>
          <w:tblCellMar>
            <w:top w:w="0" w:type="dxa"/>
            <w:left w:w="0" w:type="dxa"/>
            <w:bottom w:w="0" w:type="dxa"/>
            <w:right w:w="0" w:type="dxa"/>
          </w:tblCellMar>
        </w:tblPrEx>
        <w:trPr>
          <w:trHeight w:val="402" w:hRule="exact"/>
        </w:trPr>
        <w:tc>
          <w:tcPr>
            <w:tcW w:w="483" w:type="pct"/>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挖掘机</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78</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72</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68</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66</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64</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58</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45</w:t>
            </w:r>
          </w:p>
        </w:tc>
      </w:tr>
      <w:tr>
        <w:tblPrEx>
          <w:tblCellMar>
            <w:top w:w="0" w:type="dxa"/>
            <w:left w:w="0" w:type="dxa"/>
            <w:bottom w:w="0" w:type="dxa"/>
            <w:right w:w="0" w:type="dxa"/>
          </w:tblCellMar>
        </w:tblPrEx>
        <w:trPr>
          <w:trHeight w:val="402" w:hRule="exact"/>
        </w:trPr>
        <w:tc>
          <w:tcPr>
            <w:tcW w:w="483" w:type="pct"/>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搅拌机</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91</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79</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67</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65</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61</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w:t>
            </w:r>
          </w:p>
        </w:tc>
      </w:tr>
      <w:tr>
        <w:tblPrEx>
          <w:tblCellMar>
            <w:top w:w="0" w:type="dxa"/>
            <w:left w:w="0" w:type="dxa"/>
            <w:bottom w:w="0" w:type="dxa"/>
            <w:right w:w="0" w:type="dxa"/>
          </w:tblCellMar>
        </w:tblPrEx>
        <w:trPr>
          <w:trHeight w:val="402" w:hRule="exact"/>
        </w:trPr>
        <w:tc>
          <w:tcPr>
            <w:tcW w:w="483" w:type="pct"/>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起重机</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64</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56</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52</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r>
      <w:tr>
        <w:tblPrEx>
          <w:tblCellMar>
            <w:top w:w="0" w:type="dxa"/>
            <w:left w:w="0" w:type="dxa"/>
            <w:bottom w:w="0" w:type="dxa"/>
            <w:right w:w="0" w:type="dxa"/>
          </w:tblCellMar>
        </w:tblPrEx>
        <w:trPr>
          <w:trHeight w:val="402" w:hRule="exact"/>
        </w:trPr>
        <w:tc>
          <w:tcPr>
            <w:tcW w:w="483" w:type="pct"/>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挖掘机</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86</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w:t>
            </w:r>
            <w:r>
              <w:rPr>
                <w:rFonts w:hint="default" w:ascii="Times New Roman" w:hAnsi="Times New Roman" w:eastAsia="宋体" w:cs="Times New Roman"/>
                <w:color w:val="auto"/>
                <w:sz w:val="21"/>
                <w:szCs w:val="21"/>
                <w:highlight w:val="none"/>
                <w:lang w:val="en-US" w:eastAsia="zh-CN"/>
              </w:rPr>
              <w:t>4</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68</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64</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56</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5</w:t>
            </w:r>
            <w:r>
              <w:rPr>
                <w:rFonts w:hint="default" w:ascii="Times New Roman" w:hAnsi="Times New Roman" w:eastAsia="宋体" w:cs="Times New Roman"/>
                <w:color w:val="auto"/>
                <w:sz w:val="21"/>
                <w:szCs w:val="21"/>
                <w:highlight w:val="none"/>
                <w:lang w:val="en-US" w:eastAsia="zh-CN"/>
              </w:rPr>
              <w:t>3</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48</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42</w:t>
            </w:r>
          </w:p>
        </w:tc>
      </w:tr>
      <w:tr>
        <w:tblPrEx>
          <w:tblCellMar>
            <w:top w:w="0" w:type="dxa"/>
            <w:left w:w="0" w:type="dxa"/>
            <w:bottom w:w="0" w:type="dxa"/>
            <w:right w:w="0" w:type="dxa"/>
          </w:tblCellMar>
        </w:tblPrEx>
        <w:trPr>
          <w:trHeight w:val="414" w:hRule="exact"/>
        </w:trPr>
        <w:tc>
          <w:tcPr>
            <w:tcW w:w="483" w:type="pct"/>
            <w:tcBorders>
              <w:top w:val="single" w:color="000000" w:sz="2" w:space="0"/>
              <w:left w:val="nil"/>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自卸卡车</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76</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66</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58</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53</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49</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44</w:t>
            </w:r>
          </w:p>
        </w:tc>
        <w:tc>
          <w:tcPr>
            <w:tcW w:w="451" w:type="pct"/>
            <w:tcBorders>
              <w:top w:val="single" w:color="000000" w:sz="2" w:space="0"/>
              <w:left w:val="single" w:color="000000" w:sz="4" w:space="0"/>
              <w:bottom w:val="single" w:color="000000" w:sz="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38</w:t>
            </w:r>
          </w:p>
        </w:tc>
        <w:tc>
          <w:tcPr>
            <w:tcW w:w="451" w:type="pct"/>
            <w:tcBorders>
              <w:top w:val="single" w:color="000000" w:sz="2" w:space="0"/>
              <w:left w:val="single" w:color="000000" w:sz="4" w:space="0"/>
              <w:bottom w:val="single" w:color="000000" w:sz="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35</w:t>
            </w:r>
          </w:p>
        </w:tc>
      </w:tr>
      <w:tr>
        <w:tblPrEx>
          <w:tblCellMar>
            <w:top w:w="0" w:type="dxa"/>
            <w:left w:w="0" w:type="dxa"/>
            <w:bottom w:w="0" w:type="dxa"/>
            <w:right w:w="0" w:type="dxa"/>
          </w:tblCellMar>
        </w:tblPrEx>
        <w:trPr>
          <w:trHeight w:val="414" w:hRule="exact"/>
        </w:trPr>
        <w:tc>
          <w:tcPr>
            <w:tcW w:w="483" w:type="pct"/>
            <w:tcBorders>
              <w:top w:val="single" w:color="000000" w:sz="2" w:space="0"/>
              <w:left w:val="nil"/>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叠加后</w:t>
            </w:r>
          </w:p>
        </w:tc>
        <w:tc>
          <w:tcPr>
            <w:tcW w:w="451" w:type="pct"/>
            <w:tcBorders>
              <w:top w:val="single" w:color="000000" w:sz="2" w:space="0"/>
              <w:left w:val="single" w:color="000000" w:sz="4" w:space="0"/>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95.4</w:t>
            </w:r>
          </w:p>
        </w:tc>
        <w:tc>
          <w:tcPr>
            <w:tcW w:w="451" w:type="pct"/>
            <w:tcBorders>
              <w:top w:val="single" w:color="000000" w:sz="2" w:space="0"/>
              <w:left w:val="single" w:color="000000" w:sz="4" w:space="0"/>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83.4</w:t>
            </w:r>
          </w:p>
        </w:tc>
        <w:tc>
          <w:tcPr>
            <w:tcW w:w="451" w:type="pct"/>
            <w:tcBorders>
              <w:top w:val="single" w:color="000000" w:sz="2" w:space="0"/>
              <w:left w:val="single" w:color="000000" w:sz="4" w:space="0"/>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77.5</w:t>
            </w:r>
          </w:p>
        </w:tc>
        <w:tc>
          <w:tcPr>
            <w:tcW w:w="451" w:type="pct"/>
            <w:tcBorders>
              <w:top w:val="single" w:color="000000" w:sz="2" w:space="0"/>
              <w:left w:val="single" w:color="000000" w:sz="4" w:space="0"/>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73.5</w:t>
            </w:r>
          </w:p>
        </w:tc>
        <w:tc>
          <w:tcPr>
            <w:tcW w:w="451" w:type="pct"/>
            <w:tcBorders>
              <w:top w:val="single" w:color="000000" w:sz="2" w:space="0"/>
              <w:left w:val="single" w:color="000000" w:sz="4" w:space="0"/>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71.4</w:t>
            </w:r>
          </w:p>
        </w:tc>
        <w:tc>
          <w:tcPr>
            <w:tcW w:w="451" w:type="pct"/>
            <w:tcBorders>
              <w:top w:val="single" w:color="000000" w:sz="2" w:space="0"/>
              <w:left w:val="single" w:color="000000" w:sz="4" w:space="0"/>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69.3</w:t>
            </w:r>
          </w:p>
        </w:tc>
        <w:tc>
          <w:tcPr>
            <w:tcW w:w="451" w:type="pct"/>
            <w:tcBorders>
              <w:top w:val="single" w:color="000000" w:sz="2" w:space="0"/>
              <w:left w:val="single" w:color="000000" w:sz="4" w:space="0"/>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65.3</w:t>
            </w:r>
          </w:p>
        </w:tc>
        <w:tc>
          <w:tcPr>
            <w:tcW w:w="451" w:type="pct"/>
            <w:tcBorders>
              <w:top w:val="single" w:color="000000" w:sz="2" w:space="0"/>
              <w:left w:val="single" w:color="000000" w:sz="4" w:space="0"/>
              <w:bottom w:val="single" w:color="000000" w:sz="12"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62.3</w:t>
            </w:r>
          </w:p>
        </w:tc>
        <w:tc>
          <w:tcPr>
            <w:tcW w:w="451" w:type="pct"/>
            <w:tcBorders>
              <w:top w:val="single" w:color="000000" w:sz="2" w:space="0"/>
              <w:left w:val="single" w:color="000000" w:sz="4" w:space="0"/>
              <w:bottom w:val="single" w:color="000000" w:sz="1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57.9</w:t>
            </w:r>
          </w:p>
        </w:tc>
        <w:tc>
          <w:tcPr>
            <w:tcW w:w="451" w:type="pct"/>
            <w:tcBorders>
              <w:top w:val="single" w:color="000000" w:sz="2" w:space="0"/>
              <w:left w:val="single" w:color="000000" w:sz="4" w:space="0"/>
              <w:bottom w:val="single" w:color="000000" w:sz="12"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51.0</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由噪声预测分析如下∶</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各种施工机械噪声在距施工点100m内的噪声级较大，尤其是挖掘机、</w:t>
      </w:r>
      <w:r>
        <w:rPr>
          <w:rFonts w:hint="default" w:ascii="Times New Roman" w:hAnsi="Times New Roman" w:eastAsia="宋体" w:cs="Times New Roman"/>
          <w:color w:val="auto"/>
          <w:highlight w:val="none"/>
          <w:lang w:val="en-US" w:eastAsia="zh-CN"/>
        </w:rPr>
        <w:t>搅拌机</w:t>
      </w:r>
      <w:r>
        <w:rPr>
          <w:rFonts w:hint="default" w:ascii="Times New Roman" w:hAnsi="Times New Roman" w:eastAsia="宋体" w:cs="Times New Roman"/>
          <w:color w:val="auto"/>
          <w:highlight w:val="none"/>
        </w:rPr>
        <w:t>等强噪声机械对环境噪声的影响明显，但随着距离的加大，均有明显的衰减，至300m处的噪声贡献值可降至GB3096-2008《声环境质量标准》</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类区昼间标准限值以下</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基建</w:t>
      </w:r>
      <w:r>
        <w:rPr>
          <w:rFonts w:hint="default" w:ascii="Times New Roman" w:hAnsi="Times New Roman" w:eastAsia="宋体" w:cs="Times New Roman"/>
          <w:color w:val="auto"/>
          <w:highlight w:val="none"/>
        </w:rPr>
        <w:t>期夜间禁止施工。</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2、施工噪声对噪声敏感点的影响分析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本项目在工业场地和风井场地周围200m范围内没有村庄，加之施工噪声影响是暂时的，施工期结束，影响随之消失。</w:t>
      </w:r>
    </w:p>
    <w:p>
      <w:pPr>
        <w:pStyle w:val="5"/>
        <w:bidi w:val="0"/>
        <w:rPr>
          <w:rFonts w:hint="default" w:ascii="Times New Roman" w:hAnsi="Times New Roman" w:eastAsia="宋体" w:cs="Times New Roman"/>
          <w:color w:val="auto"/>
          <w:highlight w:val="none"/>
          <w:lang w:val="en-US" w:eastAsia="zh-CN"/>
        </w:rPr>
      </w:pPr>
      <w:bookmarkStart w:id="349" w:name="_bookmark92"/>
      <w:bookmarkEnd w:id="349"/>
      <w:bookmarkStart w:id="350" w:name="5.1.4固体废物影响"/>
      <w:bookmarkEnd w:id="350"/>
      <w:r>
        <w:rPr>
          <w:rFonts w:hint="default" w:ascii="Times New Roman" w:hAnsi="Times New Roman" w:eastAsia="宋体" w:cs="Times New Roman"/>
          <w:color w:val="auto"/>
          <w:highlight w:val="none"/>
          <w:lang w:val="en-US" w:eastAsia="zh-CN"/>
        </w:rPr>
        <w:t>基建期固体废物环境影响分析</w:t>
      </w:r>
    </w:p>
    <w:p>
      <w:pPr>
        <w:bidi w:val="0"/>
        <w:rPr>
          <w:rFonts w:hint="default" w:ascii="Times New Roman" w:hAnsi="Times New Roman" w:eastAsia="宋体" w:cs="Times New Roman"/>
          <w:color w:val="auto"/>
          <w:highlight w:val="none"/>
        </w:rPr>
      </w:pPr>
      <w:bookmarkStart w:id="351" w:name="5.1.4.1固体废物种类"/>
      <w:bookmarkEnd w:id="351"/>
      <w:r>
        <w:rPr>
          <w:rFonts w:hint="default" w:ascii="Times New Roman" w:hAnsi="Times New Roman" w:eastAsia="宋体" w:cs="Times New Roman"/>
          <w:color w:val="auto"/>
          <w:highlight w:val="none"/>
        </w:rPr>
        <w:t>施工期主要固体废物为主要为</w:t>
      </w:r>
      <w:r>
        <w:rPr>
          <w:rFonts w:hint="default" w:ascii="Times New Roman" w:hAnsi="Times New Roman" w:eastAsia="宋体" w:cs="Times New Roman"/>
          <w:color w:val="auto"/>
          <w:highlight w:val="none"/>
          <w:lang w:val="en-US" w:eastAsia="zh-CN"/>
        </w:rPr>
        <w:t>露天采场</w:t>
      </w:r>
      <w:r>
        <w:rPr>
          <w:rFonts w:hint="default" w:ascii="Times New Roman" w:hAnsi="Times New Roman" w:eastAsia="宋体" w:cs="Times New Roman"/>
          <w:color w:val="auto"/>
          <w:highlight w:val="none"/>
        </w:rPr>
        <w:t>剥离的表土</w:t>
      </w:r>
      <w:r>
        <w:rPr>
          <w:rFonts w:hint="default" w:ascii="Times New Roman" w:hAnsi="Times New Roman" w:eastAsia="宋体" w:cs="Times New Roman"/>
          <w:color w:val="auto"/>
          <w:highlight w:val="none"/>
          <w:lang w:val="en-US" w:eastAsia="zh-CN"/>
        </w:rPr>
        <w:t>、地下开采系统基建废石</w:t>
      </w:r>
      <w:r>
        <w:rPr>
          <w:rFonts w:hint="default" w:ascii="Times New Roman" w:hAnsi="Times New Roman" w:eastAsia="宋体" w:cs="Times New Roman"/>
          <w:color w:val="auto"/>
          <w:highlight w:val="none"/>
        </w:rPr>
        <w:t>和较少量的建筑垃圾。此外，在地面建筑工程施工期间，还有少量的生活垃圾产生。</w:t>
      </w:r>
    </w:p>
    <w:p>
      <w:pPr>
        <w:numPr>
          <w:ilvl w:val="0"/>
          <w:numId w:val="15"/>
        </w:numPr>
        <w:bidi w:val="0"/>
        <w:ind w:left="-2" w:leftChars="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硐室和大巷开凿排出的岩石</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lang w:val="en-US" w:eastAsia="zh-CN"/>
        </w:rPr>
        <w:t>钾长石</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矿产资源开发利用方案》</w:t>
      </w:r>
      <w:r>
        <w:rPr>
          <w:rFonts w:hint="default" w:ascii="Times New Roman" w:hAnsi="Times New Roman" w:eastAsia="宋体" w:cs="Times New Roman"/>
          <w:color w:val="auto"/>
          <w:highlight w:val="none"/>
          <w:lang w:eastAsia="zh-CN"/>
        </w:rPr>
        <w:t>，地下开采基建期排出废石所占容积为11259.5</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eastAsia="zh-CN"/>
        </w:rPr>
        <w:t>，根据矿区地形情况，产生的废石全部用于回填地表老采坑及修筑工业场地、修筑运输道路。</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露天采场</w:t>
      </w:r>
      <w:r>
        <w:rPr>
          <w:rFonts w:hint="default" w:ascii="Times New Roman" w:hAnsi="Times New Roman" w:eastAsia="宋体" w:cs="Times New Roman"/>
          <w:color w:val="auto"/>
          <w:highlight w:val="none"/>
        </w:rPr>
        <w:t>剥离的表土</w:t>
      </w:r>
    </w:p>
    <w:p>
      <w:pPr>
        <w:bidi w:val="0"/>
        <w:rPr>
          <w:rFonts w:hint="eastAsia"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rPr>
        <w:t>岫岩满族自治县苏子沟镇大何家堡村钾长石矿矿山地质环境保护与土地复垦方案</w:t>
      </w:r>
      <w:r>
        <w:rPr>
          <w:rFonts w:hint="default" w:ascii="Times New Roman" w:hAnsi="Times New Roman"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拟建工程总面积8.0376hm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rPr>
        <w:t>，平均剥离厚度0.3m，预计可剥离表土24113m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rPr>
        <w:t>，先期剥离表土可运至老采场直接用于复垦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后期剥离的表土可临时堆放在新建采场底部平台，后期用于复垦。</w:t>
      </w:r>
      <w:r>
        <w:rPr>
          <w:rFonts w:hint="eastAsia" w:cs="Times New Roman"/>
          <w:color w:val="auto"/>
          <w:highlight w:val="none"/>
          <w:lang w:val="en-US" w:eastAsia="zh-CN"/>
        </w:rPr>
        <w:t>项目剥离表土客土情况见6.1-2。</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auto"/>
          <w:sz w:val="21"/>
          <w:highlight w:val="none"/>
        </w:rPr>
      </w:pPr>
      <w:r>
        <w:rPr>
          <w:rFonts w:hint="default" w:ascii="Times New Roman" w:hAnsi="Times New Roman" w:eastAsia="宋体" w:cs="Times New Roman"/>
          <w:b/>
          <w:bCs/>
          <w:color w:val="auto"/>
          <w:sz w:val="21"/>
          <w:highlight w:val="none"/>
        </w:rPr>
        <w:t>表</w:t>
      </w:r>
      <w:r>
        <w:rPr>
          <w:rFonts w:hint="eastAsia" w:ascii="Times New Roman" w:hAnsi="Times New Roman" w:eastAsia="宋体" w:cs="Times New Roman"/>
          <w:b/>
          <w:bCs/>
          <w:color w:val="auto"/>
          <w:sz w:val="21"/>
          <w:highlight w:val="none"/>
          <w:lang w:val="en-US" w:eastAsia="zh-CN"/>
        </w:rPr>
        <w:t>6.1</w:t>
      </w:r>
      <w:r>
        <w:rPr>
          <w:rFonts w:hint="default" w:ascii="Times New Roman" w:hAnsi="Times New Roman" w:eastAsia="宋体" w:cs="Times New Roman"/>
          <w:b/>
          <w:bCs/>
          <w:color w:val="auto"/>
          <w:sz w:val="21"/>
          <w:highlight w:val="none"/>
          <w:lang w:val="en-US" w:eastAsia="zh-CN"/>
        </w:rPr>
        <w:t>-2     项目剥离表土客土情况</w:t>
      </w:r>
      <w:r>
        <w:rPr>
          <w:rFonts w:hint="default" w:ascii="Times New Roman" w:hAnsi="Times New Roman" w:eastAsia="宋体" w:cs="Times New Roman"/>
          <w:b/>
          <w:bCs/>
          <w:color w:val="auto"/>
          <w:sz w:val="21"/>
          <w:highlight w:val="none"/>
        </w:rPr>
        <w:t>表</w:t>
      </w:r>
    </w:p>
    <w:tbl>
      <w:tblPr>
        <w:tblStyle w:val="45"/>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1836"/>
        <w:gridCol w:w="6129"/>
        <w:gridCol w:w="132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治理复垦年度</w:t>
            </w:r>
          </w:p>
        </w:tc>
        <w:tc>
          <w:tcPr>
            <w:tcW w:w="329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复垦位置</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宋体" w:hAnsi="宋体" w:eastAsia="宋体" w:cs="宋体"/>
                <w:i w:val="0"/>
                <w:iCs w:val="0"/>
                <w:color w:val="auto"/>
                <w:sz w:val="24"/>
                <w:szCs w:val="24"/>
                <w:u w:val="none"/>
                <w:vertAlign w:val="baseline"/>
                <w:lang w:val="en-US"/>
              </w:rPr>
            </w:pPr>
            <w:r>
              <w:rPr>
                <w:rFonts w:hint="eastAsia" w:ascii="宋体" w:hAnsi="宋体" w:eastAsia="宋体" w:cs="宋体"/>
                <w:i w:val="0"/>
                <w:iCs w:val="0"/>
                <w:color w:val="auto"/>
                <w:kern w:val="0"/>
                <w:sz w:val="24"/>
                <w:szCs w:val="24"/>
                <w:u w:val="none"/>
                <w:lang w:val="en-US" w:eastAsia="zh-CN" w:bidi="ar"/>
              </w:rPr>
              <w:t>客土量m</w:t>
            </w:r>
            <w:r>
              <w:rPr>
                <w:rFonts w:hint="eastAsia" w:ascii="宋体" w:hAnsi="宋体" w:eastAsia="宋体" w:cs="宋体"/>
                <w:i w:val="0"/>
                <w:iCs w:val="0"/>
                <w:color w:val="auto"/>
                <w:kern w:val="0"/>
                <w:sz w:val="24"/>
                <w:szCs w:val="24"/>
                <w:u w:val="none"/>
                <w:vertAlign w:val="superscript"/>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90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2023</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2024</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废弃露天采场</w:t>
            </w:r>
            <w:r>
              <w:rPr>
                <w:rFonts w:hint="default" w:ascii="Times New Roman" w:hAnsi="Times New Roman" w:eastAsia="宋体" w:cs="Times New Roman"/>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、露天采场</w:t>
            </w:r>
            <w:r>
              <w:rPr>
                <w:rFonts w:hint="default" w:ascii="Times New Roman" w:hAnsi="Times New Roman" w:eastAsia="宋体" w:cs="Times New Roman"/>
                <w:i w:val="0"/>
                <w:iCs w:val="0"/>
                <w:color w:val="auto"/>
                <w:kern w:val="0"/>
                <w:sz w:val="24"/>
                <w:szCs w:val="24"/>
                <w:u w:val="none"/>
                <w:lang w:val="en-US" w:eastAsia="zh-CN" w:bidi="ar"/>
              </w:rPr>
              <w:t>3</w:t>
            </w:r>
            <w:r>
              <w:rPr>
                <w:rFonts w:hint="eastAsia" w:ascii="宋体" w:hAnsi="宋体" w:eastAsia="宋体" w:cs="宋体"/>
                <w:i w:val="0"/>
                <w:iCs w:val="0"/>
                <w:color w:val="auto"/>
                <w:kern w:val="0"/>
                <w:sz w:val="24"/>
                <w:szCs w:val="24"/>
                <w:u w:val="none"/>
                <w:lang w:val="en-US" w:eastAsia="zh-CN" w:bidi="ar"/>
              </w:rPr>
              <w:t>、露天采场</w:t>
            </w:r>
            <w:r>
              <w:rPr>
                <w:rFonts w:hint="default" w:ascii="Times New Roman" w:hAnsi="Times New Roman" w:eastAsia="宋体" w:cs="Times New Roman"/>
                <w:i w:val="0"/>
                <w:iCs w:val="0"/>
                <w:color w:val="auto"/>
                <w:kern w:val="0"/>
                <w:sz w:val="24"/>
                <w:szCs w:val="24"/>
                <w:u w:val="none"/>
                <w:lang w:val="en-US" w:eastAsia="zh-CN" w:bidi="ar"/>
              </w:rPr>
              <w:t>4</w:t>
            </w:r>
            <w:r>
              <w:rPr>
                <w:rFonts w:hint="default" w:ascii="Times New Roman" w:hAnsi="Times New Roman" w:eastAsia="宋体" w:cs="Times New Roman"/>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拟建露天采场二</w:t>
            </w:r>
            <w:r>
              <w:rPr>
                <w:rFonts w:hint="default" w:ascii="Times New Roman" w:hAnsi="Times New Roman" w:eastAsia="宋体" w:cs="Times New Roman"/>
                <w:i w:val="0"/>
                <w:iCs w:val="0"/>
                <w:color w:val="auto"/>
                <w:kern w:val="0"/>
                <w:sz w:val="24"/>
                <w:szCs w:val="24"/>
                <w:u w:val="none"/>
                <w:lang w:val="en-US" w:eastAsia="zh-CN" w:bidi="ar"/>
              </w:rPr>
              <w:t>420m</w:t>
            </w:r>
            <w:r>
              <w:rPr>
                <w:rFonts w:hint="eastAsia" w:ascii="宋体" w:hAnsi="宋体" w:eastAsia="宋体" w:cs="宋体"/>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400m</w:t>
            </w:r>
            <w:r>
              <w:rPr>
                <w:rFonts w:hint="eastAsia" w:ascii="宋体" w:hAnsi="宋体" w:eastAsia="宋体" w:cs="宋体"/>
                <w:i w:val="0"/>
                <w:iCs w:val="0"/>
                <w:color w:val="auto"/>
                <w:kern w:val="0"/>
                <w:sz w:val="24"/>
                <w:szCs w:val="24"/>
                <w:u w:val="none"/>
                <w:lang w:val="en-US" w:eastAsia="zh-CN" w:bidi="ar"/>
              </w:rPr>
              <w:t>平台</w:t>
            </w:r>
            <w:r>
              <w:rPr>
                <w:rFonts w:hint="default" w:ascii="Times New Roman" w:hAnsi="Times New Roman" w:eastAsia="宋体" w:cs="Times New Roman"/>
                <w:i w:val="0"/>
                <w:iCs w:val="0"/>
                <w:color w:val="auto"/>
                <w:kern w:val="0"/>
                <w:sz w:val="24"/>
                <w:szCs w:val="24"/>
                <w:u w:val="none"/>
                <w:lang w:val="en-US" w:eastAsia="zh-CN" w:bidi="ar"/>
              </w:rPr>
              <w:br w:type="textWrapping"/>
            </w:r>
            <w:r>
              <w:rPr>
                <w:rFonts w:hint="eastAsia" w:ascii="宋体" w:hAnsi="宋体" w:eastAsia="宋体" w:cs="宋体"/>
                <w:i w:val="0"/>
                <w:iCs w:val="0"/>
                <w:color w:val="auto"/>
                <w:kern w:val="0"/>
                <w:sz w:val="24"/>
                <w:szCs w:val="24"/>
                <w:u w:val="none"/>
                <w:lang w:val="en-US" w:eastAsia="zh-CN" w:bidi="ar"/>
              </w:rPr>
              <w:t>拟建露天采场一</w:t>
            </w:r>
            <w:r>
              <w:rPr>
                <w:rFonts w:hint="default" w:ascii="Times New Roman" w:hAnsi="Times New Roman" w:eastAsia="宋体" w:cs="Times New Roman"/>
                <w:i w:val="0"/>
                <w:iCs w:val="0"/>
                <w:color w:val="auto"/>
                <w:kern w:val="0"/>
                <w:sz w:val="24"/>
                <w:szCs w:val="24"/>
                <w:u w:val="none"/>
                <w:lang w:val="en-US" w:eastAsia="zh-CN" w:bidi="ar"/>
              </w:rPr>
              <w:t>370m</w:t>
            </w:r>
            <w:r>
              <w:rPr>
                <w:rFonts w:hint="eastAsia" w:ascii="宋体" w:hAnsi="宋体" w:eastAsia="宋体" w:cs="宋体"/>
                <w:i w:val="0"/>
                <w:iCs w:val="0"/>
                <w:color w:val="auto"/>
                <w:kern w:val="0"/>
                <w:sz w:val="24"/>
                <w:szCs w:val="24"/>
                <w:u w:val="none"/>
                <w:lang w:val="en-US" w:eastAsia="zh-CN" w:bidi="ar"/>
              </w:rPr>
              <w:t>、</w:t>
            </w:r>
            <w:r>
              <w:rPr>
                <w:rFonts w:hint="default" w:ascii="Times New Roman" w:hAnsi="Times New Roman" w:eastAsia="宋体" w:cs="Times New Roman"/>
                <w:i w:val="0"/>
                <w:iCs w:val="0"/>
                <w:color w:val="auto"/>
                <w:kern w:val="0"/>
                <w:sz w:val="24"/>
                <w:szCs w:val="24"/>
                <w:u w:val="none"/>
                <w:lang w:val="en-US" w:eastAsia="zh-CN" w:bidi="ar"/>
              </w:rPr>
              <w:t>350m</w:t>
            </w:r>
            <w:r>
              <w:rPr>
                <w:rFonts w:hint="eastAsia" w:ascii="宋体" w:hAnsi="宋体" w:eastAsia="宋体" w:cs="宋体"/>
                <w:i w:val="0"/>
                <w:iCs w:val="0"/>
                <w:color w:val="auto"/>
                <w:kern w:val="0"/>
                <w:sz w:val="24"/>
                <w:szCs w:val="24"/>
                <w:u w:val="none"/>
                <w:lang w:val="en-US" w:eastAsia="zh-CN" w:bidi="ar"/>
              </w:rPr>
              <w:t>平台、排岩场</w:t>
            </w:r>
            <w:r>
              <w:rPr>
                <w:rFonts w:hint="default" w:ascii="Times New Roman" w:hAnsi="Times New Roman" w:eastAsia="宋体" w:cs="Times New Roman"/>
                <w:i w:val="0"/>
                <w:iCs w:val="0"/>
                <w:color w:val="auto"/>
                <w:kern w:val="0"/>
                <w:sz w:val="24"/>
                <w:szCs w:val="24"/>
                <w:u w:val="none"/>
                <w:lang w:val="en-US" w:eastAsia="zh-CN" w:bidi="ar"/>
              </w:rPr>
              <w:t>2</w:t>
            </w:r>
            <w:r>
              <w:rPr>
                <w:rFonts w:hint="eastAsia" w:ascii="宋体" w:hAnsi="宋体" w:eastAsia="宋体" w:cs="宋体"/>
                <w:i w:val="0"/>
                <w:iCs w:val="0"/>
                <w:color w:val="auto"/>
                <w:kern w:val="0"/>
                <w:sz w:val="24"/>
                <w:szCs w:val="24"/>
                <w:u w:val="none"/>
                <w:lang w:val="en-US" w:eastAsia="zh-CN" w:bidi="ar"/>
              </w:rPr>
              <w:t>、排岩场</w:t>
            </w:r>
            <w:r>
              <w:rPr>
                <w:rFonts w:hint="default" w:ascii="Times New Roman" w:hAnsi="Times New Roman" w:eastAsia="宋体" w:cs="Times New Roman"/>
                <w:i w:val="0"/>
                <w:iCs w:val="0"/>
                <w:color w:val="auto"/>
                <w:kern w:val="0"/>
                <w:sz w:val="24"/>
                <w:szCs w:val="24"/>
                <w:u w:val="none"/>
                <w:lang w:val="en-US" w:eastAsia="zh-CN" w:bidi="ar"/>
              </w:rPr>
              <w:t>4</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6120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2024</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2025</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拟建露天采场二</w:t>
            </w:r>
            <w:r>
              <w:rPr>
                <w:rFonts w:hint="default" w:ascii="Times New Roman" w:hAnsi="Times New Roman" w:eastAsia="宋体" w:cs="Times New Roman"/>
                <w:i w:val="0"/>
                <w:iCs w:val="0"/>
                <w:color w:val="auto"/>
                <w:kern w:val="0"/>
                <w:sz w:val="24"/>
                <w:szCs w:val="24"/>
                <w:u w:val="none"/>
                <w:lang w:val="en-US" w:eastAsia="zh-CN" w:bidi="ar"/>
              </w:rPr>
              <w:t>380m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3535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2025</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2026</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拟建露天采场二</w:t>
            </w:r>
            <w:r>
              <w:rPr>
                <w:rFonts w:hint="default" w:ascii="Times New Roman" w:hAnsi="Times New Roman" w:eastAsia="宋体" w:cs="Times New Roman"/>
                <w:i w:val="0"/>
                <w:iCs w:val="0"/>
                <w:color w:val="auto"/>
                <w:kern w:val="0"/>
                <w:sz w:val="24"/>
                <w:szCs w:val="24"/>
                <w:u w:val="none"/>
                <w:lang w:val="en-US" w:eastAsia="zh-CN" w:bidi="ar"/>
              </w:rPr>
              <w:t>360m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1286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2026</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2027</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拟建露天采场一</w:t>
            </w:r>
            <w:r>
              <w:rPr>
                <w:rFonts w:hint="default" w:ascii="Times New Roman" w:hAnsi="Times New Roman" w:eastAsia="宋体" w:cs="Times New Roman"/>
                <w:i w:val="0"/>
                <w:iCs w:val="0"/>
                <w:color w:val="auto"/>
                <w:kern w:val="0"/>
                <w:sz w:val="24"/>
                <w:szCs w:val="24"/>
                <w:u w:val="none"/>
                <w:lang w:val="en-US" w:eastAsia="zh-CN" w:bidi="ar"/>
              </w:rPr>
              <w:t>330m</w:t>
            </w:r>
            <w:r>
              <w:rPr>
                <w:rFonts w:hint="eastAsia" w:ascii="宋体" w:hAnsi="宋体" w:eastAsia="宋体" w:cs="宋体"/>
                <w:i w:val="0"/>
                <w:iCs w:val="0"/>
                <w:color w:val="auto"/>
                <w:kern w:val="0"/>
                <w:sz w:val="24"/>
                <w:szCs w:val="24"/>
                <w:u w:val="none"/>
                <w:lang w:val="en-US" w:eastAsia="zh-CN" w:bidi="ar"/>
              </w:rPr>
              <w:t>平台、拟建露天采场二</w:t>
            </w:r>
            <w:r>
              <w:rPr>
                <w:rFonts w:hint="default" w:ascii="Times New Roman" w:hAnsi="Times New Roman" w:eastAsia="宋体" w:cs="Times New Roman"/>
                <w:i w:val="0"/>
                <w:iCs w:val="0"/>
                <w:color w:val="auto"/>
                <w:kern w:val="0"/>
                <w:sz w:val="24"/>
                <w:szCs w:val="24"/>
                <w:u w:val="none"/>
                <w:lang w:val="en-US" w:eastAsia="zh-CN" w:bidi="ar"/>
              </w:rPr>
              <w:t>340m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4419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2029</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2030</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拟建露天采场一</w:t>
            </w:r>
            <w:r>
              <w:rPr>
                <w:rFonts w:hint="default" w:ascii="Times New Roman" w:hAnsi="Times New Roman" w:eastAsia="宋体" w:cs="Times New Roman"/>
                <w:i w:val="0"/>
                <w:iCs w:val="0"/>
                <w:color w:val="auto"/>
                <w:kern w:val="0"/>
                <w:sz w:val="24"/>
                <w:szCs w:val="24"/>
                <w:u w:val="none"/>
                <w:lang w:val="en-US" w:eastAsia="zh-CN" w:bidi="ar"/>
              </w:rPr>
              <w:t>310m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6606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2033</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7</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2034</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6</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拟建露天采场一</w:t>
            </w:r>
            <w:r>
              <w:rPr>
                <w:rFonts w:hint="default" w:ascii="Times New Roman" w:hAnsi="Times New Roman" w:eastAsia="宋体" w:cs="Times New Roman"/>
                <w:i w:val="0"/>
                <w:iCs w:val="0"/>
                <w:color w:val="auto"/>
                <w:kern w:val="0"/>
                <w:sz w:val="24"/>
                <w:szCs w:val="24"/>
                <w:u w:val="none"/>
                <w:lang w:val="en-US" w:eastAsia="zh-CN" w:bidi="ar"/>
              </w:rPr>
              <w:t>290m</w:t>
            </w:r>
            <w:r>
              <w:rPr>
                <w:rFonts w:hint="eastAsia" w:ascii="宋体" w:hAnsi="宋体" w:eastAsia="宋体" w:cs="宋体"/>
                <w:i w:val="0"/>
                <w:iCs w:val="0"/>
                <w:color w:val="auto"/>
                <w:kern w:val="0"/>
                <w:sz w:val="24"/>
                <w:szCs w:val="24"/>
                <w:u w:val="none"/>
                <w:lang w:val="en-US" w:eastAsia="zh-CN" w:bidi="ar"/>
              </w:rPr>
              <w:t>平台</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1962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988"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4"/>
                <w:szCs w:val="24"/>
                <w:u w:val="none"/>
                <w:lang w:val="en-US" w:eastAsia="zh-CN" w:bidi="ar"/>
              </w:rPr>
            </w:pPr>
            <w:r>
              <w:rPr>
                <w:rFonts w:hint="default" w:ascii="Times New Roman" w:hAnsi="Times New Roman" w:eastAsia="宋体" w:cs="Times New Roman"/>
                <w:i w:val="0"/>
                <w:iCs w:val="0"/>
                <w:color w:val="auto"/>
                <w:kern w:val="0"/>
                <w:sz w:val="24"/>
                <w:szCs w:val="24"/>
                <w:u w:val="none"/>
                <w:lang w:val="en-US" w:eastAsia="zh-CN" w:bidi="ar"/>
              </w:rPr>
              <w:t>2037</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5</w:t>
            </w:r>
            <w:r>
              <w:rPr>
                <w:rFonts w:hint="eastAsia" w:ascii="宋体" w:hAnsi="宋体" w:eastAsia="宋体" w:cs="宋体"/>
                <w:i w:val="0"/>
                <w:iCs w:val="0"/>
                <w:color w:val="auto"/>
                <w:kern w:val="0"/>
                <w:sz w:val="24"/>
                <w:szCs w:val="24"/>
                <w:u w:val="none"/>
                <w:lang w:val="en-US" w:eastAsia="zh-CN" w:bidi="ar"/>
              </w:rPr>
              <w:t>月</w:t>
            </w:r>
            <w:r>
              <w:rPr>
                <w:rFonts w:hint="default" w:ascii="Times New Roman" w:hAnsi="Times New Roman" w:eastAsia="宋体" w:cs="Times New Roman"/>
                <w:i w:val="0"/>
                <w:iCs w:val="0"/>
                <w:color w:val="auto"/>
                <w:kern w:val="0"/>
                <w:sz w:val="24"/>
                <w:szCs w:val="24"/>
                <w:u w:val="none"/>
                <w:lang w:val="en-US" w:eastAsia="zh-CN" w:bidi="ar"/>
              </w:rPr>
              <w:t>-</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rPr>
            </w:pPr>
            <w:r>
              <w:rPr>
                <w:rFonts w:hint="default" w:ascii="Times New Roman" w:hAnsi="Times New Roman" w:eastAsia="宋体" w:cs="Times New Roman"/>
                <w:i w:val="0"/>
                <w:iCs w:val="0"/>
                <w:color w:val="auto"/>
                <w:kern w:val="0"/>
                <w:sz w:val="24"/>
                <w:szCs w:val="24"/>
                <w:u w:val="none"/>
                <w:lang w:val="en-US" w:eastAsia="zh-CN" w:bidi="ar"/>
              </w:rPr>
              <w:t>2038</w:t>
            </w:r>
            <w:r>
              <w:rPr>
                <w:rFonts w:hint="eastAsia" w:ascii="宋体" w:hAnsi="宋体" w:eastAsia="宋体" w:cs="宋体"/>
                <w:i w:val="0"/>
                <w:iCs w:val="0"/>
                <w:color w:val="auto"/>
                <w:kern w:val="0"/>
                <w:sz w:val="24"/>
                <w:szCs w:val="24"/>
                <w:u w:val="none"/>
                <w:lang w:val="en-US" w:eastAsia="zh-CN" w:bidi="ar"/>
              </w:rPr>
              <w:t>年</w:t>
            </w:r>
            <w:r>
              <w:rPr>
                <w:rFonts w:hint="default" w:ascii="Times New Roman" w:hAnsi="Times New Roman" w:eastAsia="宋体" w:cs="Times New Roman"/>
                <w:i w:val="0"/>
                <w:iCs w:val="0"/>
                <w:color w:val="auto"/>
                <w:kern w:val="0"/>
                <w:sz w:val="24"/>
                <w:szCs w:val="24"/>
                <w:u w:val="none"/>
                <w:lang w:val="en-US" w:eastAsia="zh-CN" w:bidi="ar"/>
              </w:rPr>
              <w:t>4</w:t>
            </w:r>
            <w:r>
              <w:rPr>
                <w:rFonts w:hint="eastAsia" w:ascii="宋体" w:hAnsi="宋体" w:eastAsia="宋体" w:cs="宋体"/>
                <w:i w:val="0"/>
                <w:iCs w:val="0"/>
                <w:color w:val="auto"/>
                <w:kern w:val="0"/>
                <w:sz w:val="24"/>
                <w:szCs w:val="24"/>
                <w:u w:val="none"/>
                <w:lang w:val="en-US" w:eastAsia="zh-CN" w:bidi="ar"/>
              </w:rPr>
              <w:t>月</w:t>
            </w:r>
          </w:p>
        </w:tc>
        <w:tc>
          <w:tcPr>
            <w:tcW w:w="329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4"/>
                <w:szCs w:val="24"/>
                <w:u w:val="none"/>
              </w:rPr>
            </w:pPr>
            <w:r>
              <w:rPr>
                <w:rFonts w:hint="eastAsia" w:ascii="宋体" w:hAnsi="宋体" w:eastAsia="宋体" w:cs="宋体"/>
                <w:i w:val="0"/>
                <w:iCs w:val="0"/>
                <w:color w:val="auto"/>
                <w:kern w:val="0"/>
                <w:sz w:val="24"/>
                <w:szCs w:val="24"/>
                <w:u w:val="none"/>
                <w:lang w:val="en-US" w:eastAsia="zh-CN" w:bidi="ar"/>
              </w:rPr>
              <w:t>地表建筑物设施</w:t>
            </w:r>
          </w:p>
        </w:tc>
        <w:tc>
          <w:tcPr>
            <w:tcW w:w="71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lang w:val="en-US"/>
              </w:rPr>
            </w:pPr>
            <w:r>
              <w:rPr>
                <w:rFonts w:hint="eastAsia" w:ascii="Times New Roman" w:hAnsi="Times New Roman" w:eastAsia="宋体" w:cs="Times New Roman"/>
                <w:i w:val="0"/>
                <w:iCs w:val="0"/>
                <w:color w:val="auto"/>
                <w:kern w:val="0"/>
                <w:sz w:val="24"/>
                <w:szCs w:val="24"/>
                <w:u w:val="none"/>
                <w:lang w:val="en-US" w:eastAsia="zh-CN" w:bidi="ar"/>
              </w:rPr>
              <w:t>185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0" w:hRule="atLeast"/>
        </w:trPr>
        <w:tc>
          <w:tcPr>
            <w:tcW w:w="4288" w:type="pct"/>
            <w:gridSpan w:val="2"/>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eastAsia" w:ascii="Times New Roman" w:hAnsi="Times New Roman" w:eastAsia="宋体" w:cs="Times New Roman"/>
                <w:i w:val="0"/>
                <w:iCs w:val="0"/>
                <w:color w:val="auto"/>
                <w:sz w:val="24"/>
                <w:szCs w:val="24"/>
                <w:u w:val="none"/>
                <w:lang w:val="en-US" w:eastAsia="zh-CN"/>
              </w:rPr>
            </w:pPr>
            <w:r>
              <w:rPr>
                <w:rFonts w:hint="eastAsia" w:ascii="Times New Roman" w:hAnsi="Times New Roman" w:eastAsia="宋体" w:cs="Times New Roman"/>
                <w:i w:val="0"/>
                <w:iCs w:val="0"/>
                <w:color w:val="auto"/>
                <w:sz w:val="24"/>
                <w:szCs w:val="24"/>
                <w:u w:val="none"/>
                <w:lang w:val="en-US" w:eastAsia="zh-CN"/>
              </w:rPr>
              <w:t>合计</w:t>
            </w:r>
          </w:p>
        </w:tc>
        <w:tc>
          <w:tcPr>
            <w:tcW w:w="711"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4"/>
                <w:szCs w:val="24"/>
                <w:u w:val="none"/>
                <w:lang w:val="en-US"/>
              </w:rPr>
            </w:pPr>
            <w:r>
              <w:rPr>
                <w:rFonts w:hint="eastAsia" w:ascii="Times New Roman" w:hAnsi="Times New Roman" w:eastAsia="宋体" w:cs="Times New Roman"/>
                <w:i w:val="0"/>
                <w:iCs w:val="0"/>
                <w:color w:val="auto"/>
                <w:kern w:val="0"/>
                <w:sz w:val="24"/>
                <w:szCs w:val="24"/>
                <w:u w:val="none"/>
                <w:lang w:val="en-US" w:eastAsia="zh-CN" w:bidi="ar"/>
              </w:rPr>
              <w:t>24113</w:t>
            </w:r>
          </w:p>
        </w:tc>
      </w:tr>
    </w:tbl>
    <w:p>
      <w:pPr>
        <w:bidi w:val="0"/>
        <w:rPr>
          <w:rFonts w:hint="eastAsia"/>
          <w:color w:val="auto"/>
          <w:lang w:val="en-US" w:eastAsia="zh-CN"/>
        </w:rPr>
      </w:pPr>
      <w:r>
        <w:rPr>
          <w:rFonts w:hint="eastAsia"/>
          <w:color w:val="auto"/>
          <w:lang w:val="en-US" w:eastAsia="zh-CN"/>
        </w:rPr>
        <w:t>综上，</w:t>
      </w:r>
      <w:r>
        <w:rPr>
          <w:rFonts w:hint="eastAsia" w:cs="Times New Roman"/>
          <w:color w:val="auto"/>
          <w:highlight w:val="none"/>
          <w:lang w:val="en-US" w:eastAsia="zh-CN"/>
        </w:rPr>
        <w:t>矿区复垦</w:t>
      </w:r>
      <w:r>
        <w:rPr>
          <w:rFonts w:hint="default" w:ascii="Times New Roman" w:hAnsi="Times New Roman" w:eastAsia="宋体" w:cs="Times New Roman"/>
          <w:color w:val="auto"/>
          <w:highlight w:val="none"/>
        </w:rPr>
        <w:t>客土量约35106m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，剥离表土可全部用于复垦</w:t>
      </w:r>
      <w:r>
        <w:rPr>
          <w:rFonts w:hint="default"/>
          <w:color w:val="auto"/>
          <w:lang w:val="en-US" w:eastAsia="zh-CN"/>
        </w:rPr>
        <w:t>，</w:t>
      </w:r>
      <w:r>
        <w:rPr>
          <w:rFonts w:hint="default"/>
          <w:color w:val="auto"/>
        </w:rPr>
        <w:t>矿山</w:t>
      </w:r>
      <w:r>
        <w:rPr>
          <w:rFonts w:hint="eastAsia"/>
          <w:color w:val="auto"/>
          <w:lang w:val="en-US" w:eastAsia="zh-CN"/>
        </w:rPr>
        <w:t>可</w:t>
      </w:r>
      <w:r>
        <w:rPr>
          <w:rFonts w:hint="default"/>
          <w:color w:val="auto"/>
        </w:rPr>
        <w:t>不再</w:t>
      </w:r>
      <w:r>
        <w:rPr>
          <w:rFonts w:hint="eastAsia"/>
          <w:color w:val="auto"/>
          <w:lang w:val="en-US" w:eastAsia="zh-CN"/>
        </w:rPr>
        <w:t>设置</w:t>
      </w:r>
      <w:r>
        <w:rPr>
          <w:rFonts w:hint="default"/>
          <w:color w:val="auto"/>
        </w:rPr>
        <w:t>单独</w:t>
      </w:r>
      <w:r>
        <w:rPr>
          <w:rFonts w:hint="eastAsia"/>
          <w:color w:val="auto"/>
          <w:lang w:val="en-US" w:eastAsia="zh-CN"/>
        </w:rPr>
        <w:t>表土场</w:t>
      </w:r>
      <w:r>
        <w:rPr>
          <w:rFonts w:hint="default"/>
          <w:color w:val="auto"/>
        </w:rPr>
        <w:t>。新建</w:t>
      </w:r>
      <w:r>
        <w:rPr>
          <w:rFonts w:hint="eastAsia"/>
          <w:color w:val="auto"/>
          <w:lang w:val="en-US" w:eastAsia="zh-CN"/>
        </w:rPr>
        <w:t>露天采场二</w:t>
      </w:r>
      <w:r>
        <w:rPr>
          <w:rFonts w:hint="default"/>
          <w:color w:val="auto"/>
        </w:rPr>
        <w:t>采场底部平台占地面积约0.902万m</w:t>
      </w:r>
      <w:r>
        <w:rPr>
          <w:rFonts w:hint="default"/>
          <w:color w:val="auto"/>
          <w:vertAlign w:val="superscript"/>
        </w:rPr>
        <w:t>2</w:t>
      </w:r>
      <w:r>
        <w:rPr>
          <w:rFonts w:hint="default"/>
          <w:color w:val="auto"/>
        </w:rPr>
        <w:t>，顶部标高为+35</w:t>
      </w:r>
      <w:r>
        <w:rPr>
          <w:rFonts w:hint="eastAsia"/>
          <w:color w:val="auto"/>
          <w:lang w:val="en-US" w:eastAsia="zh-CN"/>
        </w:rPr>
        <w:t>5</w:t>
      </w:r>
      <w:r>
        <w:rPr>
          <w:rFonts w:hint="default"/>
          <w:color w:val="auto"/>
        </w:rPr>
        <w:t>m，底部标高+3</w:t>
      </w:r>
      <w:r>
        <w:rPr>
          <w:rFonts w:hint="eastAsia"/>
          <w:color w:val="auto"/>
          <w:lang w:val="en-US" w:eastAsia="zh-CN"/>
        </w:rPr>
        <w:t>40</w:t>
      </w:r>
      <w:r>
        <w:rPr>
          <w:rFonts w:hint="default"/>
          <w:color w:val="auto"/>
        </w:rPr>
        <w:t>m，总容积7.44万m</w:t>
      </w:r>
      <w:r>
        <w:rPr>
          <w:rFonts w:hint="eastAsia"/>
          <w:color w:val="auto"/>
          <w:vertAlign w:val="superscript"/>
          <w:lang w:val="en-US" w:eastAsia="zh-CN"/>
        </w:rPr>
        <w:t>3</w:t>
      </w:r>
      <w:r>
        <w:rPr>
          <w:rFonts w:hint="eastAsia"/>
          <w:color w:val="auto"/>
          <w:lang w:val="en-US" w:eastAsia="zh-CN"/>
        </w:rPr>
        <w:t>，可满足采场排土需求。</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3、建筑垃圾</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建筑垃圾主要包括土建施工过程中废弃的碎砖、石、砼块等和各类包装箱、纸等，产生量较少。施工阶段首先对建筑垃圾中可回收利用部分进行回收，不能利用部分全部用作场地平整或填垫路基使用，不排放。</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4、生活垃圾</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基建期</w:t>
      </w:r>
      <w:r>
        <w:rPr>
          <w:rFonts w:hint="default" w:ascii="Times New Roman" w:hAnsi="Times New Roman" w:eastAsia="宋体" w:cs="Times New Roman"/>
          <w:color w:val="auto"/>
          <w:highlight w:val="none"/>
        </w:rPr>
        <w:t>生活垃圾委托当地环卫部门及时清运。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综上所述，本项目</w:t>
      </w:r>
      <w:r>
        <w:rPr>
          <w:rFonts w:hint="default" w:ascii="Times New Roman" w:hAnsi="Times New Roman" w:eastAsia="宋体" w:cs="Times New Roman"/>
          <w:color w:val="auto"/>
          <w:highlight w:val="none"/>
          <w:lang w:val="en-US" w:eastAsia="zh-CN"/>
        </w:rPr>
        <w:t>基建期</w:t>
      </w:r>
      <w:r>
        <w:rPr>
          <w:rFonts w:hint="default" w:ascii="Times New Roman" w:hAnsi="Times New Roman" w:eastAsia="宋体" w:cs="Times New Roman"/>
          <w:color w:val="auto"/>
          <w:highlight w:val="none"/>
        </w:rPr>
        <w:t>固体废物按照废物的性质分别进行合理的处置，固废处置率100%，对周围环境影响较小。</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基建期</w:t>
      </w:r>
      <w:r>
        <w:rPr>
          <w:rFonts w:hint="eastAsia" w:ascii="Times New Roman" w:hAnsi="Times New Roman" w:eastAsia="宋体" w:cs="Times New Roman"/>
          <w:color w:val="auto"/>
          <w:highlight w:val="none"/>
          <w:lang w:val="en-US" w:eastAsia="zh-CN"/>
        </w:rPr>
        <w:t>土壤</w:t>
      </w:r>
      <w:r>
        <w:rPr>
          <w:rFonts w:hint="default" w:ascii="Times New Roman" w:hAnsi="Times New Roman" w:eastAsia="宋体" w:cs="Times New Roman"/>
          <w:color w:val="auto"/>
          <w:highlight w:val="none"/>
          <w:lang w:val="en-US" w:eastAsia="zh-CN"/>
        </w:rPr>
        <w:t>环境影响分析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项目建设活动中产生的废水、废气和废</w:t>
      </w:r>
      <w:r>
        <w:rPr>
          <w:rFonts w:hint="eastAsia" w:ascii="Times New Roman" w:hAnsi="Times New Roman" w:eastAsia="宋体" w:cs="Times New Roman"/>
          <w:color w:val="auto"/>
          <w:highlight w:val="none"/>
          <w:lang w:val="en-US" w:eastAsia="zh-CN"/>
        </w:rPr>
        <w:t>石</w:t>
      </w:r>
      <w:r>
        <w:rPr>
          <w:rFonts w:hint="default" w:ascii="Times New Roman" w:hAnsi="Times New Roman" w:eastAsia="宋体" w:cs="Times New Roman"/>
          <w:color w:val="auto"/>
          <w:highlight w:val="none"/>
        </w:rPr>
        <w:t>等典型污染物质，会对土壤产生严重负面影响。工业场地、</w:t>
      </w:r>
      <w:r>
        <w:rPr>
          <w:rFonts w:hint="eastAsia" w:ascii="Times New Roman" w:hAnsi="Times New Roman" w:eastAsia="宋体" w:cs="Times New Roman"/>
          <w:color w:val="auto"/>
          <w:highlight w:val="none"/>
          <w:lang w:val="en-US" w:eastAsia="zh-CN"/>
        </w:rPr>
        <w:t>废石</w:t>
      </w:r>
      <w:r>
        <w:rPr>
          <w:rFonts w:hint="default" w:ascii="Times New Roman" w:hAnsi="Times New Roman" w:eastAsia="宋体" w:cs="Times New Roman"/>
          <w:color w:val="auto"/>
          <w:highlight w:val="none"/>
        </w:rPr>
        <w:t>主要以占用和污染两种方式污损土壤。污染影响形式为大气沉降、地面漫流和垂直入渗。</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施工期对土壤的影响主要是表土扰动造成水土流失后土壤肥力降低，以及土壤板结、碱化，施工期间的污废水排放，固体废物堆存，及施工设备漏油等，造成污染物进入土壤环境。</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建设期污废水主要来源于施工人员生活污水和建筑施工废水。施工工地生活污水集中收集，经化粪池处理后用于场地绿化，不随意外排；施工废水采取防渗沉淀池处理后回用于工程施工不外排。因此，施工期废水对土壤环境造成影响有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期大气污染主要为施工扬尘和机械设备排放的尾气，而施工扬尘对环境的影响最为明显。由于施工场地设置围栏、洒水抑尘、覆盖防尘、限制车速、保持施工场地洁净、避免大风天气作业等防尘措施，且施工场地已经干化结实，起尘量</w:t>
      </w:r>
      <w:r>
        <w:rPr>
          <w:rFonts w:hint="eastAsia" w:cs="Times New Roman"/>
          <w:color w:val="auto"/>
          <w:highlight w:val="none"/>
          <w:lang w:val="en-US" w:eastAsia="zh-CN"/>
        </w:rPr>
        <w:t>较</w:t>
      </w:r>
      <w:r>
        <w:rPr>
          <w:rFonts w:hint="default" w:ascii="Times New Roman" w:hAnsi="Times New Roman" w:eastAsia="宋体" w:cs="Times New Roman"/>
          <w:color w:val="auto"/>
          <w:highlight w:val="none"/>
        </w:rPr>
        <w:t>小。因此，本项目施工期产生的扬尘对土壤土壤环境造成影响甚微。</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建设期固体废物主要为土地平整和施工产生的弃渣，弃渣为土石方，不含重金属和无机物、挥发性有机物、半挥发性有机物，因此本项目施工期产生的弃渣对土壤环境造成影响甚微。</w:t>
      </w:r>
    </w:p>
    <w:p>
      <w:pPr>
        <w:pStyle w:val="4"/>
        <w:numPr>
          <w:ilvl w:val="1"/>
          <w:numId w:val="12"/>
        </w:numPr>
        <w:spacing w:before="120" w:after="120"/>
        <w:ind w:left="0" w:leftChars="0" w:firstLineChars="0"/>
        <w:rPr>
          <w:rFonts w:hint="default" w:ascii="Times New Roman" w:hAnsi="Times New Roman" w:eastAsia="宋体" w:cs="Times New Roman"/>
          <w:snapToGrid w:val="0"/>
          <w:color w:val="auto"/>
          <w:highlight w:val="none"/>
        </w:rPr>
      </w:pPr>
      <w:bookmarkStart w:id="352" w:name="_bookmark95"/>
      <w:bookmarkEnd w:id="352"/>
      <w:bookmarkStart w:id="353" w:name="5.1.7结论"/>
      <w:bookmarkEnd w:id="353"/>
      <w:bookmarkStart w:id="354" w:name="5.1.5生态环境影响分析"/>
      <w:bookmarkEnd w:id="354"/>
      <w:bookmarkStart w:id="355" w:name="_bookmark93"/>
      <w:bookmarkEnd w:id="355"/>
      <w:bookmarkStart w:id="356" w:name="_Toc7465"/>
      <w:r>
        <w:rPr>
          <w:rFonts w:hint="default" w:ascii="Times New Roman" w:hAnsi="Times New Roman" w:eastAsia="宋体" w:cs="Times New Roman"/>
          <w:snapToGrid w:val="0"/>
          <w:color w:val="auto"/>
          <w:highlight w:val="none"/>
          <w:lang w:val="en-US" w:eastAsia="zh-CN"/>
        </w:rPr>
        <w:t>运营期环境影响分析</w:t>
      </w:r>
      <w:bookmarkEnd w:id="356"/>
    </w:p>
    <w:p>
      <w:pPr>
        <w:pStyle w:val="5"/>
        <w:bidi w:val="0"/>
        <w:rPr>
          <w:rFonts w:hint="default" w:ascii="Times New Roman" w:hAnsi="Times New Roman" w:eastAsia="宋体" w:cs="Times New Roman"/>
          <w:color w:val="auto"/>
          <w:highlight w:val="none"/>
          <w:lang w:val="en-US" w:eastAsia="zh-CN"/>
        </w:rPr>
      </w:pPr>
      <w:bookmarkStart w:id="357" w:name="_Toc303671550"/>
      <w:bookmarkStart w:id="358" w:name="_Toc450827047"/>
      <w:bookmarkStart w:id="359" w:name="_Toc316410313"/>
      <w:bookmarkStart w:id="360" w:name="_Toc305953246"/>
      <w:bookmarkStart w:id="361" w:name="_Toc395187022"/>
      <w:bookmarkStart w:id="362" w:name="_Toc368298826"/>
      <w:bookmarkStart w:id="363" w:name="_Toc369000243"/>
      <w:bookmarkStart w:id="364" w:name="_Toc319511282"/>
      <w:bookmarkStart w:id="365" w:name="_Toc368298918"/>
      <w:bookmarkStart w:id="366" w:name="_Toc303671423"/>
      <w:bookmarkStart w:id="367" w:name="_Toc377022559"/>
      <w:bookmarkStart w:id="368" w:name="_Toc15376204"/>
      <w:bookmarkStart w:id="369" w:name="_Toc213731958"/>
      <w:bookmarkStart w:id="370" w:name="_Toc515537852"/>
      <w:r>
        <w:rPr>
          <w:rFonts w:hint="default" w:ascii="Times New Roman" w:hAnsi="Times New Roman" w:eastAsia="宋体" w:cs="Times New Roman"/>
          <w:color w:val="auto"/>
          <w:highlight w:val="none"/>
          <w:lang w:val="en-US" w:eastAsia="zh-CN"/>
        </w:rPr>
        <w:t>环境空气质量影响分析</w:t>
      </w:r>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p>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本项目营运期采矿大气污染物主要包括露天</w:t>
      </w:r>
      <w:r>
        <w:rPr>
          <w:rFonts w:hint="default" w:ascii="Times New Roman" w:hAnsi="Times New Roman" w:eastAsia="宋体" w:cs="Times New Roman"/>
          <w:color w:val="auto"/>
          <w:highlight w:val="none"/>
          <w:lang w:val="en-US" w:eastAsia="zh-CN"/>
        </w:rPr>
        <w:t>和地下开采</w:t>
      </w:r>
      <w:r>
        <w:rPr>
          <w:rFonts w:hint="default" w:ascii="Times New Roman" w:hAnsi="Times New Roman" w:eastAsia="宋体" w:cs="Times New Roman"/>
          <w:color w:val="auto"/>
          <w:kern w:val="0"/>
          <w:highlight w:val="none"/>
          <w:lang w:val="en-US" w:eastAsia="zh-CN"/>
        </w:rPr>
        <w:t>粉尘</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临时排岩场堆场产生的粉尘</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rPr>
        <w:t>道路运输扬尘等。</w:t>
      </w:r>
      <w:r>
        <w:rPr>
          <w:rFonts w:hint="default" w:ascii="Times New Roman" w:hAnsi="Times New Roman" w:eastAsia="宋体" w:cs="Times New Roman"/>
          <w:color w:val="auto"/>
          <w:highlight w:val="none"/>
        </w:rPr>
        <w:t>根据《</w:t>
      </w:r>
      <w:r>
        <w:rPr>
          <w:rFonts w:hint="eastAsia" w:cs="Times New Roman"/>
          <w:color w:val="auto"/>
          <w:highlight w:val="none"/>
          <w:lang w:eastAsia="zh-CN"/>
        </w:rPr>
        <w:t>环境影响评价技术导则—大气环境</w:t>
      </w:r>
      <w:r>
        <w:rPr>
          <w:rFonts w:hint="default" w:ascii="Times New Roman" w:hAnsi="Times New Roman" w:eastAsia="宋体" w:cs="Times New Roman"/>
          <w:color w:val="auto"/>
          <w:highlight w:val="none"/>
        </w:rPr>
        <w:t>》（HJ2.2-2018）的要求，二级评价不进行进一步预测与评价，只对污染物排放量进行核算。</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371" w:name="_Toc450827048"/>
      <w:r>
        <w:rPr>
          <w:rFonts w:hint="default" w:ascii="Times New Roman" w:hAnsi="Times New Roman" w:eastAsia="宋体" w:cs="Times New Roman"/>
          <w:color w:val="auto"/>
          <w:sz w:val="24"/>
          <w:highlight w:val="none"/>
          <w:lang w:val="en-US" w:eastAsia="zh-CN"/>
        </w:rPr>
        <w:t>6.2.1.1</w:t>
      </w:r>
      <w:bookmarkEnd w:id="371"/>
      <w:r>
        <w:rPr>
          <w:rFonts w:hint="default" w:ascii="Times New Roman" w:hAnsi="Times New Roman" w:eastAsia="宋体" w:cs="Times New Roman"/>
          <w:color w:val="auto"/>
          <w:sz w:val="24"/>
          <w:highlight w:val="none"/>
          <w:lang w:val="en-US" w:eastAsia="zh-CN"/>
        </w:rPr>
        <w:t>露天和地下采矿废气环境影响分析</w:t>
      </w:r>
    </w:p>
    <w:p>
      <w:pPr>
        <w:spacing w:line="360" w:lineRule="auto"/>
        <w:ind w:left="120" w:leftChars="50" w:right="120" w:rightChars="5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采矿过程中的</w:t>
      </w:r>
      <w:r>
        <w:rPr>
          <w:rFonts w:hint="default" w:ascii="Times New Roman" w:hAnsi="Times New Roman" w:eastAsia="宋体" w:cs="Times New Roman"/>
          <w:color w:val="auto"/>
          <w:highlight w:val="none"/>
        </w:rPr>
        <w:t>凿岩、</w:t>
      </w:r>
      <w:r>
        <w:rPr>
          <w:rFonts w:hint="default" w:ascii="Times New Roman" w:hAnsi="Times New Roman" w:eastAsia="宋体" w:cs="Times New Roman"/>
          <w:color w:val="auto"/>
          <w:highlight w:val="none"/>
          <w:lang w:val="en-US" w:eastAsia="zh-CN"/>
        </w:rPr>
        <w:t>挖掘、</w:t>
      </w:r>
      <w:r>
        <w:rPr>
          <w:rFonts w:hint="default" w:ascii="Times New Roman" w:hAnsi="Times New Roman" w:eastAsia="宋体" w:cs="Times New Roman"/>
          <w:color w:val="auto"/>
          <w:highlight w:val="none"/>
          <w:lang w:eastAsia="zh-CN"/>
        </w:rPr>
        <w:t>铲装</w:t>
      </w:r>
      <w:r>
        <w:rPr>
          <w:rFonts w:hint="default" w:ascii="Times New Roman" w:hAnsi="Times New Roman" w:eastAsia="宋体" w:cs="Times New Roman"/>
          <w:color w:val="auto"/>
          <w:highlight w:val="none"/>
          <w:lang w:val="en-US" w:eastAsia="zh-CN"/>
        </w:rPr>
        <w:t>、爆破及堆场装卸等环节会产生大量粉尘等废气，由于采矿作业采用湿式凿岩，其他环节都采用洒水抑尘，因此粉尘产生量较少。</w:t>
      </w:r>
    </w:p>
    <w:p>
      <w:pPr>
        <w:spacing w:line="360" w:lineRule="auto"/>
        <w:ind w:left="120" w:leftChars="50" w:right="120" w:rightChars="5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露天开采在开采过程中主要无组织粉尘排放几乎伴随着整个采剥过程，其排放特点是：无组织排放；排放高度低；属于面源污染；排放点多且分散。本项目采用湿式凿岩，作业面喷雾洒水等措施后，</w:t>
      </w:r>
      <w:r>
        <w:rPr>
          <w:rFonts w:hint="default" w:ascii="Times New Roman" w:hAnsi="Times New Roman" w:eastAsia="宋体" w:cs="Times New Roman"/>
          <w:color w:val="auto"/>
          <w:highlight w:val="none"/>
          <w:vertAlign w:val="baseline"/>
          <w:lang w:val="en-US" w:eastAsia="zh-CN"/>
        </w:rPr>
        <w:t>排放的废气对周围环境影响较小。</w:t>
      </w:r>
    </w:p>
    <w:p>
      <w:pPr>
        <w:spacing w:line="360" w:lineRule="auto"/>
        <w:ind w:left="120" w:leftChars="50" w:right="120" w:rightChars="5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下开采废气随风流经平硐集中排出，排入大气环境。为保障井下作业环境，本项目采用湿式凿岩，作业面喷雾洒水等措施。根据类比辽宁地区井下回风坡道实际监测数据，井下回风坡道排放的废气浓度为0.6~1.0mg/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vertAlign w:val="baseline"/>
          <w:lang w:val="en-US" w:eastAsia="zh-CN"/>
        </w:rPr>
        <w:t>。从类比数据可以看出，地下采场平硐排放的废气对周围环境影响较小。</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372" w:name="_Toc450827049"/>
      <w:r>
        <w:rPr>
          <w:rFonts w:hint="default" w:ascii="Times New Roman" w:hAnsi="Times New Roman" w:eastAsia="宋体" w:cs="Times New Roman"/>
          <w:color w:val="auto"/>
          <w:sz w:val="24"/>
          <w:highlight w:val="none"/>
          <w:lang w:val="en-US" w:eastAsia="zh-CN"/>
        </w:rPr>
        <w:t>6.2.1.2</w:t>
      </w:r>
      <w:bookmarkEnd w:id="372"/>
      <w:r>
        <w:rPr>
          <w:rFonts w:hint="default" w:ascii="Times New Roman" w:hAnsi="Times New Roman" w:eastAsia="宋体" w:cs="Times New Roman"/>
          <w:color w:val="auto"/>
          <w:sz w:val="24"/>
          <w:highlight w:val="none"/>
          <w:lang w:val="en-US" w:eastAsia="zh-CN"/>
        </w:rPr>
        <w:t>储存与装卸环节废气环境影响分析</w:t>
      </w:r>
    </w:p>
    <w:p>
      <w:pPr>
        <w:keepNext w:val="0"/>
        <w:keepLines w:val="0"/>
        <w:pageBreakBefore w:val="0"/>
        <w:widowControl w:val="0"/>
        <w:kinsoku/>
        <w:wordWrap/>
        <w:topLinePunct w:val="0"/>
        <w:bidi w:val="0"/>
        <w:adjustRightInd w:val="0"/>
        <w:snapToGrid w:val="0"/>
        <w:spacing w:line="360" w:lineRule="auto"/>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项目矿岩由于粒径较大，</w:t>
      </w:r>
      <w:r>
        <w:rPr>
          <w:rFonts w:hint="default" w:ascii="Times New Roman" w:hAnsi="Times New Roman" w:eastAsia="宋体" w:cs="Times New Roman"/>
          <w:color w:val="auto"/>
          <w:highlight w:val="none"/>
          <w:lang w:val="en-US" w:eastAsia="zh-CN"/>
        </w:rPr>
        <w:t>排岩场</w:t>
      </w:r>
      <w:r>
        <w:rPr>
          <w:rFonts w:hint="default" w:ascii="Times New Roman" w:hAnsi="Times New Roman" w:eastAsia="宋体" w:cs="Times New Roman"/>
          <w:color w:val="auto"/>
          <w:highlight w:val="none"/>
        </w:rPr>
        <w:t>占地面积较小，且随采随走，故堆存产尘量较小，通过定期洒水抑尘，及时转运，大风天气采用苫布覆盖等措施，可将扬尘产生量降至最低，则</w:t>
      </w:r>
      <w:r>
        <w:rPr>
          <w:rFonts w:hint="default" w:ascii="Times New Roman" w:hAnsi="Times New Roman" w:eastAsia="宋体" w:cs="Times New Roman"/>
          <w:color w:val="auto"/>
          <w:highlight w:val="none"/>
          <w:lang w:val="en-US" w:eastAsia="zh-CN"/>
        </w:rPr>
        <w:t>排岩场粉尘</w:t>
      </w:r>
      <w:r>
        <w:rPr>
          <w:rFonts w:hint="default" w:ascii="Times New Roman" w:hAnsi="Times New Roman" w:eastAsia="宋体" w:cs="Times New Roman"/>
          <w:color w:val="auto"/>
          <w:highlight w:val="none"/>
        </w:rPr>
        <w:t>主要产生途径为矿岩装卸过程</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szCs w:val="24"/>
          <w:highlight w:val="none"/>
        </w:rPr>
        <w:t>洒水抑尘后，粉尘排放量0.</w:t>
      </w:r>
      <w:r>
        <w:rPr>
          <w:rFonts w:hint="default" w:ascii="Times New Roman" w:hAnsi="Times New Roman" w:eastAsia="宋体" w:cs="Times New Roman"/>
          <w:color w:val="auto"/>
          <w:sz w:val="24"/>
          <w:szCs w:val="24"/>
          <w:highlight w:val="none"/>
          <w:lang w:val="en-US" w:eastAsia="zh-CN"/>
        </w:rPr>
        <w:t>403</w:t>
      </w:r>
      <w:r>
        <w:rPr>
          <w:rFonts w:hint="default" w:ascii="Times New Roman" w:hAnsi="Times New Roman" w:eastAsia="宋体" w:cs="Times New Roman"/>
          <w:color w:val="auto"/>
          <w:sz w:val="24"/>
          <w:szCs w:val="24"/>
          <w:highlight w:val="none"/>
        </w:rPr>
        <w:t>t/a。</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6.2.1.3运输道路扬尘环境影响分析</w:t>
      </w:r>
    </w:p>
    <w:p>
      <w:pPr>
        <w:spacing w:line="360" w:lineRule="auto"/>
        <w:ind w:left="120" w:leftChars="50" w:right="120" w:rightChars="5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运输扬尘主要是碎石路面产生路面扬尘。由于道路扬尘的特征是大粒径颗粒占有较高比例，粒径在10μm以下的颗粒物仅占12.12%。所以在迁移过程中浓度值下降很快。在一般气象条件下，其重点污染范围不会超过200m（在风速小于4m/s时，距路面200m处的浓度已接近本底值）。但是当地面风速较大时，进入大气环境的道路扬尘其沉降衰减速率必然较小。浓度的变化主要取决于扩散稀释，所以在大风天气其浓度下降幅度较小，影响范围较大。</w:t>
      </w:r>
    </w:p>
    <w:p>
      <w:pPr>
        <w:spacing w:line="360" w:lineRule="auto"/>
        <w:ind w:left="120" w:leftChars="50" w:right="120" w:rightChars="5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本项目运矿道路两侧均为</w:t>
      </w:r>
      <w:r>
        <w:rPr>
          <w:rFonts w:hint="default" w:ascii="Times New Roman" w:hAnsi="Times New Roman" w:eastAsia="宋体" w:cs="Times New Roman"/>
          <w:color w:val="auto"/>
          <w:highlight w:val="none"/>
        </w:rPr>
        <w:t>居民住宅环境敏感点</w:t>
      </w:r>
      <w:r>
        <w:rPr>
          <w:rFonts w:hint="default" w:ascii="Times New Roman" w:hAnsi="Times New Roman" w:eastAsia="宋体" w:cs="Times New Roman"/>
          <w:color w:val="auto"/>
          <w:highlight w:val="none"/>
          <w:lang w:val="en-US" w:eastAsia="zh-CN"/>
        </w:rPr>
        <w:t>。本项目运输道路采用碎石压实路面，环评要求企业运输车辆加盖篷布或使用带盖箱体密封车运输，这样可保证在随时道路上矿石洒落量大大降低。在采取道路洒水抑尘、控制车速、严禁超载、夜间禁运及道路硬化等环保措施下，其对周边的环境影响轻微，矿石运输的环境影响可控制在可接受水平。</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由以上分析可知：对本项目的无组织粉尘污染在采取了上述有效的降尘、防治措施后，其污染影响是有限的，不会对项目区及周边区域产生明显的污染影响，本项目建成投产后对环境的影响是可以接受的。</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6.2.1.4污染物排放量核算</w:t>
      </w:r>
    </w:p>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本项目环境空气污染源主要是矿石装卸及运输产生的无组织粉尘。根据工程分析，本项目大气污染物排放量核算见表</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eastAsia="zh-CN"/>
        </w:rPr>
        <w:t>.2</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1</w:t>
      </w:r>
      <w:r>
        <w:rPr>
          <w:rFonts w:hint="default" w:ascii="Times New Roman" w:hAnsi="Times New Roman" w:eastAsia="宋体" w:cs="Times New Roman"/>
          <w:color w:val="auto"/>
          <w:kern w:val="0"/>
          <w:highlight w:val="none"/>
        </w:rPr>
        <w:t>。</w:t>
      </w:r>
    </w:p>
    <w:p>
      <w:pPr>
        <w:autoSpaceDE w:val="0"/>
        <w:autoSpaceDN w:val="0"/>
        <w:spacing w:line="240" w:lineRule="auto"/>
        <w:ind w:firstLine="422"/>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表</w:t>
      </w:r>
      <w:r>
        <w:rPr>
          <w:rFonts w:hint="default" w:ascii="Times New Roman" w:hAnsi="Times New Roman" w:eastAsia="宋体" w:cs="Times New Roman"/>
          <w:b/>
          <w:color w:val="auto"/>
          <w:kern w:val="0"/>
          <w:sz w:val="21"/>
          <w:szCs w:val="21"/>
          <w:highlight w:val="none"/>
          <w:lang w:val="en-US" w:eastAsia="zh-CN"/>
        </w:rPr>
        <w:t>6</w:t>
      </w:r>
      <w:r>
        <w:rPr>
          <w:rFonts w:hint="default" w:ascii="Times New Roman" w:hAnsi="Times New Roman" w:eastAsia="宋体" w:cs="Times New Roman"/>
          <w:b/>
          <w:color w:val="auto"/>
          <w:kern w:val="0"/>
          <w:sz w:val="21"/>
          <w:szCs w:val="21"/>
          <w:highlight w:val="none"/>
          <w:lang w:eastAsia="zh-CN"/>
        </w:rPr>
        <w:t>.2</w:t>
      </w:r>
      <w:r>
        <w:rPr>
          <w:rFonts w:hint="default" w:ascii="Times New Roman" w:hAnsi="Times New Roman" w:eastAsia="宋体" w:cs="Times New Roman"/>
          <w:b/>
          <w:color w:val="auto"/>
          <w:kern w:val="0"/>
          <w:sz w:val="21"/>
          <w:szCs w:val="21"/>
          <w:highlight w:val="none"/>
        </w:rPr>
        <w:t>-</w:t>
      </w:r>
      <w:r>
        <w:rPr>
          <w:rFonts w:hint="default" w:ascii="Times New Roman" w:hAnsi="Times New Roman" w:eastAsia="宋体" w:cs="Times New Roman"/>
          <w:b/>
          <w:color w:val="auto"/>
          <w:kern w:val="0"/>
          <w:sz w:val="21"/>
          <w:szCs w:val="21"/>
          <w:highlight w:val="none"/>
          <w:lang w:val="en-US" w:eastAsia="zh-CN"/>
        </w:rPr>
        <w:t>1</w:t>
      </w:r>
      <w:r>
        <w:rPr>
          <w:rFonts w:hint="default" w:ascii="Times New Roman" w:hAnsi="Times New Roman" w:eastAsia="宋体" w:cs="Times New Roman"/>
          <w:b/>
          <w:color w:val="auto"/>
          <w:kern w:val="0"/>
          <w:sz w:val="21"/>
          <w:szCs w:val="21"/>
          <w:highlight w:val="none"/>
        </w:rPr>
        <w:t>大气污染物无组织排放量核算表</w:t>
      </w:r>
    </w:p>
    <w:tbl>
      <w:tblPr>
        <w:tblStyle w:val="46"/>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62"/>
        <w:gridCol w:w="840"/>
        <w:gridCol w:w="700"/>
        <w:gridCol w:w="3850"/>
        <w:gridCol w:w="1400"/>
        <w:gridCol w:w="1166"/>
        <w:gridCol w:w="8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840"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产物环节</w:t>
            </w:r>
          </w:p>
        </w:tc>
        <w:tc>
          <w:tcPr>
            <w:tcW w:w="700"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3850"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主要防治措施</w:t>
            </w:r>
          </w:p>
        </w:tc>
        <w:tc>
          <w:tcPr>
            <w:tcW w:w="2566"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国家及地方污染物排放标准</w:t>
            </w:r>
          </w:p>
        </w:tc>
        <w:tc>
          <w:tcPr>
            <w:tcW w:w="869"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2" w:type="dxa"/>
            <w:vMerge w:val="continue"/>
            <w:vAlign w:val="center"/>
          </w:tcPr>
          <w:p>
            <w:pPr>
              <w:pStyle w:val="104"/>
              <w:jc w:val="center"/>
              <w:rPr>
                <w:rFonts w:hint="default" w:ascii="Times New Roman" w:hAnsi="Times New Roman" w:eastAsia="宋体" w:cs="Times New Roman"/>
                <w:color w:val="auto"/>
                <w:highlight w:val="none"/>
              </w:rPr>
            </w:pPr>
          </w:p>
        </w:tc>
        <w:tc>
          <w:tcPr>
            <w:tcW w:w="840" w:type="dxa"/>
            <w:vMerge w:val="continue"/>
            <w:vAlign w:val="center"/>
          </w:tcPr>
          <w:p>
            <w:pPr>
              <w:pStyle w:val="104"/>
              <w:jc w:val="center"/>
              <w:rPr>
                <w:rFonts w:hint="default" w:ascii="Times New Roman" w:hAnsi="Times New Roman" w:eastAsia="宋体" w:cs="Times New Roman"/>
                <w:color w:val="auto"/>
                <w:highlight w:val="none"/>
              </w:rPr>
            </w:pPr>
          </w:p>
        </w:tc>
        <w:tc>
          <w:tcPr>
            <w:tcW w:w="700" w:type="dxa"/>
            <w:vMerge w:val="continue"/>
            <w:vAlign w:val="center"/>
          </w:tcPr>
          <w:p>
            <w:pPr>
              <w:pStyle w:val="104"/>
              <w:jc w:val="center"/>
              <w:rPr>
                <w:rFonts w:hint="default" w:ascii="Times New Roman" w:hAnsi="Times New Roman" w:eastAsia="宋体" w:cs="Times New Roman"/>
                <w:color w:val="auto"/>
                <w:highlight w:val="none"/>
              </w:rPr>
            </w:pPr>
          </w:p>
        </w:tc>
        <w:tc>
          <w:tcPr>
            <w:tcW w:w="3850" w:type="dxa"/>
            <w:vMerge w:val="continue"/>
            <w:vAlign w:val="center"/>
          </w:tcPr>
          <w:p>
            <w:pPr>
              <w:pStyle w:val="104"/>
              <w:jc w:val="center"/>
              <w:rPr>
                <w:rFonts w:hint="default" w:ascii="Times New Roman" w:hAnsi="Times New Roman" w:eastAsia="宋体" w:cs="Times New Roman"/>
                <w:color w:val="auto"/>
                <w:highlight w:val="none"/>
              </w:rPr>
            </w:pPr>
          </w:p>
        </w:tc>
        <w:tc>
          <w:tcPr>
            <w:tcW w:w="140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标准名称</w:t>
            </w:r>
          </w:p>
        </w:tc>
        <w:tc>
          <w:tcPr>
            <w:tcW w:w="1166"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浓度限值(mg/m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p>
        </w:tc>
        <w:tc>
          <w:tcPr>
            <w:tcW w:w="869"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2" w:type="dxa"/>
            <w:vAlign w:val="center"/>
          </w:tcPr>
          <w:p>
            <w:pPr>
              <w:pStyle w:val="104"/>
              <w:ind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1</w:t>
            </w:r>
          </w:p>
        </w:tc>
        <w:tc>
          <w:tcPr>
            <w:tcW w:w="84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snapToGrid/>
                <w:color w:val="auto"/>
                <w:kern w:val="2"/>
                <w:sz w:val="21"/>
                <w:szCs w:val="21"/>
                <w:highlight w:val="none"/>
                <w:lang w:val="en-US" w:eastAsia="zh-CN" w:bidi="ar-SA"/>
              </w:rPr>
              <w:t>露天开采</w:t>
            </w:r>
          </w:p>
        </w:tc>
        <w:tc>
          <w:tcPr>
            <w:tcW w:w="700"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c>
          <w:tcPr>
            <w:tcW w:w="3850" w:type="dxa"/>
            <w:vAlign w:val="center"/>
          </w:tcPr>
          <w:p>
            <w:pPr>
              <w:pStyle w:val="104"/>
              <w:ind w:firstLine="0" w:firstLineChar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湿式凿岩、喷淋洒水等</w:t>
            </w:r>
          </w:p>
        </w:tc>
        <w:tc>
          <w:tcPr>
            <w:tcW w:w="1400"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《大气污染物综合排放标准》（GB16297-1996）中新污染源大气污染物二级排放限值</w:t>
            </w:r>
          </w:p>
        </w:tc>
        <w:tc>
          <w:tcPr>
            <w:tcW w:w="1166"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w:t>
            </w:r>
          </w:p>
        </w:tc>
        <w:tc>
          <w:tcPr>
            <w:tcW w:w="869"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snapToGrid/>
                <w:color w:val="auto"/>
                <w:kern w:val="2"/>
                <w:sz w:val="21"/>
                <w:szCs w:val="21"/>
                <w:highlight w:val="none"/>
                <w:lang w:val="en-US" w:eastAsia="zh-CN" w:bidi="ar-SA"/>
              </w:rPr>
              <w:t>0.284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2"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2</w:t>
            </w:r>
          </w:p>
        </w:tc>
        <w:tc>
          <w:tcPr>
            <w:tcW w:w="84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color w:val="auto"/>
                <w:kern w:val="2"/>
                <w:sz w:val="21"/>
                <w:szCs w:val="21"/>
                <w:highlight w:val="none"/>
                <w:lang w:val="en-US" w:eastAsia="zh-CN" w:bidi="ar-SA"/>
              </w:rPr>
              <w:t>地下开采</w:t>
            </w:r>
          </w:p>
        </w:tc>
        <w:tc>
          <w:tcPr>
            <w:tcW w:w="70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c>
          <w:tcPr>
            <w:tcW w:w="3850"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湿式凿岩、在主要产尘点安装喷雾器喷水洒尘、巷道洒水抑尘、铲装、爆破作业进行喷水降尘、强制排风</w:t>
            </w:r>
          </w:p>
        </w:tc>
        <w:tc>
          <w:tcPr>
            <w:tcW w:w="1400" w:type="dxa"/>
            <w:vMerge w:val="continue"/>
            <w:vAlign w:val="center"/>
          </w:tcPr>
          <w:p>
            <w:pPr>
              <w:pStyle w:val="104"/>
              <w:jc w:val="center"/>
              <w:rPr>
                <w:rFonts w:hint="default" w:ascii="Times New Roman" w:hAnsi="Times New Roman" w:eastAsia="宋体" w:cs="Times New Roman"/>
                <w:color w:val="auto"/>
                <w:highlight w:val="none"/>
              </w:rPr>
            </w:pPr>
          </w:p>
        </w:tc>
        <w:tc>
          <w:tcPr>
            <w:tcW w:w="1166" w:type="dxa"/>
            <w:vMerge w:val="continue"/>
            <w:vAlign w:val="center"/>
          </w:tcPr>
          <w:p>
            <w:pPr>
              <w:pStyle w:val="104"/>
              <w:jc w:val="center"/>
              <w:rPr>
                <w:rFonts w:hint="default" w:ascii="Times New Roman" w:hAnsi="Times New Roman" w:eastAsia="宋体" w:cs="Times New Roman"/>
                <w:color w:val="auto"/>
                <w:highlight w:val="none"/>
              </w:rPr>
            </w:pPr>
          </w:p>
        </w:tc>
        <w:tc>
          <w:tcPr>
            <w:tcW w:w="869"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lang w:val="en-US"/>
              </w:rPr>
            </w:pPr>
            <w:r>
              <w:rPr>
                <w:rFonts w:hint="default" w:ascii="Times New Roman" w:hAnsi="Times New Roman" w:eastAsia="宋体" w:cs="Times New Roman"/>
                <w:snapToGrid/>
                <w:color w:val="auto"/>
                <w:kern w:val="2"/>
                <w:sz w:val="21"/>
                <w:szCs w:val="21"/>
                <w:highlight w:val="none"/>
                <w:lang w:val="en-US" w:eastAsia="zh-CN" w:bidi="ar-SA"/>
              </w:rPr>
              <w:t>0.114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2"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84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snapToGrid/>
                <w:color w:val="auto"/>
                <w:kern w:val="2"/>
                <w:sz w:val="21"/>
                <w:szCs w:val="21"/>
                <w:highlight w:val="none"/>
                <w:lang w:val="en-US" w:eastAsia="zh-CN" w:bidi="ar-SA"/>
              </w:rPr>
              <w:t>临时排岩场</w:t>
            </w:r>
          </w:p>
        </w:tc>
        <w:tc>
          <w:tcPr>
            <w:tcW w:w="70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c>
          <w:tcPr>
            <w:tcW w:w="3850"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开采</w:t>
            </w:r>
            <w:r>
              <w:rPr>
                <w:rFonts w:hint="default" w:ascii="Times New Roman" w:hAnsi="Times New Roman" w:eastAsia="宋体" w:cs="Times New Roman"/>
                <w:color w:val="auto"/>
                <w:highlight w:val="none"/>
              </w:rPr>
              <w:t>废石</w:t>
            </w:r>
            <w:r>
              <w:rPr>
                <w:rFonts w:hint="default" w:ascii="Times New Roman" w:hAnsi="Times New Roman" w:eastAsia="宋体" w:cs="Times New Roman"/>
                <w:color w:val="auto"/>
                <w:highlight w:val="none"/>
                <w:lang w:val="en-US" w:eastAsia="zh-CN"/>
              </w:rPr>
              <w:t>堆放于废石堆场，堆场</w:t>
            </w:r>
            <w:r>
              <w:rPr>
                <w:rFonts w:hint="default" w:ascii="Times New Roman" w:hAnsi="Times New Roman" w:eastAsia="宋体" w:cs="Times New Roman"/>
                <w:color w:val="auto"/>
                <w:sz w:val="21"/>
                <w:szCs w:val="21"/>
                <w:highlight w:val="none"/>
              </w:rPr>
              <w:t>设置三面围挡</w:t>
            </w:r>
            <w:r>
              <w:rPr>
                <w:rFonts w:hint="default" w:ascii="Times New Roman" w:hAnsi="Times New Roman" w:eastAsia="宋体" w:cs="Times New Roman"/>
                <w:color w:val="auto"/>
                <w:sz w:val="21"/>
                <w:szCs w:val="21"/>
                <w:highlight w:val="none"/>
                <w:lang w:val="en-US" w:eastAsia="zh-CN"/>
              </w:rPr>
              <w:t>和</w:t>
            </w:r>
            <w:r>
              <w:rPr>
                <w:rFonts w:hint="default" w:ascii="Times New Roman" w:hAnsi="Times New Roman" w:eastAsia="宋体" w:cs="Times New Roman"/>
                <w:b w:val="0"/>
                <w:bCs w:val="0"/>
                <w:color w:val="auto"/>
                <w:kern w:val="0"/>
                <w:sz w:val="21"/>
                <w:szCs w:val="21"/>
                <w:highlight w:val="none"/>
                <w:lang w:val="en-US" w:eastAsia="zh-CN" w:bidi="ar-SA"/>
              </w:rPr>
              <w:t>防风抑尘网</w:t>
            </w:r>
            <w:r>
              <w:rPr>
                <w:rFonts w:hint="default" w:ascii="Times New Roman" w:hAnsi="Times New Roman" w:eastAsia="宋体" w:cs="Times New Roman"/>
                <w:color w:val="auto"/>
                <w:sz w:val="21"/>
                <w:szCs w:val="21"/>
                <w:highlight w:val="none"/>
              </w:rPr>
              <w:t>，加盖防雨棚，地面硬化。</w:t>
            </w:r>
            <w:r>
              <w:rPr>
                <w:rFonts w:hint="default" w:ascii="Times New Roman" w:hAnsi="Times New Roman" w:eastAsia="宋体" w:cs="Times New Roman"/>
                <w:i w:val="0"/>
                <w:iCs w:val="0"/>
                <w:color w:val="auto"/>
                <w:kern w:val="0"/>
                <w:sz w:val="21"/>
                <w:szCs w:val="21"/>
                <w:highlight w:val="none"/>
                <w:u w:val="none"/>
                <w:lang w:val="en-US" w:eastAsia="zh-CN" w:bidi="ar"/>
              </w:rPr>
              <w:t>已开采结束平硐，利用废石对</w:t>
            </w:r>
            <w:r>
              <w:rPr>
                <w:rFonts w:hint="default" w:ascii="Times New Roman" w:hAnsi="Times New Roman" w:eastAsia="宋体" w:cs="Times New Roman"/>
                <w:color w:val="auto"/>
                <w:sz w:val="21"/>
                <w:szCs w:val="21"/>
                <w:highlight w:val="none"/>
                <w:lang w:val="en-US" w:eastAsia="zh-CN"/>
              </w:rPr>
              <w:t>其进行</w:t>
            </w:r>
            <w:r>
              <w:rPr>
                <w:rFonts w:hint="default" w:ascii="Times New Roman" w:hAnsi="Times New Roman" w:eastAsia="宋体" w:cs="Times New Roman"/>
                <w:i w:val="0"/>
                <w:iCs w:val="0"/>
                <w:color w:val="auto"/>
                <w:kern w:val="0"/>
                <w:sz w:val="21"/>
                <w:szCs w:val="21"/>
                <w:highlight w:val="none"/>
                <w:u w:val="none"/>
                <w:lang w:val="en-US" w:eastAsia="zh-CN" w:bidi="ar"/>
              </w:rPr>
              <w:t>回填</w:t>
            </w:r>
          </w:p>
        </w:tc>
        <w:tc>
          <w:tcPr>
            <w:tcW w:w="1400" w:type="dxa"/>
            <w:vMerge w:val="continue"/>
            <w:vAlign w:val="center"/>
          </w:tcPr>
          <w:p>
            <w:pPr>
              <w:pStyle w:val="104"/>
              <w:jc w:val="center"/>
              <w:rPr>
                <w:rFonts w:hint="default" w:ascii="Times New Roman" w:hAnsi="Times New Roman" w:eastAsia="宋体" w:cs="Times New Roman"/>
                <w:color w:val="auto"/>
                <w:highlight w:val="none"/>
              </w:rPr>
            </w:pPr>
          </w:p>
        </w:tc>
        <w:tc>
          <w:tcPr>
            <w:tcW w:w="1166" w:type="dxa"/>
            <w:vMerge w:val="continue"/>
            <w:vAlign w:val="center"/>
          </w:tcPr>
          <w:p>
            <w:pPr>
              <w:pStyle w:val="104"/>
              <w:jc w:val="center"/>
              <w:rPr>
                <w:rFonts w:hint="default" w:ascii="Times New Roman" w:hAnsi="Times New Roman" w:eastAsia="宋体" w:cs="Times New Roman"/>
                <w:color w:val="auto"/>
                <w:highlight w:val="none"/>
              </w:rPr>
            </w:pPr>
          </w:p>
        </w:tc>
        <w:tc>
          <w:tcPr>
            <w:tcW w:w="869"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snapToGrid/>
                <w:color w:val="auto"/>
                <w:kern w:val="2"/>
                <w:sz w:val="21"/>
                <w:szCs w:val="21"/>
                <w:highlight w:val="none"/>
                <w:lang w:val="en-US" w:eastAsia="zh-CN" w:bidi="ar-SA"/>
              </w:rPr>
              <w:t>0.403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2"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p>
        </w:tc>
        <w:tc>
          <w:tcPr>
            <w:tcW w:w="84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default" w:ascii="Times New Roman" w:hAnsi="Times New Roman" w:eastAsia="宋体" w:cs="Times New Roman"/>
                <w:snapToGrid/>
                <w:color w:val="auto"/>
                <w:kern w:val="2"/>
                <w:sz w:val="21"/>
                <w:szCs w:val="21"/>
                <w:highlight w:val="none"/>
                <w:lang w:val="en-US" w:eastAsia="zh-CN" w:bidi="ar-SA"/>
              </w:rPr>
              <w:t>道路运输</w:t>
            </w:r>
          </w:p>
        </w:tc>
        <w:tc>
          <w:tcPr>
            <w:tcW w:w="70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p>
        </w:tc>
        <w:tc>
          <w:tcPr>
            <w:tcW w:w="3850"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定期酒水抑尘加强道路路面碎石硬化措施，对运输车辆加盖篷布、控制车辆超载超速</w:t>
            </w:r>
          </w:p>
        </w:tc>
        <w:tc>
          <w:tcPr>
            <w:tcW w:w="1400" w:type="dxa"/>
            <w:vMerge w:val="continue"/>
            <w:vAlign w:val="center"/>
          </w:tcPr>
          <w:p>
            <w:pPr>
              <w:pStyle w:val="104"/>
              <w:jc w:val="center"/>
              <w:rPr>
                <w:rFonts w:hint="default" w:ascii="Times New Roman" w:hAnsi="Times New Roman" w:eastAsia="宋体" w:cs="Times New Roman"/>
                <w:color w:val="auto"/>
                <w:highlight w:val="none"/>
              </w:rPr>
            </w:pPr>
          </w:p>
        </w:tc>
        <w:tc>
          <w:tcPr>
            <w:tcW w:w="1166" w:type="dxa"/>
            <w:vMerge w:val="continue"/>
            <w:vAlign w:val="center"/>
          </w:tcPr>
          <w:p>
            <w:pPr>
              <w:pStyle w:val="104"/>
              <w:jc w:val="center"/>
              <w:rPr>
                <w:rFonts w:hint="default" w:ascii="Times New Roman" w:hAnsi="Times New Roman" w:eastAsia="宋体" w:cs="Times New Roman"/>
                <w:color w:val="auto"/>
                <w:highlight w:val="none"/>
              </w:rPr>
            </w:pPr>
          </w:p>
        </w:tc>
        <w:tc>
          <w:tcPr>
            <w:tcW w:w="869" w:type="dxa"/>
            <w:vAlign w:val="center"/>
          </w:tcPr>
          <w:p>
            <w:pPr>
              <w:widowControl/>
              <w:spacing w:line="240" w:lineRule="auto"/>
              <w:ind w:firstLine="0" w:firstLineChars="0"/>
              <w:jc w:val="center"/>
              <w:textAlignment w:val="baseline"/>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snapToGrid/>
                <w:color w:val="auto"/>
                <w:kern w:val="2"/>
                <w:sz w:val="21"/>
                <w:szCs w:val="21"/>
                <w:highlight w:val="none"/>
                <w:lang w:val="en-US" w:eastAsia="zh-CN" w:bidi="ar-SA"/>
              </w:rPr>
              <w:t>2.748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18" w:type="dxa"/>
            <w:gridSpan w:val="6"/>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无组织排放总计</w:t>
            </w:r>
          </w:p>
        </w:tc>
        <w:tc>
          <w:tcPr>
            <w:tcW w:w="869"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snapToGrid/>
                <w:color w:val="auto"/>
                <w:kern w:val="2"/>
                <w:sz w:val="21"/>
                <w:szCs w:val="21"/>
                <w:highlight w:val="none"/>
                <w:lang w:val="en-US" w:eastAsia="zh-CN" w:bidi="ar-SA"/>
              </w:rPr>
              <w:t>3.549</w:t>
            </w:r>
          </w:p>
        </w:tc>
      </w:tr>
    </w:tbl>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6.2.1.5防护距离设置</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大气防护距离</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根据《环境影响评价技术导则-大气环境》（HJ2.2-2018）中的规定：</w:t>
      </w:r>
      <w:r>
        <w:rPr>
          <w:rFonts w:hint="eastAsia" w:cs="Times New Roman"/>
          <w:color w:val="auto"/>
          <w:highlight w:val="none"/>
          <w:lang w:eastAsia="zh-CN"/>
        </w:rPr>
        <w:t>“</w:t>
      </w:r>
      <w:r>
        <w:rPr>
          <w:rFonts w:hint="default" w:ascii="Times New Roman" w:hAnsi="Times New Roman" w:eastAsia="宋体" w:cs="Times New Roman"/>
          <w:color w:val="auto"/>
          <w:highlight w:val="none"/>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p>
    <w:p>
      <w:pP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由估算模型结果可以看出，本项目正常排放时，污染物最大落地浓度为TSP77.361μg/m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，满足《环境空气质量标准》（GB3095-2012）中的标准要求，故无需计算大气防护距离，无需设置大气环境防护区域。</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（2）卫生防护距离</w:t>
      </w:r>
    </w:p>
    <w:p>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根</w:t>
      </w:r>
      <w:r>
        <w:rPr>
          <w:rFonts w:hint="default" w:ascii="Times New Roman" w:hAnsi="Times New Roman" w:eastAsia="宋体" w:cs="Times New Roman"/>
          <w:color w:val="auto"/>
          <w:sz w:val="24"/>
          <w:szCs w:val="24"/>
          <w:highlight w:val="none"/>
        </w:rPr>
        <w:t>据《制定地方大气污染物排放标准的技术方法》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GB/T</w:t>
      </w:r>
      <w:r>
        <w:rPr>
          <w:rFonts w:hint="default" w:ascii="Times New Roman" w:hAnsi="Times New Roman" w:eastAsia="宋体" w:cs="Times New Roman"/>
          <w:color w:val="auto"/>
          <w:sz w:val="24"/>
          <w:szCs w:val="24"/>
          <w:highlight w:val="none"/>
          <w:lang w:val="en-US" w:eastAsia="zh-CN"/>
        </w:rPr>
        <w:t>3840</w:t>
      </w:r>
      <w:r>
        <w:rPr>
          <w:rFonts w:hint="default" w:ascii="Times New Roman" w:hAnsi="Times New Roman" w:eastAsia="宋体" w:cs="Times New Roman"/>
          <w:color w:val="auto"/>
          <w:sz w:val="24"/>
          <w:szCs w:val="24"/>
          <w:highlight w:val="none"/>
        </w:rPr>
        <w:t>-91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中的规定，</w:t>
      </w:r>
      <w:r>
        <w:rPr>
          <w:rFonts w:hint="default" w:ascii="Times New Roman" w:hAnsi="Times New Roman" w:eastAsia="宋体" w:cs="Times New Roman"/>
          <w:color w:val="auto"/>
          <w:sz w:val="24"/>
          <w:szCs w:val="24"/>
          <w:highlight w:val="none"/>
          <w:lang w:eastAsia="zh-CN"/>
        </w:rPr>
        <w:t>采用项目</w:t>
      </w:r>
      <w:r>
        <w:rPr>
          <w:rFonts w:hint="default" w:ascii="Times New Roman" w:hAnsi="Times New Roman" w:eastAsia="宋体" w:cs="Times New Roman"/>
          <w:color w:val="auto"/>
          <w:sz w:val="24"/>
          <w:szCs w:val="24"/>
          <w:highlight w:val="none"/>
        </w:rPr>
        <w:t>无组织排放的</w:t>
      </w:r>
      <w:r>
        <w:rPr>
          <w:rFonts w:hint="default" w:ascii="Times New Roman" w:hAnsi="Times New Roman" w:eastAsia="宋体" w:cs="Times New Roman"/>
          <w:color w:val="auto"/>
          <w:sz w:val="24"/>
          <w:szCs w:val="24"/>
          <w:highlight w:val="none"/>
          <w:lang w:eastAsia="zh-CN"/>
        </w:rPr>
        <w:t>污染物</w:t>
      </w:r>
      <w:r>
        <w:rPr>
          <w:rFonts w:hint="default" w:ascii="Times New Roman" w:hAnsi="Times New Roman" w:eastAsia="宋体" w:cs="Times New Roman"/>
          <w:color w:val="auto"/>
          <w:sz w:val="24"/>
          <w:szCs w:val="24"/>
          <w:highlight w:val="none"/>
        </w:rPr>
        <w:t>确定卫生防护距离。</w:t>
      </w:r>
      <w:r>
        <w:rPr>
          <w:rFonts w:hint="default" w:ascii="Times New Roman" w:hAnsi="Times New Roman" w:eastAsia="宋体" w:cs="Times New Roman"/>
          <w:color w:val="auto"/>
          <w:sz w:val="24"/>
          <w:szCs w:val="24"/>
          <w:highlight w:val="none"/>
          <w:lang w:eastAsia="zh-CN"/>
        </w:rPr>
        <w:t>综合考虑矿山采矿运输等面源污染的特点，</w:t>
      </w:r>
      <w:r>
        <w:rPr>
          <w:rFonts w:hint="default" w:ascii="Times New Roman" w:hAnsi="Times New Roman" w:eastAsia="宋体" w:cs="Times New Roman"/>
          <w:color w:val="auto"/>
          <w:sz w:val="24"/>
          <w:szCs w:val="24"/>
          <w:highlight w:val="none"/>
        </w:rPr>
        <w:t>卫生防护距离的计算参数和计算</w:t>
      </w:r>
      <w:r>
        <w:rPr>
          <w:rFonts w:hint="default" w:ascii="Times New Roman" w:hAnsi="Times New Roman" w:eastAsia="宋体" w:cs="Times New Roman"/>
          <w:color w:val="auto"/>
          <w:sz w:val="24"/>
          <w:szCs w:val="24"/>
          <w:highlight w:val="none"/>
          <w:lang w:eastAsia="zh-CN"/>
        </w:rPr>
        <w:t>结果见表</w:t>
      </w:r>
      <w:r>
        <w:rPr>
          <w:rFonts w:hint="default" w:ascii="Times New Roman" w:hAnsi="Times New Roman" w:eastAsia="宋体" w:cs="Times New Roman"/>
          <w:color w:val="auto"/>
          <w:sz w:val="24"/>
          <w:szCs w:val="24"/>
          <w:highlight w:val="none"/>
          <w:lang w:val="en-US" w:eastAsia="zh-CN"/>
        </w:rPr>
        <w:t>6.2-2。</w:t>
      </w:r>
    </w:p>
    <w:p>
      <w:pPr>
        <w:spacing w:line="240" w:lineRule="auto"/>
        <w:ind w:left="0" w:leftChars="0" w:firstLine="0" w:firstLineChars="0"/>
        <w:jc w:val="center"/>
        <w:rPr>
          <w:rFonts w:hint="default" w:ascii="Times New Roman" w:hAnsi="Times New Roman" w:eastAsia="宋体" w:cs="Times New Roman"/>
          <w:b/>
          <w:color w:val="auto"/>
          <w:sz w:val="21"/>
          <w:szCs w:val="21"/>
          <w:highlight w:val="none"/>
          <w:lang w:val="en-US" w:eastAsia="zh-CN" w:bidi="ar"/>
        </w:rPr>
      </w:pPr>
      <w:r>
        <w:rPr>
          <w:rFonts w:hint="default" w:ascii="Times New Roman" w:hAnsi="Times New Roman" w:eastAsia="宋体" w:cs="Times New Roman"/>
          <w:b/>
          <w:color w:val="auto"/>
          <w:sz w:val="21"/>
          <w:szCs w:val="21"/>
          <w:highlight w:val="none"/>
          <w:lang w:eastAsia="zh-CN" w:bidi="ar"/>
        </w:rPr>
        <w:t>表</w:t>
      </w:r>
      <w:r>
        <w:rPr>
          <w:rFonts w:hint="default" w:ascii="Times New Roman" w:hAnsi="Times New Roman" w:eastAsia="宋体" w:cs="Times New Roman"/>
          <w:b/>
          <w:color w:val="auto"/>
          <w:sz w:val="21"/>
          <w:szCs w:val="21"/>
          <w:highlight w:val="none"/>
          <w:lang w:val="en-US" w:eastAsia="zh-CN" w:bidi="ar"/>
        </w:rPr>
        <w:t>6.2-2    卫生防护距离计算参数和计算结果一览表</w:t>
      </w:r>
    </w:p>
    <w:tbl>
      <w:tblPr>
        <w:tblStyle w:val="4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1547"/>
        <w:gridCol w:w="1384"/>
        <w:gridCol w:w="1319"/>
        <w:gridCol w:w="1408"/>
        <w:gridCol w:w="1317"/>
        <w:gridCol w:w="13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污染物</w:t>
            </w:r>
          </w:p>
        </w:tc>
        <w:tc>
          <w:tcPr>
            <w:tcW w:w="833"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面源</w:t>
            </w:r>
          </w:p>
        </w:tc>
        <w:tc>
          <w:tcPr>
            <w:tcW w:w="745"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面积</w:t>
            </w:r>
          </w:p>
        </w:tc>
        <w:tc>
          <w:tcPr>
            <w:tcW w:w="710"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年平均风速</w:t>
            </w:r>
          </w:p>
        </w:tc>
        <w:tc>
          <w:tcPr>
            <w:tcW w:w="758"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无组织源强</w:t>
            </w:r>
          </w:p>
        </w:tc>
        <w:tc>
          <w:tcPr>
            <w:tcW w:w="709"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计算结果</w:t>
            </w:r>
          </w:p>
        </w:tc>
        <w:tc>
          <w:tcPr>
            <w:tcW w:w="709"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卫生防护距离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vMerge w:val="restar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颗粒物</w:t>
            </w:r>
          </w:p>
        </w:tc>
        <w:tc>
          <w:tcPr>
            <w:tcW w:w="8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露天一采场</w:t>
            </w:r>
          </w:p>
        </w:tc>
        <w:tc>
          <w:tcPr>
            <w:tcW w:w="745"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360m×187m</w:t>
            </w:r>
          </w:p>
        </w:tc>
        <w:tc>
          <w:tcPr>
            <w:tcW w:w="710" w:type="pct"/>
            <w:vMerge w:val="restar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2.4m/s</w:t>
            </w:r>
          </w:p>
        </w:tc>
        <w:tc>
          <w:tcPr>
            <w:tcW w:w="1408" w:type="dxa"/>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0.059kg/h</w:t>
            </w:r>
          </w:p>
        </w:tc>
        <w:tc>
          <w:tcPr>
            <w:tcW w:w="709"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0.251m</w:t>
            </w:r>
          </w:p>
        </w:tc>
        <w:tc>
          <w:tcPr>
            <w:tcW w:w="70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露天二采场</w:t>
            </w:r>
          </w:p>
        </w:tc>
        <w:tc>
          <w:tcPr>
            <w:tcW w:w="745" w:type="pct"/>
            <w:tcBorders>
              <w:tl2br w:val="nil"/>
              <w:tr2bl w:val="nil"/>
            </w:tcBorders>
            <w:noWrap w:val="0"/>
            <w:vAlign w:val="top"/>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193m×172m</w:t>
            </w:r>
          </w:p>
        </w:tc>
        <w:tc>
          <w:tcPr>
            <w:tcW w:w="710" w:type="pct"/>
            <w:vMerge w:val="continue"/>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408" w:type="dxa"/>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0.059kg/h</w:t>
            </w:r>
          </w:p>
        </w:tc>
        <w:tc>
          <w:tcPr>
            <w:tcW w:w="709"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0.383m</w:t>
            </w:r>
          </w:p>
        </w:tc>
        <w:tc>
          <w:tcPr>
            <w:tcW w:w="70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回风平硐PD1</w:t>
            </w:r>
          </w:p>
        </w:tc>
        <w:tc>
          <w:tcPr>
            <w:tcW w:w="745" w:type="pct"/>
            <w:tcBorders>
              <w:tl2br w:val="nil"/>
              <w:tr2bl w:val="nil"/>
            </w:tcBorders>
            <w:noWrap w:val="0"/>
            <w:vAlign w:val="top"/>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4m×4.5m</w:t>
            </w:r>
          </w:p>
        </w:tc>
        <w:tc>
          <w:tcPr>
            <w:tcW w:w="710" w:type="pct"/>
            <w:vMerge w:val="continue"/>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408" w:type="dxa"/>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0.008kg/h</w:t>
            </w:r>
          </w:p>
        </w:tc>
        <w:tc>
          <w:tcPr>
            <w:tcW w:w="709"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2.935m</w:t>
            </w:r>
          </w:p>
        </w:tc>
        <w:tc>
          <w:tcPr>
            <w:tcW w:w="70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 w:type="pct"/>
            <w:vMerge w:val="continue"/>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833" w:type="pct"/>
            <w:tcBorders>
              <w:tl2br w:val="nil"/>
              <w:tr2bl w:val="nil"/>
            </w:tcBorders>
            <w:noWrap w:val="0"/>
            <w:vAlign w:val="center"/>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回风平硐PD2</w:t>
            </w:r>
          </w:p>
        </w:tc>
        <w:tc>
          <w:tcPr>
            <w:tcW w:w="745" w:type="pct"/>
            <w:tcBorders>
              <w:tl2br w:val="nil"/>
              <w:tr2bl w:val="nil"/>
            </w:tcBorders>
            <w:noWrap w:val="0"/>
            <w:vAlign w:val="top"/>
          </w:tcPr>
          <w:p>
            <w:pPr>
              <w:widowControl/>
              <w:spacing w:line="240" w:lineRule="auto"/>
              <w:ind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4m×4.5m</w:t>
            </w:r>
          </w:p>
        </w:tc>
        <w:tc>
          <w:tcPr>
            <w:tcW w:w="710" w:type="pct"/>
            <w:vMerge w:val="continue"/>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p>
        </w:tc>
        <w:tc>
          <w:tcPr>
            <w:tcW w:w="1408" w:type="dxa"/>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0.008kg/h</w:t>
            </w:r>
          </w:p>
        </w:tc>
        <w:tc>
          <w:tcPr>
            <w:tcW w:w="709" w:type="pct"/>
            <w:tcBorders>
              <w:tl2br w:val="nil"/>
              <w:tr2bl w:val="nil"/>
            </w:tcBorders>
            <w:noWrap w:val="0"/>
            <w:vAlign w:val="top"/>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2.935m</w:t>
            </w:r>
          </w:p>
        </w:tc>
        <w:tc>
          <w:tcPr>
            <w:tcW w:w="709" w:type="pct"/>
            <w:tcBorders>
              <w:tl2br w:val="nil"/>
              <w:tr2bl w:val="nil"/>
            </w:tcBorders>
            <w:noWrap w:val="0"/>
            <w:vAlign w:val="center"/>
          </w:tcPr>
          <w:p>
            <w:pPr>
              <w:widowControl/>
              <w:spacing w:line="240" w:lineRule="auto"/>
              <w:ind w:left="-130" w:leftChars="-54" w:right="-130" w:rightChars="-54" w:firstLine="0" w:firstLineChars="0"/>
              <w:jc w:val="center"/>
              <w:textAlignment w:val="baseline"/>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50m</w:t>
            </w:r>
          </w:p>
        </w:tc>
      </w:tr>
    </w:tbl>
    <w:p>
      <w:pPr>
        <w:bidi w:val="0"/>
        <w:rPr>
          <w:rFonts w:hint="default" w:ascii="Times New Roman" w:hAnsi="Times New Roman" w:eastAsia="宋体" w:cs="Times New Roman"/>
          <w:color w:val="auto"/>
          <w:highlight w:val="none"/>
          <w:vertAlign w:val="baseline"/>
          <w:lang w:val="en-US" w:eastAsia="zh-CN"/>
        </w:rPr>
      </w:pPr>
      <w:r>
        <w:rPr>
          <w:rFonts w:hint="default" w:ascii="Times New Roman" w:hAnsi="Times New Roman" w:eastAsia="宋体" w:cs="Times New Roman"/>
          <w:color w:val="auto"/>
          <w:sz w:val="24"/>
          <w:szCs w:val="24"/>
          <w:highlight w:val="none"/>
          <w:lang w:val="en-US" w:eastAsia="zh-CN"/>
        </w:rPr>
        <w:t>本项目单个面源卫生防护距离为50m，</w:t>
      </w:r>
      <w:r>
        <w:rPr>
          <w:rFonts w:hint="default" w:ascii="Times New Roman" w:hAnsi="Times New Roman" w:eastAsia="宋体" w:cs="Times New Roman"/>
          <w:color w:val="auto"/>
          <w:sz w:val="24"/>
          <w:szCs w:val="24"/>
          <w:highlight w:val="none"/>
          <w:lang w:eastAsia="zh-CN"/>
        </w:rPr>
        <w:t>根</w:t>
      </w:r>
      <w:r>
        <w:rPr>
          <w:rFonts w:hint="default" w:ascii="Times New Roman" w:hAnsi="Times New Roman" w:eastAsia="宋体" w:cs="Times New Roman"/>
          <w:color w:val="auto"/>
          <w:sz w:val="24"/>
          <w:szCs w:val="24"/>
          <w:highlight w:val="none"/>
        </w:rPr>
        <w:t>据《制定地方大气污染物排放标准的技术方法》</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GB/T</w:t>
      </w:r>
      <w:r>
        <w:rPr>
          <w:rFonts w:hint="default" w:ascii="Times New Roman" w:hAnsi="Times New Roman" w:eastAsia="宋体" w:cs="Times New Roman"/>
          <w:color w:val="auto"/>
          <w:sz w:val="24"/>
          <w:szCs w:val="24"/>
          <w:highlight w:val="none"/>
          <w:lang w:val="en-US" w:eastAsia="zh-CN"/>
        </w:rPr>
        <w:t>3840</w:t>
      </w:r>
      <w:r>
        <w:rPr>
          <w:rFonts w:hint="default" w:ascii="Times New Roman" w:hAnsi="Times New Roman" w:eastAsia="宋体" w:cs="Times New Roman"/>
          <w:color w:val="auto"/>
          <w:sz w:val="24"/>
          <w:szCs w:val="24"/>
          <w:highlight w:val="none"/>
        </w:rPr>
        <w:t>-91</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7.5，两种或两种以上的有害气体</w:t>
      </w:r>
      <w:r>
        <w:rPr>
          <w:rFonts w:hint="default" w:ascii="Times New Roman" w:hAnsi="Times New Roman" w:eastAsia="宋体" w:cs="Times New Roman"/>
          <w:color w:val="auto"/>
          <w:highlight w:val="none"/>
          <w:lang w:val="en-US" w:eastAsia="zh-CN"/>
        </w:rPr>
        <w:t>Q</w:t>
      </w:r>
      <w:r>
        <w:rPr>
          <w:rFonts w:hint="default" w:ascii="Times New Roman" w:hAnsi="Times New Roman" w:eastAsia="宋体" w:cs="Times New Roman"/>
          <w:color w:val="auto"/>
          <w:highlight w:val="none"/>
          <w:vertAlign w:val="subscript"/>
          <w:lang w:val="en-US" w:eastAsia="zh-CN"/>
        </w:rPr>
        <w:t>c</w:t>
      </w:r>
      <w:r>
        <w:rPr>
          <w:rFonts w:hint="default" w:ascii="Times New Roman" w:hAnsi="Times New Roman" w:eastAsia="宋体" w:cs="Times New Roman"/>
          <w:color w:val="auto"/>
          <w:highlight w:val="none"/>
          <w:vertAlign w:val="baseline"/>
          <w:lang w:val="en-US" w:eastAsia="zh-CN"/>
        </w:rPr>
        <w:t>/</w:t>
      </w:r>
      <w:r>
        <w:rPr>
          <w:rFonts w:hint="default" w:ascii="Times New Roman" w:hAnsi="Times New Roman" w:eastAsia="宋体" w:cs="Times New Roman"/>
          <w:color w:val="auto"/>
          <w:highlight w:val="none"/>
          <w:lang w:val="en-US" w:eastAsia="zh-CN"/>
        </w:rPr>
        <w:t>C</w:t>
      </w:r>
      <w:r>
        <w:rPr>
          <w:rFonts w:hint="default" w:ascii="Times New Roman" w:hAnsi="Times New Roman" w:eastAsia="宋体" w:cs="Times New Roman"/>
          <w:color w:val="auto"/>
          <w:highlight w:val="none"/>
          <w:vertAlign w:val="subscript"/>
          <w:lang w:val="en-US" w:eastAsia="zh-CN"/>
        </w:rPr>
        <w:t>m</w:t>
      </w:r>
      <w:r>
        <w:rPr>
          <w:rFonts w:hint="default" w:ascii="Times New Roman" w:hAnsi="Times New Roman" w:eastAsia="宋体" w:cs="Times New Roman"/>
          <w:color w:val="auto"/>
          <w:highlight w:val="none"/>
          <w:vertAlign w:val="baseline"/>
          <w:lang w:val="en-US" w:eastAsia="zh-CN"/>
        </w:rPr>
        <w:t>值计算卫生防护距离在同一级别时，该类工业企业的卫生防护距离级别应提高一级。</w:t>
      </w:r>
    </w:p>
    <w:p>
      <w:pPr>
        <w:bidi w:val="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t>综上所述，本项目每个面源分别向外设置100m卫生防护距离，</w:t>
      </w:r>
      <w:r>
        <w:rPr>
          <w:rFonts w:hint="default" w:ascii="Times New Roman" w:hAnsi="Times New Roman" w:eastAsia="宋体" w:cs="Times New Roman"/>
          <w:color w:val="auto"/>
          <w:sz w:val="24"/>
          <w:szCs w:val="24"/>
          <w:highlight w:val="none"/>
          <w:lang w:eastAsia="zh-CN"/>
        </w:rPr>
        <w:t>具体包络范围详见图</w:t>
      </w:r>
      <w:r>
        <w:rPr>
          <w:rFonts w:hint="default" w:ascii="Times New Roman" w:hAnsi="Times New Roman" w:eastAsia="宋体" w:cs="Times New Roman"/>
          <w:color w:val="auto"/>
          <w:sz w:val="24"/>
          <w:szCs w:val="24"/>
          <w:highlight w:val="none"/>
          <w:lang w:val="en-US" w:eastAsia="zh-CN"/>
        </w:rPr>
        <w:t>6.2-1</w:t>
      </w:r>
      <w:r>
        <w:rPr>
          <w:rFonts w:hint="default" w:ascii="Times New Roman" w:hAnsi="Times New Roman" w:eastAsia="宋体" w:cs="Times New Roman"/>
          <w:color w:val="auto"/>
          <w:sz w:val="24"/>
          <w:szCs w:val="24"/>
          <w:highlight w:val="none"/>
          <w:lang w:eastAsia="zh-CN"/>
        </w:rPr>
        <w:t>。目前，在卫生防护距离内现状无环境敏感目标。环评要求在防护距离内不得规划新建居民、学校、医院等敏感目标建筑。</w:t>
      </w:r>
    </w:p>
    <w:p>
      <w:pPr>
        <w:bidi w:val="0"/>
        <w:ind w:left="0" w:leftChars="0" w:firstLine="0" w:firstLineChars="0"/>
        <w:jc w:val="center"/>
        <w:rPr>
          <w:color w:val="auto"/>
          <w:highlight w:val="none"/>
        </w:rPr>
      </w:pPr>
      <w:r>
        <w:rPr>
          <w:color w:val="auto"/>
          <w:highlight w:val="none"/>
        </w:rPr>
        <w:drawing>
          <wp:inline distT="0" distB="0" distL="114300" distR="114300">
            <wp:extent cx="5756275" cy="5424805"/>
            <wp:effectExtent l="0" t="0" r="15875" b="4445"/>
            <wp:docPr id="1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0"/>
                    <pic:cNvPicPr>
                      <a:picLocks noChangeAspect="1"/>
                    </pic:cNvPicPr>
                  </pic:nvPicPr>
                  <pic:blipFill>
                    <a:blip r:embed="rId118"/>
                    <a:stretch>
                      <a:fillRect/>
                    </a:stretch>
                  </pic:blipFill>
                  <pic:spPr>
                    <a:xfrm>
                      <a:off x="0" y="0"/>
                      <a:ext cx="5756275" cy="5424805"/>
                    </a:xfrm>
                    <a:prstGeom prst="rect">
                      <a:avLst/>
                    </a:prstGeom>
                    <a:noFill/>
                    <a:ln>
                      <a:noFill/>
                    </a:ln>
                  </pic:spPr>
                </pic:pic>
              </a:graphicData>
            </a:graphic>
          </wp:inline>
        </w:drawing>
      </w:r>
    </w:p>
    <w:p>
      <w:pPr>
        <w:bidi w:val="0"/>
        <w:ind w:left="0" w:leftChars="0" w:firstLine="0" w:firstLineChars="0"/>
        <w:jc w:val="center"/>
        <w:rPr>
          <w:rFonts w:hint="default"/>
          <w:b/>
          <w:bCs/>
          <w:color w:val="auto"/>
          <w:highlight w:val="none"/>
          <w:lang w:val="en-US" w:eastAsia="zh-CN"/>
        </w:rPr>
      </w:pPr>
      <w:r>
        <w:rPr>
          <w:rFonts w:hint="default"/>
          <w:b/>
          <w:bCs/>
          <w:color w:val="auto"/>
          <w:highlight w:val="none"/>
          <w:lang w:eastAsia="zh-CN"/>
        </w:rPr>
        <w:t>图</w:t>
      </w:r>
      <w:r>
        <w:rPr>
          <w:rFonts w:hint="default"/>
          <w:b/>
          <w:bCs/>
          <w:color w:val="auto"/>
          <w:highlight w:val="none"/>
          <w:lang w:val="en-US" w:eastAsia="zh-CN"/>
        </w:rPr>
        <w:t>6.2-1</w:t>
      </w:r>
      <w:r>
        <w:rPr>
          <w:rFonts w:hint="eastAsia"/>
          <w:b/>
          <w:bCs/>
          <w:color w:val="auto"/>
          <w:highlight w:val="none"/>
          <w:lang w:val="en-US" w:eastAsia="zh-CN"/>
        </w:rPr>
        <w:t>项目卫生防护距离包罗图</w:t>
      </w:r>
    </w:p>
    <w:p>
      <w:pPr>
        <w:pStyle w:val="5"/>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地表水环境影响分析</w:t>
      </w:r>
      <w:bookmarkEnd w:id="341"/>
      <w:bookmarkEnd w:id="342"/>
      <w:bookmarkEnd w:id="343"/>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373" w:name="_Toc152056042"/>
      <w:r>
        <w:rPr>
          <w:rFonts w:hint="default" w:ascii="Times New Roman" w:hAnsi="Times New Roman" w:eastAsia="宋体" w:cs="Times New Roman"/>
          <w:color w:val="auto"/>
          <w:sz w:val="24"/>
          <w:highlight w:val="none"/>
          <w:lang w:val="en-US" w:eastAsia="zh-CN"/>
        </w:rPr>
        <w:t>6.2.2.1正常工况下影响分析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废水主要是采矿产生的井下涌水以及生活污水。</w:t>
      </w:r>
    </w:p>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1</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highlight w:val="none"/>
        </w:rPr>
        <w:t>井下涌水</w:t>
      </w:r>
    </w:p>
    <w:p>
      <w:pPr>
        <w:ind w:firstLine="48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highlight w:val="none"/>
          <w:lang w:val="en-US" w:eastAsia="zh-CN"/>
        </w:rPr>
        <w:t>地下开采系统根据《辽宁省岫岩县苏子沟镇大何家堡村钾长石矿资源储量核实报告》</w:t>
      </w:r>
      <w:r>
        <w:rPr>
          <w:rFonts w:hint="default" w:ascii="Times New Roman" w:hAnsi="Times New Roman" w:eastAsia="宋体" w:cs="Times New Roman"/>
          <w:color w:val="auto"/>
          <w:highlight w:val="none"/>
        </w:rPr>
        <w:t>，矿坑涌水量的测算采用比拟法</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地下</w:t>
      </w:r>
      <w:r>
        <w:rPr>
          <w:rFonts w:hint="default" w:ascii="Times New Roman" w:hAnsi="Times New Roman" w:eastAsia="宋体" w:cs="Times New Roman"/>
          <w:color w:val="auto"/>
          <w:highlight w:val="none"/>
        </w:rPr>
        <w:t>最大涌水量为</w:t>
      </w:r>
      <w:r>
        <w:rPr>
          <w:rFonts w:hint="default" w:ascii="Times New Roman" w:hAnsi="Times New Roman" w:eastAsia="宋体" w:cs="Times New Roman"/>
          <w:color w:val="auto"/>
          <w:highlight w:val="none"/>
          <w:lang w:val="en-US" w:eastAsia="zh-CN"/>
        </w:rPr>
        <w:t>120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r>
        <w:rPr>
          <w:rFonts w:hint="default" w:ascii="Times New Roman" w:hAnsi="Times New Roman" w:eastAsia="宋体" w:cs="Times New Roman"/>
          <w:color w:val="auto"/>
          <w:highlight w:val="none"/>
          <w:lang w:val="en-US" w:eastAsia="zh-CN"/>
        </w:rPr>
        <w:t>地下开采巷道内布置排水沟，通过自流排水可以将井下涌水自流排出至地表沉淀池，通过洒水车运至蓄水池复用于生产。</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（2）生活污水</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本项目所产生的生活污水主要来自于办公生活区，生活污水排放量为</w:t>
      </w:r>
      <w:r>
        <w:rPr>
          <w:rFonts w:hint="default" w:ascii="Times New Roman" w:hAnsi="Times New Roman" w:eastAsia="宋体" w:cs="Times New Roman"/>
          <w:color w:val="auto"/>
          <w:highlight w:val="none"/>
          <w:lang w:val="en-US" w:eastAsia="zh-CN"/>
        </w:rPr>
        <w:t>4.4</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/d。生活污水主要污染物为SS、CODcr、NH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-N等，生活污水由旱厕处理后，定期清掏，不外排。</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正常情况下，本项目运营期井下涌水可全部综合利用，不向地表水排放，对区域地表水环境影响</w:t>
      </w:r>
      <w:r>
        <w:rPr>
          <w:rFonts w:hint="eastAsia" w:cs="Times New Roman"/>
          <w:color w:val="auto"/>
          <w:highlight w:val="none"/>
          <w:lang w:val="en-US" w:eastAsia="zh-CN"/>
        </w:rPr>
        <w:t>较</w:t>
      </w:r>
      <w:r>
        <w:rPr>
          <w:rFonts w:hint="default" w:ascii="Times New Roman" w:hAnsi="Times New Roman" w:eastAsia="宋体" w:cs="Times New Roman"/>
          <w:color w:val="auto"/>
          <w:highlight w:val="none"/>
        </w:rPr>
        <w:t>小，是可接受的。</w:t>
      </w:r>
    </w:p>
    <w:p>
      <w:pPr>
        <w:autoSpaceDE w:val="0"/>
        <w:autoSpaceDN w:val="0"/>
        <w:ind w:firstLine="480"/>
        <w:jc w:val="left"/>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3</w:t>
      </w:r>
      <w:r>
        <w:rPr>
          <w:rFonts w:hint="default" w:ascii="Times New Roman" w:hAnsi="Times New Roman" w:eastAsia="宋体" w:cs="Times New Roman"/>
          <w:color w:val="auto"/>
          <w:kern w:val="0"/>
          <w:highlight w:val="none"/>
        </w:rPr>
        <w:t>）</w:t>
      </w:r>
      <w:r>
        <w:rPr>
          <w:rFonts w:hint="eastAsia" w:cs="Times New Roman"/>
          <w:color w:val="auto"/>
          <w:highlight w:val="none"/>
          <w:lang w:val="en-US" w:eastAsia="zh-CN"/>
        </w:rPr>
        <w:t>采坑集水</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根据开发利用方案，矿区水文地质条件简单，露天一、二采场均为山坡露天式，矿床充水主要为大气降水，矿区所在区域蒸发量多大于降水量，开采矿体均位于当地侵蚀基准面1m以上，少量</w:t>
      </w:r>
      <w:r>
        <w:rPr>
          <w:rFonts w:hint="eastAsia" w:cs="Times New Roman"/>
          <w:color w:val="auto"/>
          <w:highlight w:val="none"/>
          <w:lang w:val="en-US" w:eastAsia="zh-CN"/>
        </w:rPr>
        <w:t>采坑集水</w:t>
      </w:r>
      <w:r>
        <w:rPr>
          <w:rFonts w:hint="default" w:ascii="Times New Roman" w:hAnsi="Times New Roman" w:eastAsia="宋体" w:cs="Times New Roman"/>
          <w:color w:val="auto"/>
          <w:highlight w:val="none"/>
          <w:lang w:val="en-US" w:eastAsia="zh-CN"/>
        </w:rPr>
        <w:t>排出至沉淀池回用于钻孔、堆场及道路洒水降尘等。计算暴雨期间的</w:t>
      </w:r>
      <w:r>
        <w:rPr>
          <w:rFonts w:hint="eastAsia" w:cs="Times New Roman"/>
          <w:color w:val="auto"/>
          <w:highlight w:val="none"/>
          <w:lang w:val="en-US" w:eastAsia="zh-CN"/>
        </w:rPr>
        <w:t>采坑集水</w:t>
      </w:r>
      <w:r>
        <w:rPr>
          <w:rFonts w:hint="default" w:ascii="Times New Roman" w:hAnsi="Times New Roman" w:eastAsia="宋体" w:cs="Times New Roman"/>
          <w:color w:val="auto"/>
          <w:sz w:val="24"/>
          <w:szCs w:val="24"/>
          <w:highlight w:val="none"/>
        </w:rPr>
        <w:t>358m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highlight w:val="none"/>
          <w:lang w:val="en-US" w:eastAsia="zh-CN"/>
        </w:rPr>
        <w:t>露天一、二采场分别</w:t>
      </w:r>
      <w:r>
        <w:rPr>
          <w:rFonts w:hint="default" w:ascii="Times New Roman" w:hAnsi="Times New Roman" w:eastAsia="宋体" w:cs="Times New Roman"/>
          <w:color w:val="auto"/>
          <w:sz w:val="24"/>
          <w:szCs w:val="24"/>
          <w:highlight w:val="none"/>
        </w:rPr>
        <w:t>建1座容积</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初期雨水收集池，沉淀后回用于场地抑尘洒水。</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6.2.2.2非正常工况下影响分析</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（1）生活污水</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由于本项目生活污水量</w:t>
      </w:r>
      <w:r>
        <w:rPr>
          <w:rFonts w:hint="eastAsia" w:cs="Times New Roman"/>
          <w:color w:val="auto"/>
          <w:highlight w:val="none"/>
          <w:lang w:val="en-US" w:eastAsia="zh-CN"/>
        </w:rPr>
        <w:t>较</w:t>
      </w:r>
      <w:r>
        <w:rPr>
          <w:rFonts w:hint="default" w:ascii="Times New Roman" w:hAnsi="Times New Roman" w:eastAsia="宋体" w:cs="Times New Roman"/>
          <w:color w:val="auto"/>
          <w:highlight w:val="none"/>
        </w:rPr>
        <w:t>小，主要是一般生活废水，不经预处理直接外排，长时间会滋生蝇苍，对周围环境造成影响，因此环评要求，建设单位对旱厕建设时，采用防渗材料，生活污水排至旱厕，定期清掏，不存在事故外排。</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（2）井下涌水</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非正常工况主要为矿山停产检修、设备维护，矿井涌水无法复用于生产和矿井涌水突然增大，无法全复用于生产。根据开发利用方案，本项目矿井最大涌水量为</w:t>
      </w:r>
      <w:r>
        <w:rPr>
          <w:rFonts w:hint="default" w:ascii="Times New Roman" w:hAnsi="Times New Roman" w:eastAsia="宋体" w:cs="Times New Roman"/>
          <w:color w:val="auto"/>
          <w:highlight w:val="none"/>
          <w:lang w:val="en-US" w:eastAsia="zh-CN"/>
        </w:rPr>
        <w:t>120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/d。本项目</w:t>
      </w:r>
      <w:r>
        <w:rPr>
          <w:rFonts w:hint="default" w:ascii="Times New Roman" w:hAnsi="Times New Roman" w:eastAsia="宋体" w:cs="Times New Roman"/>
          <w:color w:val="auto"/>
          <w:highlight w:val="none"/>
          <w:lang w:val="en-US" w:eastAsia="zh-CN"/>
        </w:rPr>
        <w:t>在露天一采场和二采场分别建设200m³的蓄水池，</w:t>
      </w:r>
      <w:r>
        <w:rPr>
          <w:rFonts w:hint="default" w:ascii="Times New Roman" w:hAnsi="Times New Roman" w:eastAsia="宋体" w:cs="Times New Roman"/>
          <w:color w:val="auto"/>
          <w:highlight w:val="none"/>
        </w:rPr>
        <w:t>在平硐PD1附近建一座200m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rPr>
        <w:t>的蓄水池。事故状况下，项目可储存约</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天的矿井最大涌水量。</w:t>
      </w:r>
    </w:p>
    <w:p>
      <w:pPr>
        <w:ind w:firstLine="480"/>
        <w:rPr>
          <w:rFonts w:hint="default" w:ascii="Times New Roman" w:hAnsi="Times New Roman" w:eastAsia="宋体" w:cs="Times New Roman"/>
          <w:color w:val="auto"/>
          <w:highlight w:val="none"/>
        </w:rPr>
        <w:sectPr>
          <w:headerReference r:id="rId24" w:type="default"/>
          <w:footerReference r:id="rId25" w:type="default"/>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rPr>
        <w:t>项目生产检修、设备维护时间一般不会超过8小时，项目收集池满足最大涌水量排放收集要求，根据水平衡，井下涌水可用于矿区洒水降尘和运输道路洒水，保证废水不外排，对周边地表水无影响。</w:t>
      </w:r>
    </w:p>
    <w:bookmarkEnd w:id="373"/>
    <w:p>
      <w:pPr>
        <w:pStyle w:val="5"/>
        <w:bidi w:val="0"/>
        <w:rPr>
          <w:rFonts w:hint="default" w:ascii="Times New Roman" w:hAnsi="Times New Roman" w:eastAsia="宋体" w:cs="Times New Roman"/>
          <w:color w:val="auto"/>
          <w:highlight w:val="none"/>
          <w:lang w:val="en-US" w:eastAsia="zh-CN"/>
        </w:rPr>
      </w:pPr>
      <w:bookmarkStart w:id="374" w:name="_Toc15376199"/>
      <w:bookmarkStart w:id="375" w:name="_Toc377022561"/>
      <w:bookmarkStart w:id="376" w:name="_Toc450827051"/>
      <w:bookmarkStart w:id="377" w:name="_Toc368298920"/>
      <w:bookmarkStart w:id="378" w:name="_Toc395187024"/>
      <w:bookmarkStart w:id="379" w:name="_Toc369000245"/>
      <w:bookmarkStart w:id="380" w:name="_Toc515537854"/>
      <w:bookmarkStart w:id="381" w:name="_Toc368298828"/>
      <w:bookmarkStart w:id="382" w:name="_Toc368298922"/>
      <w:bookmarkStart w:id="383" w:name="_Toc369000247"/>
      <w:bookmarkStart w:id="384" w:name="_Toc303671430"/>
      <w:bookmarkStart w:id="385" w:name="_Toc450827061"/>
      <w:bookmarkStart w:id="386" w:name="_Toc305953249"/>
      <w:bookmarkStart w:id="387" w:name="_Toc515537856"/>
      <w:bookmarkStart w:id="388" w:name="_Toc303671557"/>
      <w:bookmarkStart w:id="389" w:name="_Toc316410322"/>
      <w:bookmarkStart w:id="390" w:name="_Toc395187026"/>
      <w:bookmarkStart w:id="391" w:name="_Toc213731970"/>
      <w:bookmarkStart w:id="392" w:name="_Toc368298830"/>
      <w:bookmarkStart w:id="393" w:name="_Toc377022563"/>
      <w:bookmarkStart w:id="394" w:name="_Toc319511288"/>
      <w:r>
        <w:rPr>
          <w:rFonts w:hint="default" w:ascii="Times New Roman" w:hAnsi="Times New Roman" w:eastAsia="宋体" w:cs="Times New Roman"/>
          <w:color w:val="auto"/>
          <w:highlight w:val="none"/>
          <w:lang w:val="en-US" w:eastAsia="zh-CN"/>
        </w:rPr>
        <w:t>地下水环境影响分析与评价</w:t>
      </w:r>
      <w:bookmarkEnd w:id="374"/>
      <w:bookmarkEnd w:id="375"/>
      <w:bookmarkEnd w:id="376"/>
      <w:bookmarkEnd w:id="377"/>
      <w:bookmarkEnd w:id="378"/>
      <w:bookmarkEnd w:id="379"/>
      <w:bookmarkEnd w:id="380"/>
      <w:bookmarkEnd w:id="381"/>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395" w:name="_Toc15376200"/>
      <w:bookmarkStart w:id="396" w:name="_Toc177013550"/>
      <w:r>
        <w:rPr>
          <w:rFonts w:hint="default" w:ascii="Times New Roman" w:hAnsi="Times New Roman" w:eastAsia="宋体" w:cs="Times New Roman"/>
          <w:color w:val="auto"/>
          <w:sz w:val="24"/>
          <w:highlight w:val="none"/>
          <w:lang w:val="en-US" w:eastAsia="zh-CN"/>
        </w:rPr>
        <w:t>6.2.6.1区域及矿区水文地质条件</w:t>
      </w:r>
      <w:bookmarkEnd w:id="395"/>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1、</w:t>
      </w:r>
      <w:r>
        <w:rPr>
          <w:rFonts w:hint="default" w:ascii="Times New Roman" w:hAnsi="Times New Roman" w:eastAsia="宋体" w:cs="Times New Roman"/>
          <w:b/>
          <w:bCs/>
          <w:color w:val="auto"/>
          <w:highlight w:val="none"/>
        </w:rPr>
        <w:t>区域地质环境概况</w:t>
      </w:r>
    </w:p>
    <w:bookmarkEnd w:id="396"/>
    <w:p>
      <w:pPr>
        <w:bidi w:val="0"/>
        <w:rPr>
          <w:rFonts w:hint="default" w:ascii="Times New Roman" w:hAnsi="Times New Roman" w:eastAsia="宋体" w:cs="Times New Roman"/>
          <w:b/>
          <w:bCs/>
          <w:color w:val="auto"/>
          <w:highlight w:val="none"/>
        </w:rPr>
      </w:pPr>
      <w:bookmarkStart w:id="397" w:name="_Toc439163735"/>
      <w:bookmarkStart w:id="398" w:name="_Toc453163270"/>
      <w:bookmarkStart w:id="399" w:name="_Toc476320780"/>
      <w:bookmarkStart w:id="400" w:name="_Toc439163108"/>
      <w:r>
        <w:rPr>
          <w:rFonts w:hint="default" w:ascii="Times New Roman" w:hAnsi="Times New Roman" w:eastAsia="宋体" w:cs="Times New Roman"/>
          <w:b/>
          <w:bCs/>
          <w:color w:val="auto"/>
          <w:highlight w:val="none"/>
          <w:lang w:val="en-US" w:eastAsia="zh-CN"/>
        </w:rPr>
        <w:t>1.1</w:t>
      </w:r>
      <w:r>
        <w:rPr>
          <w:rFonts w:hint="default" w:ascii="Times New Roman" w:hAnsi="Times New Roman" w:eastAsia="宋体" w:cs="Times New Roman"/>
          <w:b/>
          <w:bCs/>
          <w:color w:val="auto"/>
          <w:highlight w:val="none"/>
        </w:rPr>
        <w:t>气象水文</w:t>
      </w:r>
      <w:bookmarkEnd w:id="397"/>
      <w:bookmarkEnd w:id="398"/>
      <w:bookmarkEnd w:id="399"/>
      <w:bookmarkEnd w:id="400"/>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在地区属于北温带大陆季风性气候，四季分明。温度变化较大，年平均气温为7℃~8℃。最高气温为7~8月，最高平均气温25℃~27℃，最高气温35℃~37℃。最低气温为12月至翌年2月，年最低平均气温-8.9℃~-12.8℃，最高气温-28℃~-35.2℃。</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多季风，每年9月至次年4月多为偏北或西北风，5~8月多为东南风。多年平均风速为2.4m/s。本区降雨量多集中在6~9月，暴雨多出现在7~8月，年平均降雨量800~1000mm，最多降雨量可达1248.1mm，最少降雨量为485mm，6~9月平均降雨量为602.2mm，占全年降雨量的74.65%。年平均水面蒸发量1225.3mm，年内分配以5～6月为最大，约占年蒸发量的29.8%。</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本区降雪期为10月至次年4月，平均降雪期开始日为11月20日，平均积雪终止日期为3月27日，主要降雪和积雪期为12月至次年1月。</w:t>
      </w:r>
    </w:p>
    <w:p>
      <w:pPr>
        <w:bidi w:val="0"/>
        <w:rPr>
          <w:rFonts w:hint="default" w:ascii="Times New Roman" w:hAnsi="Times New Roman" w:eastAsia="宋体" w:cs="Times New Roman"/>
          <w:b/>
          <w:bCs/>
          <w:color w:val="auto"/>
          <w:highlight w:val="none"/>
          <w:lang w:eastAsia="zh-CN"/>
        </w:rPr>
      </w:pPr>
      <w:bookmarkStart w:id="401" w:name="_Toc439163111"/>
      <w:bookmarkStart w:id="402" w:name="_Toc436308507"/>
      <w:bookmarkStart w:id="403" w:name="_Toc476320783"/>
      <w:bookmarkStart w:id="404" w:name="_Toc453163273"/>
      <w:bookmarkStart w:id="405" w:name="_Toc439163738"/>
      <w:r>
        <w:rPr>
          <w:rFonts w:hint="default" w:ascii="Times New Roman" w:hAnsi="Times New Roman" w:eastAsia="宋体" w:cs="Times New Roman"/>
          <w:b/>
          <w:bCs/>
          <w:color w:val="auto"/>
          <w:highlight w:val="none"/>
          <w:lang w:val="en-US" w:eastAsia="zh-CN"/>
        </w:rPr>
        <w:t>1.2</w:t>
      </w:r>
      <w:r>
        <w:rPr>
          <w:rFonts w:hint="default" w:ascii="Times New Roman" w:hAnsi="Times New Roman" w:eastAsia="宋体" w:cs="Times New Roman"/>
          <w:b/>
          <w:bCs/>
          <w:color w:val="auto"/>
          <w:highlight w:val="none"/>
          <w:lang w:eastAsia="zh-CN"/>
        </w:rPr>
        <w:t>地形地貌</w:t>
      </w:r>
      <w:bookmarkEnd w:id="401"/>
      <w:bookmarkEnd w:id="402"/>
      <w:bookmarkEnd w:id="403"/>
      <w:bookmarkEnd w:id="404"/>
      <w:bookmarkEnd w:id="405"/>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区位于鞍山市岫岩满族自治县西南部，山地和丘陵地形广布，属于长白山山系千山山脉南部的支脉，属构造侵蚀中低山地貌，平均海拔在500m~900m，大致由西北-东南延伸；项目区则完全处于山脊和山谷交错的地形区，总体地势西高东低，坡度较大，一般在25º~35º，植被较发育。</w:t>
      </w:r>
      <w:r>
        <w:rPr>
          <w:rFonts w:hint="default" w:ascii="Times New Roman" w:hAnsi="Times New Roman" w:eastAsia="宋体" w:cs="Times New Roman"/>
          <w:color w:val="auto"/>
          <w:highlight w:val="none"/>
          <w:lang w:val="en-US" w:eastAsia="zh-CN"/>
        </w:rPr>
        <w:t>区域</w:t>
      </w:r>
      <w:r>
        <w:rPr>
          <w:rFonts w:hint="default" w:ascii="Times New Roman" w:hAnsi="Times New Roman" w:eastAsia="宋体" w:cs="Times New Roman"/>
          <w:color w:val="auto"/>
          <w:highlight w:val="none"/>
        </w:rPr>
        <w:t>内最高海拔891m，最低海拔4</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0m，相对高差411m；</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rPr>
        <w:t>矿区范围内最高标高</w:t>
      </w:r>
      <w:r>
        <w:rPr>
          <w:rFonts w:hint="default" w:ascii="Times New Roman" w:hAnsi="Times New Roman" w:eastAsia="宋体" w:cs="Times New Roman"/>
          <w:color w:val="auto"/>
          <w:highlight w:val="none"/>
          <w:lang w:val="en-US" w:eastAsia="zh-CN"/>
        </w:rPr>
        <w:t>594.19</w:t>
      </w:r>
      <w:r>
        <w:rPr>
          <w:rFonts w:hint="default" w:ascii="Times New Roman" w:hAnsi="Times New Roman" w:eastAsia="宋体" w:cs="Times New Roman"/>
          <w:color w:val="auto"/>
          <w:highlight w:val="none"/>
        </w:rPr>
        <w:t>m，最低标高为</w:t>
      </w:r>
      <w:r>
        <w:rPr>
          <w:rFonts w:hint="default" w:ascii="Times New Roman" w:hAnsi="Times New Roman" w:eastAsia="宋体" w:cs="Times New Roman"/>
          <w:color w:val="auto"/>
          <w:highlight w:val="none"/>
          <w:lang w:val="en-US" w:eastAsia="zh-CN"/>
        </w:rPr>
        <w:t>40</w:t>
      </w:r>
      <w:r>
        <w:rPr>
          <w:rFonts w:hint="default" w:ascii="Times New Roman" w:hAnsi="Times New Roman" w:eastAsia="宋体" w:cs="Times New Roman"/>
          <w:color w:val="auto"/>
          <w:highlight w:val="none"/>
        </w:rPr>
        <w:t>0m，相对高差</w:t>
      </w:r>
      <w:r>
        <w:rPr>
          <w:rFonts w:hint="default" w:ascii="Times New Roman" w:hAnsi="Times New Roman" w:eastAsia="宋体" w:cs="Times New Roman"/>
          <w:color w:val="auto"/>
          <w:highlight w:val="none"/>
          <w:lang w:val="en-US" w:eastAsia="zh-CN"/>
        </w:rPr>
        <w:t>194.19</w:t>
      </w:r>
      <w:r>
        <w:rPr>
          <w:rFonts w:hint="default" w:ascii="Times New Roman" w:hAnsi="Times New Roman" w:eastAsia="宋体" w:cs="Times New Roman"/>
          <w:color w:val="auto"/>
          <w:highlight w:val="none"/>
        </w:rPr>
        <w:t>m。作为众多山脊-山谷的一支，项目沿河谷布置延伸，最终汇向</w:t>
      </w:r>
      <w:r>
        <w:rPr>
          <w:rFonts w:hint="default" w:ascii="Times New Roman" w:hAnsi="Times New Roman" w:eastAsia="宋体" w:cs="Times New Roman"/>
          <w:color w:val="auto"/>
          <w:highlight w:val="none"/>
          <w:lang w:eastAsia="zh-CN"/>
        </w:rPr>
        <w:t>贾家堡子</w:t>
      </w:r>
      <w:r>
        <w:rPr>
          <w:rFonts w:hint="default" w:ascii="Times New Roman" w:hAnsi="Times New Roman" w:eastAsia="宋体" w:cs="Times New Roman"/>
          <w:color w:val="auto"/>
          <w:highlight w:val="none"/>
        </w:rPr>
        <w:t>所在的谷底，山谷和山脊之间地势起伏较大，总体而言项目所在区域呈现两边高中间低的地势，为典型的山脊-山谷地貌。</w:t>
      </w:r>
    </w:p>
    <w:p>
      <w:pPr>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476875" cy="5476875"/>
            <wp:effectExtent l="0" t="0" r="9525" b="9525"/>
            <wp:docPr id="30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59"/>
                    <pic:cNvPicPr>
                      <a:picLocks noChangeAspect="1"/>
                    </pic:cNvPicPr>
                  </pic:nvPicPr>
                  <pic:blipFill>
                    <a:blip r:embed="rId119"/>
                    <a:stretch>
                      <a:fillRect/>
                    </a:stretch>
                  </pic:blipFill>
                  <pic:spPr>
                    <a:xfrm>
                      <a:off x="0" y="0"/>
                      <a:ext cx="5476875" cy="5476875"/>
                    </a:xfrm>
                    <a:prstGeom prst="rect">
                      <a:avLst/>
                    </a:prstGeom>
                    <a:noFill/>
                    <a:ln>
                      <a:noFill/>
                    </a:ln>
                  </pic:spPr>
                </pic:pic>
              </a:graphicData>
            </a:graphic>
          </wp:inline>
        </w:drawing>
      </w:r>
    </w:p>
    <w:p>
      <w:pPr>
        <w:ind w:left="0" w:leftChars="0" w:firstLine="0" w:firstLineChars="0"/>
        <w:jc w:val="center"/>
        <w:rPr>
          <w:rFonts w:hint="default" w:ascii="Times New Roman" w:hAnsi="Times New Roman" w:eastAsia="宋体" w:cs="Times New Roman"/>
          <w:b/>
          <w:bCs/>
          <w:color w:val="auto"/>
          <w:highlight w:val="none"/>
        </w:rPr>
      </w:pPr>
      <w:bookmarkStart w:id="406" w:name="_Ref465682540"/>
      <w:r>
        <w:rPr>
          <w:rFonts w:hint="default" w:ascii="Times New Roman" w:hAnsi="Times New Roman" w:eastAsia="宋体" w:cs="Times New Roman"/>
          <w:b/>
          <w:bCs/>
          <w:color w:val="auto"/>
          <w:sz w:val="24"/>
          <w:szCs w:val="24"/>
          <w:highlight w:val="none"/>
        </w:rPr>
        <w:t>图</w:t>
      </w:r>
      <w:r>
        <w:rPr>
          <w:rFonts w:hint="default"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rPr>
        <w:t>.2</w:t>
      </w:r>
      <w:r>
        <w:rPr>
          <w:rFonts w:hint="default" w:ascii="Times New Roman" w:hAnsi="Times New Roman" w:eastAsia="宋体" w:cs="Times New Roman"/>
          <w:b/>
          <w:bCs/>
          <w:color w:val="auto"/>
          <w:sz w:val="24"/>
          <w:szCs w:val="24"/>
          <w:highlight w:val="none"/>
        </w:rPr>
        <w:noBreakHyphen/>
      </w:r>
      <w:bookmarkEnd w:id="406"/>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地形地貌</w:t>
      </w:r>
    </w:p>
    <w:p>
      <w:pPr>
        <w:bidi w:val="0"/>
        <w:rPr>
          <w:rFonts w:hint="default" w:ascii="Times New Roman" w:hAnsi="Times New Roman" w:eastAsia="宋体" w:cs="Times New Roman"/>
          <w:b/>
          <w:bCs/>
          <w:color w:val="auto"/>
          <w:highlight w:val="none"/>
          <w:lang w:eastAsia="zh-CN"/>
        </w:rPr>
      </w:pPr>
      <w:bookmarkStart w:id="407" w:name="_Toc439163112"/>
      <w:bookmarkStart w:id="408" w:name="_Toc453163274"/>
      <w:bookmarkStart w:id="409" w:name="_Toc439163739"/>
      <w:bookmarkStart w:id="410" w:name="_Toc436308508"/>
      <w:bookmarkStart w:id="411" w:name="_Toc476320784"/>
      <w:r>
        <w:rPr>
          <w:rFonts w:hint="default" w:ascii="Times New Roman" w:hAnsi="Times New Roman" w:eastAsia="宋体" w:cs="Times New Roman"/>
          <w:b/>
          <w:bCs/>
          <w:color w:val="auto"/>
          <w:highlight w:val="none"/>
          <w:lang w:val="en-US" w:eastAsia="zh-CN"/>
        </w:rPr>
        <w:t>1.3</w:t>
      </w:r>
      <w:r>
        <w:rPr>
          <w:rFonts w:hint="default" w:ascii="Times New Roman" w:hAnsi="Times New Roman" w:eastAsia="宋体" w:cs="Times New Roman"/>
          <w:b/>
          <w:bCs/>
          <w:color w:val="auto"/>
          <w:highlight w:val="none"/>
          <w:lang w:eastAsia="zh-CN"/>
        </w:rPr>
        <w:t>区域地质条件</w:t>
      </w:r>
      <w:bookmarkEnd w:id="407"/>
      <w:bookmarkEnd w:id="408"/>
      <w:bookmarkEnd w:id="409"/>
      <w:bookmarkEnd w:id="410"/>
      <w:bookmarkEnd w:id="411"/>
    </w:p>
    <w:p>
      <w:pPr>
        <w:ind w:firstLine="480"/>
        <w:rPr>
          <w:rFonts w:hint="default" w:ascii="Times New Roman" w:hAnsi="Times New Roman" w:eastAsia="宋体" w:cs="Times New Roman"/>
          <w:color w:val="auto"/>
          <w:highlight w:val="none"/>
        </w:rPr>
      </w:pPr>
      <w:bookmarkStart w:id="412" w:name="_Toc452630836"/>
      <w:bookmarkEnd w:id="412"/>
      <w:bookmarkStart w:id="413" w:name="_Toc453162372"/>
      <w:bookmarkEnd w:id="413"/>
      <w:bookmarkStart w:id="414" w:name="_Toc453162068"/>
      <w:bookmarkEnd w:id="414"/>
      <w:bookmarkStart w:id="415" w:name="_Toc452711753"/>
      <w:bookmarkEnd w:id="415"/>
      <w:bookmarkStart w:id="416" w:name="_Toc453163277"/>
      <w:bookmarkEnd w:id="416"/>
      <w:bookmarkStart w:id="417" w:name="_Toc453162246"/>
      <w:bookmarkEnd w:id="417"/>
      <w:bookmarkStart w:id="418" w:name="_Toc453162940"/>
      <w:bookmarkEnd w:id="418"/>
      <w:bookmarkStart w:id="419" w:name="_Toc453161703"/>
      <w:bookmarkEnd w:id="419"/>
      <w:bookmarkStart w:id="420" w:name="_Toc439163116"/>
      <w:bookmarkStart w:id="421" w:name="_Toc453163278"/>
      <w:bookmarkStart w:id="422" w:name="_Toc439163743"/>
      <w:bookmarkStart w:id="423" w:name="_Toc476320787"/>
      <w:bookmarkStart w:id="424" w:name="_Toc436308511"/>
      <w:r>
        <w:rPr>
          <w:rFonts w:hint="default" w:ascii="Times New Roman" w:hAnsi="Times New Roman" w:eastAsia="宋体" w:cs="Times New Roman"/>
          <w:color w:val="auto"/>
          <w:highlight w:val="none"/>
        </w:rPr>
        <w:t>区域地质构造单元属于中朝准地台（Ⅰ）胶辽台隆（Ⅱ）营口-宽甸台拱（Ⅰ</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）凤城凸起（Ⅰ</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vertAlign w:val="superscript"/>
        </w:rPr>
        <w:t>3-1</w:t>
      </w:r>
      <w:r>
        <w:rPr>
          <w:rFonts w:hint="default" w:ascii="Times New Roman" w:hAnsi="Times New Roman" w:eastAsia="宋体" w:cs="Times New Roman"/>
          <w:color w:val="auto"/>
          <w:highlight w:val="none"/>
        </w:rPr>
        <w:t>）之虎皮峪背斜南翼。</w:t>
      </w:r>
    </w:p>
    <w:p>
      <w:pPr>
        <w:numPr>
          <w:ilvl w:val="0"/>
          <w:numId w:val="16"/>
        </w:numPr>
        <w:ind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区域地层</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区域出露地层由下元古界辽河群及新生界第四系。由老到新叙述如下：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①下元古界辽河群，自下而上分为里尔峪组、高家峪组、大石桥组和盖县组。</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里尔峪组（Ptlhr）：出露于区域的中部和北部。主要岩性为磁铁浅粒岩、电气浅粒岩、电气变粒岩、黑云电气变粒岩、黑云变粒岩、浅粒岩，夹含硼大理岩及斜长角闪岩。</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高家峪组（Ptlhg）：区域上出露较为广泛，与下伏里尔峪组为整合接触。主要岩性为含石墨透闪变粒岩、黑云变粒岩、二云片岩夹方解大理岩。下部以黑云变粒岩与下伏里尔峪组钙硅酸盐岩分界；顶部一般以石墨透闪变粒岩与上覆大石桥组一段大理岩分界。</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石桥组（Ptlhd）：主要出露于区域的北部和中部，与下伏高家峪组为整合接触。可划分为三个岩段：a、大石桥组一段（Ptlhd1）：主要岩性以方解石大理岩为主，次为白云石大理岩、透闪白云石大理岩，条带状含墨方解石大理岩，中部夹片岩或变粒岩。b、大石桥二段（Ptlhd2）：主要岩性为二云石英片岩及条带状方解石大理岩、含石榴二云石英片岩、黑云变粒岩、斜长角闪岩、透闪黑云片岩、含黑透闪透辉岩。c、大石桥组三段（Ptlhd3）：主要岩性以白云石大理岩为主，夹方解石大理岩、二长变粒岩、黑云变粒岩、二云石英片岩、透闪透辉方解石大理岩</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含透闪橄榄方解石大理岩。矿产有菱镁矿、方解石矿、白云石矿和玉石等。</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盖县组（Pllhgx）：主要出露于区域的南部和西部，与下伏大石桥组为整合接触。主要岩性以硅线二云片岩、二云片岩为主，其次为黑云变粒岩及浅粒岩，局部夹大理岩。</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②新生界第四系（Q）</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主要分布在沟谷和河流的两岸及山间洼地，构成河床及沟谷的冲积层和冲积扇裙。在山坡形成残积和坡积物。岩性为黏土、砂土、砂砾及砾石等。</w:t>
      </w:r>
    </w:p>
    <w:p>
      <w:pPr>
        <w:numPr>
          <w:ilvl w:val="0"/>
          <w:numId w:val="16"/>
        </w:numPr>
        <w:ind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构造</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①褶皱构造</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内褶皱构造发育，为北东东向虎皮峪复背斜的西翼，由多个近于相互平行排列的次级背斜及向斜褶皱构造组成，由北向南依次为：a、八盘岭~大卫屯背斜构造，b、冯家堡子~张家堡子向斜构造，c、后房子~小阳沟背斜构造。</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②断裂构造</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内断裂构造发育，分为近东西向、北东向和北西向断裂构造带。近东西向断裂带：主要为小阳沟堡子断裂，呈近东西舒缓波状展布，延伸约4.3km，挤压破碎带宽50~100m，其中糜棱岩及断层泥发育，显压扭性特征。北东向断裂构造带：呈北西向展布，延伸长短不一，一般长1.1~1.5km，断裂性质不明。有魏家大岭断裂、冯家堡子断裂、后房子断裂和李家堡子断裂等。</w:t>
      </w:r>
    </w:p>
    <w:p>
      <w:pPr>
        <w:numPr>
          <w:ilvl w:val="0"/>
          <w:numId w:val="16"/>
        </w:numPr>
        <w:ind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区域岩浆岩</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内岩浆岩比较发育，按侵入时代可分为早元古宙片麻状花岗岩、三迭纪侵入岩和晚侏罗纪花岗岩。早元古宙片麻状花岗岩。岩体主要出露在区域北部冯家堡子~大松树沟一带。岩石为灰白色、浅黄色、细粒花岗结构，片麻状、块状构造。岩体呈岩基状产出，延长方向与褶皱轴基本一致，与辽河群底层呈侵入接触关系，其中含有较多辽河群地层捕掳体；三迭纪侵入岩区内主要有大卫屯和坎子花岗岩体，呈岩基状产出。岩体中辽河群地层捕掳体较多，其中脉岩发育，侵入深度属深成相，剥蚀深度属中深剥蚀；晚侏罗纪花岗岩主要位于本区西南部的大顶子花岗岩，呈北北东向展布。</w:t>
      </w:r>
    </w:p>
    <w:p>
      <w:pPr>
        <w:ind w:firstLine="480"/>
        <w:rPr>
          <w:rFonts w:hint="default" w:ascii="Times New Roman" w:hAnsi="Times New Roman" w:eastAsia="宋体" w:cs="Times New Roman"/>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rPr>
        <w:t>区内脉岩也比较发育，主要有伟晶岩脉、闪长玢岩脉、正长岩脉等。</w:t>
      </w:r>
    </w:p>
    <w:p>
      <w:pPr>
        <w:ind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3477895</wp:posOffset>
                </wp:positionH>
                <wp:positionV relativeFrom="paragraph">
                  <wp:posOffset>256540</wp:posOffset>
                </wp:positionV>
                <wp:extent cx="2484120" cy="2134235"/>
                <wp:effectExtent l="590550" t="13970" r="30480" b="23495"/>
                <wp:wrapNone/>
                <wp:docPr id="3" name="矩形标注 3"/>
                <wp:cNvGraphicFramePr/>
                <a:graphic xmlns:a="http://schemas.openxmlformats.org/drawingml/2006/main">
                  <a:graphicData uri="http://schemas.microsoft.com/office/word/2010/wordprocessingShape">
                    <wps:wsp>
                      <wps:cNvSpPr/>
                      <wps:spPr>
                        <a:xfrm>
                          <a:off x="3827780" y="1156970"/>
                          <a:ext cx="2484120" cy="2134235"/>
                        </a:xfrm>
                        <a:prstGeom prst="wedgeRectCallout">
                          <a:avLst>
                            <a:gd name="adj1" fmla="val -72437"/>
                            <a:gd name="adj2" fmla="val 24501"/>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3.85pt;margin-top:20.2pt;height:168.05pt;width:195.6pt;z-index:251677696;v-text-anchor:middle;mso-width-relative:page;mso-height-relative:page;" filled="f" stroked="t" coordsize="21600,21600" o:gfxdata="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Kosb2DaAAAACgEAAA8AAAAAAAAAAQAg&#10;AAAAIgAAAGRycy9kb3ducmV2LnhtbFBLAQIUABQAAAAIAIdO4kBChyNutwIAAEcFAAAOAAAAAAAA&#10;AAEAIAAAACkBAABkcnMvZTJvRG9jLnhtbFBLBQYAAAAABgAGAFkBAABSBgAAAAA=&#10;" adj="-4846,16092">
                <v:fill on="f" focussize="0,0"/>
                <v:stroke weight="2.25pt" color="#FF0000 [3204]" miterlimit="8" joinstyle="miter"/>
                <v:imagedata o:title=""/>
                <o:lock v:ext="edit" aspectratio="f"/>
                <v:textbox>
                  <w:txbxContent>
                    <w:p>
                      <w:pPr>
                        <w:jc w:val="center"/>
                      </w:pPr>
                    </w:p>
                  </w:txbxContent>
                </v:textbox>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676672" behindDoc="0" locked="0" layoutInCell="1" allowOverlap="1">
            <wp:simplePos x="0" y="0"/>
            <wp:positionH relativeFrom="column">
              <wp:posOffset>3488690</wp:posOffset>
            </wp:positionH>
            <wp:positionV relativeFrom="paragraph">
              <wp:posOffset>262890</wp:posOffset>
            </wp:positionV>
            <wp:extent cx="2475230" cy="2136140"/>
            <wp:effectExtent l="0" t="0" r="1270" b="16510"/>
            <wp:wrapNone/>
            <wp:docPr id="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6"/>
                    <pic:cNvPicPr>
                      <a:picLocks noChangeAspect="1"/>
                    </pic:cNvPicPr>
                  </pic:nvPicPr>
                  <pic:blipFill>
                    <a:blip r:embed="rId120"/>
                    <a:stretch>
                      <a:fillRect/>
                    </a:stretch>
                  </pic:blipFill>
                  <pic:spPr>
                    <a:xfrm>
                      <a:off x="0" y="0"/>
                      <a:ext cx="2475230" cy="2136140"/>
                    </a:xfrm>
                    <a:prstGeom prst="rect">
                      <a:avLst/>
                    </a:prstGeom>
                    <a:noFill/>
                    <a:ln>
                      <a:noFill/>
                    </a:ln>
                  </pic:spPr>
                </pic:pic>
              </a:graphicData>
            </a:graphic>
          </wp:anchor>
        </w:drawing>
      </w:r>
      <w:r>
        <w:rPr>
          <w:rFonts w:hint="default" w:ascii="Times New Roman" w:hAnsi="Times New Roman" w:eastAsia="宋体" w:cs="Times New Roman"/>
          <w:color w:val="auto"/>
          <w:highlight w:val="none"/>
        </w:rPr>
        <w:drawing>
          <wp:inline distT="0" distB="0" distL="114300" distR="114300">
            <wp:extent cx="8456930" cy="5340350"/>
            <wp:effectExtent l="0" t="0" r="1270" b="12700"/>
            <wp:docPr id="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5"/>
                    <pic:cNvPicPr>
                      <a:picLocks noChangeAspect="1"/>
                    </pic:cNvPicPr>
                  </pic:nvPicPr>
                  <pic:blipFill>
                    <a:blip r:embed="rId121"/>
                    <a:stretch>
                      <a:fillRect/>
                    </a:stretch>
                  </pic:blipFill>
                  <pic:spPr>
                    <a:xfrm>
                      <a:off x="0" y="0"/>
                      <a:ext cx="8456930" cy="5340350"/>
                    </a:xfrm>
                    <a:prstGeom prst="rect">
                      <a:avLst/>
                    </a:prstGeom>
                    <a:noFill/>
                    <a:ln>
                      <a:noFill/>
                    </a:ln>
                  </pic:spPr>
                </pic:pic>
              </a:graphicData>
            </a:graphic>
          </wp:inline>
        </w:drawing>
      </w:r>
    </w:p>
    <w:p>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rPr>
        <w:t>图</w:t>
      </w:r>
      <w:r>
        <w:rPr>
          <w:rFonts w:hint="default" w:ascii="Times New Roman" w:hAnsi="Times New Roman" w:eastAsia="宋体" w:cs="Times New Roman"/>
          <w:b/>
          <w:bCs/>
          <w:color w:val="auto"/>
          <w:szCs w:val="21"/>
          <w:highlight w:val="none"/>
          <w:lang w:val="en-US" w:eastAsia="zh-CN"/>
        </w:rPr>
        <w:t>6.2</w:t>
      </w:r>
      <w:r>
        <w:rPr>
          <w:rFonts w:hint="default" w:ascii="Times New Roman" w:hAnsi="Times New Roman" w:eastAsia="宋体" w:cs="Times New Roman"/>
          <w:b/>
          <w:bCs/>
          <w:color w:val="auto"/>
          <w:szCs w:val="21"/>
          <w:highlight w:val="none"/>
        </w:rPr>
        <w:t>-</w:t>
      </w:r>
      <w:r>
        <w:rPr>
          <w:rFonts w:hint="default" w:ascii="Times New Roman" w:hAnsi="Times New Roman" w:eastAsia="宋体" w:cs="Times New Roman"/>
          <w:b/>
          <w:bCs/>
          <w:color w:val="auto"/>
          <w:szCs w:val="21"/>
          <w:highlight w:val="none"/>
          <w:lang w:val="en-US" w:eastAsia="zh-CN"/>
        </w:rPr>
        <w:t>3项目区域地形地质图</w:t>
      </w:r>
    </w:p>
    <w:p>
      <w:pPr>
        <w:rPr>
          <w:rFonts w:hint="default" w:ascii="Times New Roman" w:hAnsi="Times New Roman" w:eastAsia="宋体" w:cs="Times New Roman"/>
          <w:color w:val="auto"/>
          <w:highlight w:val="none"/>
        </w:rPr>
        <w:sectPr>
          <w:pgSz w:w="16840" w:h="11907"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rPr>
        <w:t>区域水文地质条件</w:t>
      </w:r>
      <w:bookmarkEnd w:id="420"/>
      <w:bookmarkEnd w:id="421"/>
      <w:bookmarkEnd w:id="422"/>
      <w:bookmarkEnd w:id="423"/>
      <w:bookmarkEnd w:id="424"/>
    </w:p>
    <w:p>
      <w:pPr>
        <w:numPr>
          <w:ilvl w:val="0"/>
          <w:numId w:val="17"/>
        </w:numPr>
        <w:ind w:left="1440" w:leftChars="0" w:firstLineChars="0"/>
        <w:rPr>
          <w:rFonts w:hint="default" w:ascii="Times New Roman" w:hAnsi="Times New Roman" w:eastAsia="宋体" w:cs="Times New Roman"/>
          <w:color w:val="auto"/>
          <w:highlight w:val="none"/>
        </w:rPr>
      </w:pPr>
      <w:bookmarkStart w:id="425" w:name="_Toc439163118"/>
      <w:bookmarkStart w:id="426" w:name="_Toc453163280"/>
      <w:bookmarkStart w:id="427" w:name="_Toc439163745"/>
      <w:bookmarkStart w:id="428" w:name="_Toc435612388"/>
      <w:r>
        <w:rPr>
          <w:rFonts w:hint="default" w:ascii="Times New Roman" w:hAnsi="Times New Roman" w:eastAsia="宋体" w:cs="Times New Roman"/>
          <w:color w:val="auto"/>
          <w:highlight w:val="none"/>
        </w:rPr>
        <w:t>区域地下水类别与含水岩组划分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区内地下水赋存特点，划分为松散岩类孔隙水、碳酸岩类岩溶裂隙水和基岩裂隙水三大类型。其中，基岩裂隙水根据岩性、结构、构造及裂隙性质等因素又分为层状岩类裂隙水和块状岩类裂隙水两个亚类，线状充水构造为其特殊类型的地下水。</w:t>
      </w:r>
    </w:p>
    <w:p>
      <w:pPr>
        <w:ind w:firstLine="460" w:firstLineChars="192"/>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1）松散岩类孔隙水</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岫岩盆地由大洋河上游五条支流汇合而成，系属大洋河水系的中游地段。含水层分布在一定阶地和高漫滩中，根据</w:t>
      </w:r>
      <w:bookmarkStart w:id="429" w:name="_Hlk11528933"/>
      <w:r>
        <w:rPr>
          <w:rFonts w:hint="default" w:ascii="Times New Roman" w:hAnsi="Times New Roman" w:eastAsia="宋体" w:cs="Times New Roman"/>
          <w:color w:val="auto"/>
          <w:highlight w:val="none"/>
        </w:rPr>
        <w:t>《区域水文地质普查报告岫岩县幅1:20万》中</w:t>
      </w:r>
      <w:bookmarkEnd w:id="429"/>
      <w:r>
        <w:rPr>
          <w:rFonts w:hint="default" w:ascii="Times New Roman" w:hAnsi="Times New Roman" w:eastAsia="宋体" w:cs="Times New Roman"/>
          <w:color w:val="auto"/>
          <w:highlight w:val="none"/>
        </w:rPr>
        <w:t>民井调查资料，松散岩类含水层上覆黄褐色亚砂土1.0~1.5米厚，粗砂与砂砾石互层厚2~3米，底部砂砾（卵）石层厚3~5米，含水层总厚度4.5~6.5米。砂砾（卵）石呈浅黄色，大于3毫米直径的砾（卵）石约占80％左右，个别大者达50厘米，以次圆状为主，分选性较好，潜水埋深1.25~2.77米。当降深为2米时，涌水量达3283.2吨/日，渗透系数为305.98米/日。该盆地按设计的单井涌水量在1</w:t>
      </w:r>
      <w:r>
        <w:rPr>
          <w:rFonts w:hint="eastAsia" w:cs="Times New Roman"/>
          <w:color w:val="auto"/>
          <w:highlight w:val="none"/>
          <w:lang w:val="en-US" w:eastAsia="zh-CN"/>
        </w:rPr>
        <w:t>0</w:t>
      </w:r>
      <w:r>
        <w:rPr>
          <w:rFonts w:hint="default" w:ascii="Times New Roman" w:hAnsi="Times New Roman" w:eastAsia="宋体" w:cs="Times New Roman"/>
          <w:color w:val="auto"/>
          <w:highlight w:val="none"/>
        </w:rPr>
        <w:t>0~</w:t>
      </w: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23吨/日，属富水中等的含水层。水化学类型以重碳酸氯化物-钙钠型为主，矿化度在0.146~339克/升之间。地下水位变化幅度均小于1米。</w:t>
      </w:r>
    </w:p>
    <w:p>
      <w:pPr>
        <w:ind w:firstLine="460" w:firstLineChars="192"/>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2）碳酸盐岩裂隙岩溶水</w:t>
      </w:r>
    </w:p>
    <w:p>
      <w:pPr>
        <w:ind w:firstLine="460" w:firstLineChars="192"/>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裂隙岩溶水富水程度受岩溶发育程度、构造、地貌等条件的控制，富水性极不均匀。本区岩溶水的富水位部位一般多在向斜构造的末端，单井涌水量可达1000吨/日以上。其它岩溶地区的岩溶水单井出水一般小于1000吨/日。</w:t>
      </w:r>
    </w:p>
    <w:p>
      <w:pPr>
        <w:ind w:firstLine="460" w:firstLineChars="192"/>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3）基岩裂隙水</w:t>
      </w:r>
    </w:p>
    <w:p>
      <w:pPr>
        <w:ind w:firstLine="460" w:firstLineChars="192"/>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本区内主要分布层状岩类裂隙水，含水岩组主要包括辽河群中浅变质的片岩、片麻岩、浅（变）粒岩，石炭二迭及震旦系的石英砂岩、板岩、砾岩、千枚岩，侏罗系的砂、页岩等，该套岩系具成岩层理、脆性，经历了多次构造运动，褶皱强烈，构造裂隙发育。区内普遍发育着北东向、北西向及近东西向三组裂隙，且以前两组较为发育。裂隙多为压扭性且较平整光滑，多呈压密或被钙质、</w:t>
      </w:r>
      <w:r>
        <w:rPr>
          <w:rFonts w:hint="default" w:ascii="Times New Roman" w:hAnsi="Times New Roman" w:eastAsia="宋体" w:cs="Times New Roman"/>
          <w:bCs/>
          <w:color w:val="auto"/>
          <w:highlight w:val="none"/>
          <w:lang w:eastAsia="zh-CN"/>
        </w:rPr>
        <w:t>钾长石</w:t>
      </w:r>
      <w:r>
        <w:rPr>
          <w:rFonts w:hint="default" w:ascii="Times New Roman" w:hAnsi="Times New Roman" w:eastAsia="宋体" w:cs="Times New Roman"/>
          <w:bCs/>
          <w:color w:val="auto"/>
          <w:highlight w:val="none"/>
        </w:rPr>
        <w:t>等物充填。随着深度增加，裂隙发育程度渐差，其富水性也逐渐变小。近地表由于风化作用较强，伴生风化裂隙发育，据地表不同岩性层位节理裂隙统计，裂隙延伸短，宽度不一，一般多为&lt;5毫米宽张扭性或被泥质充填，实测面裂隙率在0.7~2.4％之间变化。层状岩类裂隙发育程度变化不大，其富水性也无大差异。根据</w:t>
      </w:r>
      <w:r>
        <w:rPr>
          <w:rFonts w:hint="default" w:ascii="Times New Roman" w:hAnsi="Times New Roman" w:eastAsia="宋体" w:cs="Times New Roman"/>
          <w:color w:val="auto"/>
          <w:highlight w:val="none"/>
        </w:rPr>
        <w:t>《区域水文地质普查报告岫岩县幅1:20万》中调查资料，区域</w:t>
      </w:r>
      <w:r>
        <w:rPr>
          <w:rFonts w:hint="default" w:ascii="Times New Roman" w:hAnsi="Times New Roman" w:eastAsia="宋体" w:cs="Times New Roman"/>
          <w:bCs/>
          <w:color w:val="auto"/>
          <w:highlight w:val="none"/>
        </w:rPr>
        <w:t>层状岩类含水岩组最小泉水流量0.014升/秒，最大泉水流量1.058升/秒，常见泉水流量为0.1~1.0升/秒。揭露的辽河群里尔峪组变粒岩的15号孔，水位降低36.33米，涌水量52.96吨/日。单位涌水量146吨/日·米，其矿体底板水位降低40.30米，涌水量41.73吨/日，单位涌水量1.04吨/日·米。</w:t>
      </w:r>
    </w:p>
    <w:p>
      <w:pPr>
        <w:ind w:firstLine="460" w:firstLineChars="192"/>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4）线状充水构造</w:t>
      </w:r>
    </w:p>
    <w:p>
      <w:pPr>
        <w:ind w:firstLine="460" w:firstLineChars="192"/>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区内线状充水构造十分发育，沿其不同类型构造泉水出露弱处，占全区泉水点总数的29%，泉水流量也比较大，对地下水的聚集运移起着重大作用。幅内线伏充水构造可划分为断裂、褶皱及各种岩层接触带三个基本类型，其特征、富水性分述如下：</w:t>
      </w:r>
    </w:p>
    <w:p>
      <w:pPr>
        <w:ind w:firstLine="460" w:firstLineChars="192"/>
        <w:jc w:val="left"/>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a．断裂充水构造</w:t>
      </w:r>
    </w:p>
    <w:p>
      <w:pPr>
        <w:ind w:firstLine="460" w:firstLineChars="192"/>
        <w:jc w:val="left"/>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充水断裂呈北东30</w:t>
      </w:r>
      <w:r>
        <w:rPr>
          <w:rFonts w:hint="default" w:ascii="Times New Roman" w:hAnsi="Times New Roman" w:eastAsia="宋体" w:cs="Times New Roman"/>
          <w:bCs/>
          <w:color w:val="auto"/>
          <w:highlight w:val="none"/>
          <w:vertAlign w:val="superscript"/>
        </w:rPr>
        <w:t>o</w:t>
      </w:r>
      <w:r>
        <w:rPr>
          <w:rFonts w:hint="default" w:ascii="Times New Roman" w:hAnsi="Times New Roman" w:eastAsia="宋体" w:cs="Times New Roman"/>
          <w:bCs/>
          <w:color w:val="auto"/>
          <w:highlight w:val="none"/>
        </w:rPr>
        <w:t>~40</w:t>
      </w:r>
      <w:r>
        <w:rPr>
          <w:rFonts w:hint="default" w:ascii="Times New Roman" w:hAnsi="Times New Roman" w:eastAsia="宋体" w:cs="Times New Roman"/>
          <w:bCs/>
          <w:color w:val="auto"/>
          <w:highlight w:val="none"/>
          <w:vertAlign w:val="superscript"/>
        </w:rPr>
        <w:t>o</w:t>
      </w:r>
      <w:r>
        <w:rPr>
          <w:rFonts w:hint="default" w:ascii="Times New Roman" w:hAnsi="Times New Roman" w:eastAsia="宋体" w:cs="Times New Roman"/>
          <w:bCs/>
          <w:color w:val="auto"/>
          <w:highlight w:val="none"/>
        </w:rPr>
        <w:t>方向平行展布，多数断裂倾向南东西或直立，破碎带一般宽10~15米，常见有挤压扁豆体、断层泥、挤压片理、断层擦痕等现象，均显压扭性特征。压扭性断裂的下盘往往起阻水作用，受其断裂带影响裂隙相当发育的上盘是地下水汇聚有利场所，在补给条件好或受地形等因素的影响下，地下水便出露于地表成为断层泉。因此，断裂多在上盘一侧充水。沿断裂侵入的脉岩旁或主次断裂的交汇处多为含水部位。在断层通过的大理岩体易形成溶隙溶洞时，泉水流量往往较大。</w:t>
      </w:r>
    </w:p>
    <w:p>
      <w:pPr>
        <w:ind w:firstLine="460" w:firstLineChars="192"/>
        <w:jc w:val="left"/>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b．岩层按接触带充水构造</w:t>
      </w:r>
    </w:p>
    <w:p>
      <w:pPr>
        <w:ind w:firstLine="460" w:firstLineChars="192"/>
        <w:jc w:val="left"/>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区域内岩层按触带充水构造包括侵入接触带，角度不整合接触带及一般岩层接触带二个类型，其中以侵入接触带充水类型最发育，且泉水流量较大。岩层接触带充水主要是由于岩性的不同，受构造、产状等因素控制，地下水多在透水性较好的一侧岩层聚集而成。区域内岩层接触带充水构造富水性是极不均匀的，最小泉水流量为0.01升/秒，最大者则达5.4升/秒，一般泉水流量多在0.1~1.0升/秒之间。</w:t>
      </w:r>
    </w:p>
    <w:p>
      <w:pPr>
        <w:ind w:firstLine="460" w:firstLineChars="192"/>
        <w:jc w:val="left"/>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c．褶皱的向斜轴部充水构造</w:t>
      </w:r>
    </w:p>
    <w:p>
      <w:pPr>
        <w:ind w:firstLine="460" w:firstLineChars="192"/>
        <w:jc w:val="left"/>
        <w:rPr>
          <w:rFonts w:hint="default" w:ascii="Times New Roman" w:hAnsi="Times New Roman" w:eastAsia="宋体" w:cs="Times New Roman"/>
          <w:bCs/>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Cs/>
          <w:color w:val="auto"/>
          <w:highlight w:val="none"/>
        </w:rPr>
        <w:t>此部分位于区域西北部弟兄山一香炉山一龙头寨向斜轴长近50公里，走向由东西向延伸转为北东向。向斜的核部由辽河群大石桥组大理岩组成，两翼为高家峪、里尔峪组地层。向斜轴部由于受岩性、构浩、产状等因素影响，裂隙、岩溶比较发育，为地下水的储集运移创造了有利条件。</w:t>
      </w:r>
    </w:p>
    <w:p>
      <w:pPr>
        <w:ind w:firstLine="0" w:firstLineChars="0"/>
        <w:jc w:val="center"/>
        <w:rPr>
          <w:rFonts w:hint="default" w:ascii="Times New Roman" w:hAnsi="Times New Roman" w:eastAsia="宋体" w:cs="Times New Roman"/>
          <w:color w:val="auto"/>
          <w:highlight w:val="none"/>
        </w:rPr>
        <w:sectPr>
          <w:pgSz w:w="16840" w:h="11907"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3415665</wp:posOffset>
                </wp:positionH>
                <wp:positionV relativeFrom="paragraph">
                  <wp:posOffset>-4060825</wp:posOffset>
                </wp:positionV>
                <wp:extent cx="76200" cy="76200"/>
                <wp:effectExtent l="0" t="0" r="0" b="0"/>
                <wp:wrapNone/>
                <wp:docPr id="27" name="椭圆 27"/>
                <wp:cNvGraphicFramePr/>
                <a:graphic xmlns:a="http://schemas.openxmlformats.org/drawingml/2006/main">
                  <a:graphicData uri="http://schemas.microsoft.com/office/word/2010/wordprocessingShape">
                    <wps:wsp>
                      <wps:cNvSpPr/>
                      <wps:spPr>
                        <a:xfrm>
                          <a:off x="4361180" y="2501265"/>
                          <a:ext cx="76200" cy="76200"/>
                        </a:xfrm>
                        <a:prstGeom prst="ellipse">
                          <a:avLst/>
                        </a:prstGeom>
                        <a:gradFill>
                          <a:gsLst>
                            <a:gs pos="0">
                              <a:srgbClr val="E30000"/>
                            </a:gs>
                            <a:gs pos="100000">
                              <a:srgbClr val="760303"/>
                            </a:gs>
                          </a:gsLst>
                          <a:lin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68.95pt;margin-top:-319.75pt;height:6pt;width:6pt;z-index:251683840;v-text-anchor:middle;mso-width-relative:page;mso-height-relative:page;" fillcolor="#E30000" filled="t" stroked="f" coordsize="21600,21600" o:gfxdata="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CkKvUi2AAAAA0BAAAPAAAAAAAAAAEAIAAAACIAAABkcnMvZG93bnJldi54bWxQSwEC&#10;FAAUAAAACACHTuJAvxuV1J8CAABFBQAADgAAAAAAAAABACAAAAAnAQAAZHJzL2Uyb0RvYy54bWxQ&#10;SwUGAAAAAAYABgBZAQAAOAYAAAAA&#10;">
                <v:fill type="gradient" on="t" color2="#760303" angle="90" focus="100%" focussize="0,0" rotate="t">
                  <o:fill type="gradientUnscaled" v:ext="backwardCompatible"/>
                </v:fill>
                <v:stroke on="f" weight="1pt" miterlimit="8" joinstyle="miter"/>
                <v:imagedata o:title=""/>
                <o:lock v:ext="edit" aspectratio="f"/>
              </v:shape>
            </w:pict>
          </mc:Fallback>
        </mc:AlternateContent>
      </w:r>
      <w:r>
        <w:rPr>
          <w:rFonts w:hint="default" w:ascii="Times New Roman" w:hAnsi="Times New Roman" w:eastAsia="宋体" w:cs="Times New Roman"/>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3777615</wp:posOffset>
                </wp:positionH>
                <wp:positionV relativeFrom="paragraph">
                  <wp:posOffset>-4634230</wp:posOffset>
                </wp:positionV>
                <wp:extent cx="896620" cy="301625"/>
                <wp:effectExtent l="323215" t="6350" r="18415" b="320675"/>
                <wp:wrapNone/>
                <wp:docPr id="26" name="矩形标注 26"/>
                <wp:cNvGraphicFramePr/>
                <a:graphic xmlns:a="http://schemas.openxmlformats.org/drawingml/2006/main">
                  <a:graphicData uri="http://schemas.microsoft.com/office/word/2010/wordprocessingShape">
                    <wps:wsp>
                      <wps:cNvSpPr/>
                      <wps:spPr>
                        <a:xfrm>
                          <a:off x="4339590" y="2004695"/>
                          <a:ext cx="896620" cy="301625"/>
                        </a:xfrm>
                        <a:prstGeom prst="wedgeRectCallout">
                          <a:avLst>
                            <a:gd name="adj1" fmla="val -80978"/>
                            <a:gd name="adj2" fmla="val 14648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ind w:left="0" w:leftChars="0" w:firstLine="0" w:firstLineChars="0"/>
                              <w:jc w:val="center"/>
                              <w:rPr>
                                <w:rFonts w:hint="default" w:eastAsia="宋体"/>
                                <w:b/>
                                <w:bCs/>
                                <w:color w:val="auto"/>
                                <w:lang w:val="en-US" w:eastAsia="zh-CN"/>
                                <w14:textOutline w14:w="9525">
                                  <w14:solidFill>
                                    <w14:srgbClr w14:val="000000"/>
                                  </w14:solidFill>
                                  <w14:round/>
                                </w14:textOutline>
                              </w:rPr>
                            </w:pPr>
                            <w:r>
                              <w:rPr>
                                <w:rFonts w:hint="eastAsia"/>
                                <w:b/>
                                <w:bCs/>
                                <w:color w:val="auto"/>
                                <w:lang w:val="en-US" w:eastAsia="zh-CN"/>
                                <w14:textOutline w14:w="9525">
                                  <w14:solidFill>
                                    <w14:srgbClr w14:val="000000"/>
                                  </w14:solidFill>
                                  <w14:round/>
                                </w14:textOutline>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7.45pt;margin-top:-364.9pt;height:23.75pt;width:70.6pt;z-index:251682816;v-text-anchor:middle;mso-width-relative:page;mso-height-relative:page;" filled="f" stroked="t" coordsize="21600,21600" o:gfxdata="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KrPQHrdAAAADQEAAA8AAAAAAAAA&#10;AQAgAAAAIgAAAGRycy9kb3ducmV2LnhtbFBLAQIUABQAAAAIAIdO4kC/XpaYtwIAAEgFAAAOAAAA&#10;AAAAAAEAIAAAACwBAABkcnMvZTJvRG9jLnhtbFBLBQYAAAAABgAGAFkBAABVBgAAAAA=&#10;" adj="-6691,42440">
                <v:fill on="f" focussize="0,0"/>
                <v:stroke weight="1pt" color="#FF0000 [3204]" miterlimit="8" joinstyle="miter"/>
                <v:imagedata o:title=""/>
                <o:lock v:ext="edit" aspectratio="f"/>
                <v:textbox>
                  <w:txbxContent>
                    <w:p>
                      <w:pPr>
                        <w:ind w:left="0" w:leftChars="0" w:firstLine="0" w:firstLineChars="0"/>
                        <w:jc w:val="center"/>
                        <w:rPr>
                          <w:rFonts w:hint="default" w:eastAsia="宋体"/>
                          <w:b/>
                          <w:bCs/>
                          <w:color w:val="auto"/>
                          <w:lang w:val="en-US" w:eastAsia="zh-CN"/>
                          <w14:textOutline w14:w="9525">
                            <w14:solidFill>
                              <w14:srgbClr w14:val="000000"/>
                            </w14:solidFill>
                            <w14:round/>
                          </w14:textOutline>
                        </w:rPr>
                      </w:pPr>
                      <w:r>
                        <w:rPr>
                          <w:rFonts w:hint="eastAsia"/>
                          <w:b/>
                          <w:bCs/>
                          <w:color w:val="auto"/>
                          <w:lang w:val="en-US" w:eastAsia="zh-CN"/>
                          <w14:textOutline w14:w="9525">
                            <w14:solidFill>
                              <w14:srgbClr w14:val="000000"/>
                            </w14:solidFill>
                            <w14:round/>
                          </w14:textOutline>
                        </w:rPr>
                        <w:t>项目位置</w:t>
                      </w:r>
                    </w:p>
                  </w:txbxContent>
                </v:textbox>
              </v:shape>
            </w:pict>
          </mc:Fallback>
        </mc:AlternateContent>
      </w:r>
      <w:r>
        <w:rPr>
          <w:rFonts w:hint="default" w:ascii="Times New Roman" w:hAnsi="Times New Roman" w:eastAsia="宋体" w:cs="Times New Roman"/>
          <w:color w:val="auto"/>
          <w:highlight w:val="none"/>
        </w:rPr>
        <w:drawing>
          <wp:anchor distT="0" distB="0" distL="114300" distR="114300" simplePos="0" relativeHeight="251681792" behindDoc="0" locked="0" layoutInCell="1" allowOverlap="1">
            <wp:simplePos x="0" y="0"/>
            <wp:positionH relativeFrom="column">
              <wp:posOffset>-72390</wp:posOffset>
            </wp:positionH>
            <wp:positionV relativeFrom="paragraph">
              <wp:posOffset>-129540</wp:posOffset>
            </wp:positionV>
            <wp:extent cx="8862060" cy="5800090"/>
            <wp:effectExtent l="0" t="0" r="15240" b="10160"/>
            <wp:wrapSquare wrapText="bothSides"/>
            <wp:docPr id="2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6"/>
                    <pic:cNvPicPr>
                      <a:picLocks noChangeAspect="1"/>
                    </pic:cNvPicPr>
                  </pic:nvPicPr>
                  <pic:blipFill>
                    <a:blip r:embed="rId122"/>
                    <a:stretch>
                      <a:fillRect/>
                    </a:stretch>
                  </pic:blipFill>
                  <pic:spPr>
                    <a:xfrm>
                      <a:off x="0" y="0"/>
                      <a:ext cx="8862060" cy="5800090"/>
                    </a:xfrm>
                    <a:prstGeom prst="rect">
                      <a:avLst/>
                    </a:prstGeom>
                    <a:noFill/>
                    <a:ln>
                      <a:noFill/>
                    </a:ln>
                  </pic:spPr>
                </pic:pic>
              </a:graphicData>
            </a:graphic>
          </wp:anchor>
        </w:drawing>
      </w:r>
      <w:r>
        <w:rPr>
          <w:rFonts w:hint="default" w:ascii="Times New Roman" w:hAnsi="Times New Roman" w:eastAsia="宋体" w:cs="Times New Roman"/>
          <w:b/>
          <w:bCs/>
          <w:color w:val="auto"/>
          <w:szCs w:val="21"/>
          <w:highlight w:val="none"/>
        </w:rPr>
        <w:t>图</w:t>
      </w:r>
      <w:r>
        <w:rPr>
          <w:rFonts w:hint="default" w:ascii="Times New Roman" w:hAnsi="Times New Roman" w:eastAsia="宋体" w:cs="Times New Roman"/>
          <w:b/>
          <w:bCs/>
          <w:color w:val="auto"/>
          <w:szCs w:val="21"/>
          <w:highlight w:val="none"/>
          <w:lang w:val="en-US" w:eastAsia="zh-CN"/>
        </w:rPr>
        <w:t>6.2</w:t>
      </w:r>
      <w:r>
        <w:rPr>
          <w:rFonts w:hint="default" w:ascii="Times New Roman" w:hAnsi="Times New Roman" w:eastAsia="宋体" w:cs="Times New Roman"/>
          <w:b/>
          <w:bCs/>
          <w:color w:val="auto"/>
          <w:szCs w:val="21"/>
          <w:highlight w:val="none"/>
        </w:rPr>
        <w:t>-</w:t>
      </w:r>
      <w:r>
        <w:rPr>
          <w:rFonts w:hint="default" w:ascii="Times New Roman" w:hAnsi="Times New Roman" w:eastAsia="宋体" w:cs="Times New Roman"/>
          <w:b/>
          <w:bCs/>
          <w:color w:val="auto"/>
          <w:szCs w:val="21"/>
          <w:highlight w:val="none"/>
          <w:lang w:val="en-US" w:eastAsia="zh-CN"/>
        </w:rPr>
        <w:t>5</w:t>
      </w:r>
      <w:r>
        <w:rPr>
          <w:rFonts w:hint="default" w:ascii="Times New Roman" w:hAnsi="Times New Roman" w:eastAsia="宋体" w:cs="Times New Roman"/>
          <w:b/>
          <w:bCs/>
          <w:color w:val="auto"/>
          <w:szCs w:val="21"/>
          <w:highlight w:val="none"/>
        </w:rPr>
        <w:t>区域水文地质</w:t>
      </w:r>
    </w:p>
    <w:p>
      <w:pPr>
        <w:ind w:firstLine="460" w:firstLineChars="192"/>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地下水的补给、径流与排泄条件</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内地下含水系统与大气圈联系较为密切，具有明显的垂向入渗补给和蒸发排泄作用，在含水系统不同的地段，都有补给、径流、排泄作用发生，三种不同的地下水动态要素交织在一起，共同作用于地下含水系统，显示出一个连续相关的信息输出过程。但在不同的地段每个信息要素反映的强弱不同。往往在靠近山前区以补给、径流作用为主，平原区除补给、径流作用外，排泄作用加强。</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kern w:val="21"/>
          <w:highlight w:val="none"/>
        </w:rPr>
        <w:t>地下水补给特征</w:t>
      </w:r>
    </w:p>
    <w:p>
      <w:pPr>
        <w:pStyle w:val="306"/>
        <w:ind w:firstLine="460" w:firstLineChars="192"/>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广大的低山丘陵区，主要是接受大气降水微弱下渗补给。区内基岩裸露，裂隙发育，为大气降水直接渗入补给创造了良好条件。据英那河、小洋河、哨子河、援河、草河、海城河等七个流域汇水而积60715平方公里的统计资料，每年可有95303万吨水接受大气降水渗入地下。根据岫岩北瓦沟蛇纹软玉矿详查报告资料，地下水的动态变化受季节性降水控制明显。</w:t>
      </w:r>
    </w:p>
    <w:p>
      <w:pPr>
        <w:pStyle w:val="306"/>
        <w:ind w:firstLine="460" w:firstLineChars="192"/>
        <w:rPr>
          <w:rFonts w:hint="default" w:ascii="Times New Roman" w:hAnsi="Times New Roman" w:eastAsia="宋体" w:cs="Times New Roman"/>
          <w:color w:val="auto"/>
          <w:szCs w:val="24"/>
          <w:highlight w:val="none"/>
        </w:rPr>
      </w:pPr>
      <w:r>
        <w:rPr>
          <w:rFonts w:hint="default" w:ascii="Times New Roman" w:hAnsi="Times New Roman" w:eastAsia="宋体" w:cs="Times New Roman"/>
          <w:color w:val="auto"/>
          <w:szCs w:val="24"/>
          <w:highlight w:val="none"/>
        </w:rPr>
        <w:t>谷地、扇裙、河谷及冲海平原地下水补给来源：一是由厂大的基岩山区地下水的迳流补给，区域内地下水总的流向是与地表水流向某本呈一致性的，是由北向南运移〔北部个别地段除外）；二是靠大气降水渗入补给，表层虽有亚黏土、亚砂土覆盖渗透性能较差，但地形比较平坦，面积较大、也为大气降水渗透补给提供了一定的条件。</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2）地下水径流特征</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区域地下水以水平迳流为主，但在不同的地貌单元或不同的岩性中，其迳流条件也不尽相同。</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广大基岩山区，风化及构造裂隙、断裂破碎带，岩层接触带等是地下水主要迳流通道，其发育程度受岩性，构造、地貌等因素控制。区内摺皱、断裂构造及各类型的层岩接触带很发育，为地下水的迳流、连通创造了有利条件。层状岩类构造裂隙较块状岩类风化裂隙发育，层状岩类区地下水的迳流条件亦好于块状岩类区。分布在和缓丘陵地形的块状类裂隙较地处低山高丘的块状岩类裂隙发育程度差，前者地下水通流条件一般不如后者好。辽河群大石桥组大理岩分布区，褶皱构造及局部地段裂隙岩溶发育，地下水迁流条件均比上述各区强。</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山间谷地、扇裙、例谷及冲海积平原的地下水通流条件主要取决于岩性，构造和水利坡度。河谷平原水力坡度一股为2~15％，多为砂砾（卵）石组成，渗透系数多在50~300米/日，地下水迳流条件比较好。山间谷地、扇裙，台地水力坡度虽较大，但岩性结构较廷杂，渗透系数不一，一般多小于10米/日，地下水迳流条件较差。</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kern w:val="21"/>
          <w:highlight w:val="none"/>
        </w:rPr>
        <w:t>地下水排泄特征</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区内地下水主要以泉、河（溪）流、地下通流、植物蒸腾等方式排泄。</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大面积的基岩裂隙水在迳流的过程中，受岩性、地貌及构造等条件的控制，多以泉的形式出露于地表，大量的排泄地下水。据区域内己调查收集的200个泉水点统计，排泄地下水总量可达19564吨/日。</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区域内沟谷纵横密布，小溪、河流发育，是广泛大量排泄地下水的良好条件。基岩由区，泉水汇集成溪，溪水汇聚成河，河溪流经侵蚀切割不同含水岩组，使地下水更有条件补给河、溪流，由北向南最终流入黄海。</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植物生长期对地下水的吸取和叶面蒸腾，地面毛细孔作用对地下水的蒸发，矿坑采矿时对地下水的疏干等均为地下水排泄方式之一。</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（3）地下水化学类型</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的地下水化学类型由北向南即由低山丘陵——冲海平原水平分带性较强，与地下水的补给、径流、排泄条件基本一致。广大的低山丘陵区是补给区，地下水的化学类型为重碳酸—钙型、重碳酸—钙镁型、重碳酸—钙钠型。径流条件比较缓慢的丘陵则为重碳酸氯化物和重碳酸氯化物—钠钙型。在径流条件缓慢且为主要排泄区的冲海平原则为氯化物重碳酸—钙钠型。地下水化学类型垂向上的分布也存在一定规律，地形较低处或山间低谷局部为阴离子出现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rPr>
        <w:t>和SO</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rPr>
        <w:t>•HCO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型水，由浅到深SO</w:t>
      </w:r>
      <w:r>
        <w:rPr>
          <w:rFonts w:hint="default" w:ascii="Times New Roman" w:hAnsi="Times New Roman" w:eastAsia="宋体" w:cs="Times New Roman"/>
          <w:color w:val="auto"/>
          <w:highlight w:val="none"/>
          <w:vertAlign w:val="subscript"/>
        </w:rPr>
        <w:t>4</w:t>
      </w:r>
      <w:r>
        <w:rPr>
          <w:rFonts w:hint="default" w:ascii="Times New Roman" w:hAnsi="Times New Roman" w:eastAsia="宋体" w:cs="Times New Roman"/>
          <w:color w:val="auto"/>
          <w:highlight w:val="none"/>
          <w:vertAlign w:val="superscript"/>
        </w:rPr>
        <w:t>-</w:t>
      </w:r>
      <w:r>
        <w:rPr>
          <w:rFonts w:hint="default" w:ascii="Times New Roman" w:hAnsi="Times New Roman" w:eastAsia="宋体" w:cs="Times New Roman"/>
          <w:color w:val="auto"/>
          <w:highlight w:val="none"/>
        </w:rPr>
        <w:t>的含量逐渐增加，矿化度也随之增加。</w:t>
      </w:r>
    </w:p>
    <w:bookmarkEnd w:id="425"/>
    <w:bookmarkEnd w:id="426"/>
    <w:bookmarkEnd w:id="427"/>
    <w:bookmarkEnd w:id="428"/>
    <w:p>
      <w:pPr>
        <w:bidi w:val="0"/>
        <w:rPr>
          <w:rFonts w:hint="default" w:ascii="Times New Roman" w:hAnsi="Times New Roman" w:eastAsia="宋体" w:cs="Times New Roman"/>
          <w:b/>
          <w:bCs/>
          <w:color w:val="auto"/>
          <w:highlight w:val="none"/>
        </w:rPr>
      </w:pPr>
      <w:bookmarkStart w:id="430" w:name="_Toc482671614"/>
      <w:r>
        <w:rPr>
          <w:rFonts w:hint="default" w:ascii="Times New Roman" w:hAnsi="Times New Roman" w:eastAsia="宋体" w:cs="Times New Roman"/>
          <w:b/>
          <w:bCs/>
          <w:color w:val="auto"/>
          <w:highlight w:val="none"/>
          <w:lang w:val="en-US" w:eastAsia="zh-CN"/>
        </w:rPr>
        <w:t>3、</w:t>
      </w:r>
      <w:r>
        <w:rPr>
          <w:rFonts w:hint="default" w:ascii="Times New Roman" w:hAnsi="Times New Roman" w:eastAsia="宋体" w:cs="Times New Roman"/>
          <w:b/>
          <w:bCs/>
          <w:color w:val="auto"/>
          <w:highlight w:val="none"/>
        </w:rPr>
        <w:t>矿区内</w:t>
      </w:r>
      <w:bookmarkEnd w:id="430"/>
      <w:r>
        <w:rPr>
          <w:rFonts w:hint="default" w:ascii="Times New Roman" w:hAnsi="Times New Roman" w:eastAsia="宋体" w:cs="Times New Roman"/>
          <w:b/>
          <w:bCs/>
          <w:color w:val="auto"/>
          <w:highlight w:val="none"/>
        </w:rPr>
        <w:t>地质环境概况</w:t>
      </w:r>
    </w:p>
    <w:p>
      <w:pPr>
        <w:bidi w:val="0"/>
        <w:rPr>
          <w:rFonts w:hint="default" w:ascii="Times New Roman" w:hAnsi="Times New Roman" w:eastAsia="宋体" w:cs="Times New Roman"/>
          <w:b/>
          <w:bCs/>
          <w:color w:val="auto"/>
          <w:highlight w:val="none"/>
        </w:rPr>
      </w:pPr>
      <w:bookmarkStart w:id="431" w:name="_Toc476320799"/>
      <w:r>
        <w:rPr>
          <w:rFonts w:hint="default" w:ascii="Times New Roman" w:hAnsi="Times New Roman" w:eastAsia="宋体" w:cs="Times New Roman"/>
          <w:b/>
          <w:bCs/>
          <w:color w:val="auto"/>
          <w:highlight w:val="none"/>
          <w:lang w:val="en-US" w:eastAsia="zh-CN"/>
        </w:rPr>
        <w:t>3.1</w:t>
      </w:r>
      <w:r>
        <w:rPr>
          <w:rFonts w:hint="default" w:ascii="Times New Roman" w:hAnsi="Times New Roman" w:eastAsia="宋体" w:cs="Times New Roman"/>
          <w:b/>
          <w:bCs/>
          <w:color w:val="auto"/>
          <w:highlight w:val="none"/>
        </w:rPr>
        <w:t>矿区区地质条件</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（1）地层</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评价区内出露地层有元古界辽河群里尔峪组二段（Ptlhlr2）和新生界第四系（Q）。</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里尔峪组二段（Ptlhlr2）出露岩性为含磁铁黑云变粒岩、透闪变粒岩，地层产状倾向为220°，倾角为40～60°。</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含磁铁黑云变粒岩：呈黑色～青灰色，鳞片粒状变晶结构，块状构造。主要矿物成分有斜长石（更～中长石）50%，石英20%，黑云母20%，磁铁矿10%。斜长石、石英均为它形粒状，粒度0.2～0.7mm。斜长石具轻微绢云母化。黑云母叶片状集合体填隙，叶片长0.1～0.5mm。磁铁矿半自形～它形粒状较均匀填隙在斜长石或石英粒间，少量包裹在斜长石或石英粒内，粒度0.05～0.7mm。</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透闪变粒岩:灰白色，粒状变晶结构，块状构造。矿物成分：透闪石40%，石英25%，长石30%，含少量角闪石。透闪石纤柱状或它形粒状，长石、石英、角闪石它形粒状。</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第四系不发育，仅见于冲沟中，由砂砾、砂、粘土等组成，厚度约0.5～2m。</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（2）构造</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矿区内地层走向北西，倾向南西，呈单斜构造层。矿区内未见较大的断裂和褶皱构造，仅有两条北西向断层，均被闪长玢岩岩脉充填，其产状与矿体走向基本一致，未对矿体起到破坏作用。</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（3）岩浆岩</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矿区北部大面积出露二长花岗岩。岩石呈灰红色、黄褐色，中粗粒花岗结构，块状构造。矿物成分：斜长石30～50%，钾长石30～40%,石英25～30%，含黑云母或角闪石5%。</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（4）脉岩</w:t>
      </w:r>
    </w:p>
    <w:p>
      <w:pPr>
        <w:ind w:firstLine="480"/>
        <w:rPr>
          <w:rFonts w:hint="default" w:ascii="Times New Roman" w:hAnsi="Times New Roman" w:eastAsia="宋体" w:cs="Times New Roman"/>
          <w:color w:val="auto"/>
          <w:kern w:val="21"/>
          <w:highlight w:val="none"/>
        </w:rPr>
      </w:pPr>
      <w:r>
        <w:rPr>
          <w:rFonts w:hint="default" w:ascii="Times New Roman" w:hAnsi="Times New Roman" w:eastAsia="宋体" w:cs="Times New Roman"/>
          <w:color w:val="auto"/>
          <w:kern w:val="21"/>
          <w:highlight w:val="none"/>
        </w:rPr>
        <w:t>矿区内两条闪长玢岩脉，延长60～80m，呈北西走向，倾向南西。此外，在0～4线钻孔中，见有多层石英脉和煌斑岩脉。石英脉，厚2～8m，分布于0～4线，产状与地层基本一致。煌斑岩脉，厚1～5m，分布于2～4线，其产状与地层产状基本一致。</w:t>
      </w:r>
    </w:p>
    <w:p>
      <w:pPr>
        <w:pStyle w:val="37"/>
        <w:ind w:left="0" w:leftChars="0" w:firstLine="0" w:firstLineChars="0"/>
        <w:rPr>
          <w:rFonts w:hint="default" w:ascii="Times New Roman" w:hAnsi="Times New Roman" w:eastAsia="宋体" w:cs="Times New Roman"/>
          <w:color w:val="auto"/>
          <w:kern w:val="21"/>
          <w:highlight w:val="none"/>
        </w:rPr>
        <w:sectPr>
          <w:headerReference r:id="rId26" w:type="default"/>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ind w:left="0" w:leftChars="0"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79744" behindDoc="0" locked="0" layoutInCell="1" allowOverlap="1">
            <wp:simplePos x="0" y="0"/>
            <wp:positionH relativeFrom="column">
              <wp:posOffset>6293485</wp:posOffset>
            </wp:positionH>
            <wp:positionV relativeFrom="paragraph">
              <wp:posOffset>-475615</wp:posOffset>
            </wp:positionV>
            <wp:extent cx="2273935" cy="5694680"/>
            <wp:effectExtent l="0" t="0" r="12065" b="1270"/>
            <wp:wrapSquare wrapText="bothSides"/>
            <wp:docPr id="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0"/>
                    <pic:cNvPicPr>
                      <a:picLocks noChangeAspect="1"/>
                    </pic:cNvPicPr>
                  </pic:nvPicPr>
                  <pic:blipFill>
                    <a:blip r:embed="rId123"/>
                    <a:stretch>
                      <a:fillRect/>
                    </a:stretch>
                  </pic:blipFill>
                  <pic:spPr>
                    <a:xfrm>
                      <a:off x="0" y="0"/>
                      <a:ext cx="2273935" cy="5694680"/>
                    </a:xfrm>
                    <a:prstGeom prst="rect">
                      <a:avLst/>
                    </a:prstGeom>
                    <a:noFill/>
                    <a:ln>
                      <a:noFill/>
                    </a:ln>
                  </pic:spPr>
                </pic:pic>
              </a:graphicData>
            </a:graphic>
          </wp:anchor>
        </w:drawing>
      </w:r>
      <w:r>
        <w:rPr>
          <w:rFonts w:hint="default" w:ascii="Times New Roman" w:hAnsi="Times New Roman" w:eastAsia="宋体" w:cs="Times New Roman"/>
          <w:color w:val="auto"/>
          <w:highlight w:val="none"/>
        </w:rPr>
        <w:drawing>
          <wp:anchor distT="0" distB="0" distL="114300" distR="114300" simplePos="0" relativeHeight="251680768" behindDoc="0" locked="0" layoutInCell="1" allowOverlap="1">
            <wp:simplePos x="0" y="0"/>
            <wp:positionH relativeFrom="column">
              <wp:posOffset>793750</wp:posOffset>
            </wp:positionH>
            <wp:positionV relativeFrom="paragraph">
              <wp:posOffset>-473710</wp:posOffset>
            </wp:positionV>
            <wp:extent cx="5515610" cy="3016250"/>
            <wp:effectExtent l="0" t="0" r="8890" b="12700"/>
            <wp:wrapSquare wrapText="bothSides"/>
            <wp:docPr id="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8"/>
                    <pic:cNvPicPr>
                      <a:picLocks noChangeAspect="1"/>
                    </pic:cNvPicPr>
                  </pic:nvPicPr>
                  <pic:blipFill>
                    <a:blip r:embed="rId124"/>
                    <a:srcRect b="4943"/>
                    <a:stretch>
                      <a:fillRect/>
                    </a:stretch>
                  </pic:blipFill>
                  <pic:spPr>
                    <a:xfrm>
                      <a:off x="0" y="0"/>
                      <a:ext cx="5515610" cy="3016250"/>
                    </a:xfrm>
                    <a:prstGeom prst="rect">
                      <a:avLst/>
                    </a:prstGeom>
                    <a:noFill/>
                    <a:ln>
                      <a:noFill/>
                    </a:ln>
                  </pic:spPr>
                </pic:pic>
              </a:graphicData>
            </a:graphic>
          </wp:anchor>
        </w:drawing>
      </w:r>
    </w:p>
    <w:p>
      <w:pPr>
        <w:pStyle w:val="37"/>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678720" behindDoc="0" locked="0" layoutInCell="1" allowOverlap="1">
            <wp:simplePos x="0" y="0"/>
            <wp:positionH relativeFrom="column">
              <wp:posOffset>778510</wp:posOffset>
            </wp:positionH>
            <wp:positionV relativeFrom="paragraph">
              <wp:posOffset>168910</wp:posOffset>
            </wp:positionV>
            <wp:extent cx="5543550" cy="2676525"/>
            <wp:effectExtent l="0" t="0" r="0" b="9525"/>
            <wp:wrapSquare wrapText="bothSides"/>
            <wp:docPr id="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9"/>
                    <pic:cNvPicPr>
                      <a:picLocks noChangeAspect="1"/>
                    </pic:cNvPicPr>
                  </pic:nvPicPr>
                  <pic:blipFill>
                    <a:blip r:embed="rId125"/>
                    <a:srcRect t="872" b="2454"/>
                    <a:stretch>
                      <a:fillRect/>
                    </a:stretch>
                  </pic:blipFill>
                  <pic:spPr>
                    <a:xfrm>
                      <a:off x="0" y="0"/>
                      <a:ext cx="5543550" cy="2676525"/>
                    </a:xfrm>
                    <a:prstGeom prst="rect">
                      <a:avLst/>
                    </a:prstGeom>
                    <a:noFill/>
                    <a:ln>
                      <a:noFill/>
                    </a:ln>
                  </pic:spPr>
                </pic:pic>
              </a:graphicData>
            </a:graphic>
          </wp:anchor>
        </w:drawing>
      </w: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p>
    <w:p>
      <w:pPr>
        <w:rPr>
          <w:rFonts w:hint="default" w:ascii="Times New Roman" w:hAnsi="Times New Roman" w:eastAsia="宋体" w:cs="Times New Roman"/>
          <w:color w:val="auto"/>
          <w:highlight w:val="none"/>
        </w:rPr>
      </w:pPr>
    </w:p>
    <w:p>
      <w:pPr>
        <w:pStyle w:val="37"/>
        <w:rPr>
          <w:rFonts w:hint="default" w:ascii="Times New Roman" w:hAnsi="Times New Roman" w:eastAsia="宋体" w:cs="Times New Roman"/>
          <w:color w:val="auto"/>
          <w:highlight w:val="none"/>
        </w:rPr>
      </w:pPr>
    </w:p>
    <w:p>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rPr>
        <w:t>图</w:t>
      </w:r>
      <w:r>
        <w:rPr>
          <w:rFonts w:hint="default" w:ascii="Times New Roman" w:hAnsi="Times New Roman" w:eastAsia="宋体" w:cs="Times New Roman"/>
          <w:b/>
          <w:bCs/>
          <w:color w:val="auto"/>
          <w:szCs w:val="21"/>
          <w:highlight w:val="none"/>
          <w:lang w:val="en-US" w:eastAsia="zh-CN"/>
        </w:rPr>
        <w:t>6.2</w:t>
      </w:r>
      <w:r>
        <w:rPr>
          <w:rFonts w:hint="default" w:ascii="Times New Roman" w:hAnsi="Times New Roman" w:eastAsia="宋体" w:cs="Times New Roman"/>
          <w:b/>
          <w:bCs/>
          <w:color w:val="auto"/>
          <w:szCs w:val="21"/>
          <w:highlight w:val="none"/>
        </w:rPr>
        <w:t>-</w:t>
      </w:r>
      <w:r>
        <w:rPr>
          <w:rFonts w:hint="default" w:ascii="Times New Roman" w:hAnsi="Times New Roman" w:eastAsia="宋体" w:cs="Times New Roman"/>
          <w:b/>
          <w:bCs/>
          <w:color w:val="auto"/>
          <w:szCs w:val="21"/>
          <w:highlight w:val="none"/>
          <w:lang w:val="en-US" w:eastAsia="zh-CN"/>
        </w:rPr>
        <w:t>6项目矿区地形地质图</w:t>
      </w:r>
    </w:p>
    <w:p>
      <w:pPr>
        <w:rPr>
          <w:rFonts w:hint="default" w:ascii="Times New Roman" w:hAnsi="Times New Roman" w:eastAsia="宋体" w:cs="Times New Roman"/>
          <w:color w:val="auto"/>
          <w:highlight w:val="none"/>
          <w:lang w:val="en-US" w:eastAsia="zh-CN"/>
        </w:rPr>
        <w:sectPr>
          <w:pgSz w:w="16840" w:h="11907"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bidi w:val="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3.2</w:t>
      </w:r>
      <w:r>
        <w:rPr>
          <w:rFonts w:hint="default" w:ascii="Times New Roman" w:hAnsi="Times New Roman" w:eastAsia="宋体" w:cs="Times New Roman"/>
          <w:b/>
          <w:bCs/>
          <w:color w:val="auto"/>
          <w:highlight w:val="none"/>
        </w:rPr>
        <w:t>矿区水文地质条件</w:t>
      </w:r>
      <w:bookmarkEnd w:id="431"/>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（1）地下水类型及含水岩组</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根据对评价区内地层岩性及赋水特征的认识和判断，评价范围内地下水类型为基岩裂隙水。</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内岩石表层风化强烈，风化带分布区区内大部分地区，岩性主要为辽河群黑云变粒岩、磁铁铁矿体及二长花岗岩等。基岩风化带发育深度约为10~30m，填充泥质与钙质，岩心多呈块状，风化层地下水水位埋深为9.2~10m，透水性与富水性较弱。区内岩石构造裂隙发育程度较弱，钻孔筒易水文地质观测多数钻孔不漏水，个别钻孔在钻遇构造带时发生漏水现象。矿区周边泉点流量在0.0242~0.81L/s，为弱富水含水层。</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（2）矿区补径排情况</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各含水岩组地下水均直接或间接接受大气降水入渗补给。大气降水后，一部分水呈地表径流汇入小溪注入主河道形成地表水体；另一部分水则通过植物根系或直接沿基岩裂隙形成孔隙水。本项目所在区域有分水岭，地下水向下游沟谷径流，自然排泄条件好，以泉、人工开采以及地下径流方式排泄。</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评价区内地下水补给径流区较为简单，以项目所在区域山岭向山谷区域补给，再沿山谷向河流一侧补给，靠近河流一侧地下水沿河流向河流下游流动，矿区所在地属于丘陵山地区域，区域地下水向</w:t>
      </w:r>
      <w:r>
        <w:rPr>
          <w:rFonts w:hint="default" w:ascii="Times New Roman" w:hAnsi="Times New Roman" w:eastAsia="宋体" w:cs="Times New Roman"/>
          <w:color w:val="auto"/>
          <w:highlight w:val="none"/>
          <w:lang w:eastAsia="zh-CN"/>
        </w:rPr>
        <w:t>贾家堡子</w:t>
      </w:r>
      <w:r>
        <w:rPr>
          <w:rFonts w:hint="default" w:ascii="Times New Roman" w:hAnsi="Times New Roman" w:eastAsia="宋体" w:cs="Times New Roman"/>
          <w:color w:val="auto"/>
          <w:highlight w:val="none"/>
        </w:rPr>
        <w:t>沟谷补给，</w:t>
      </w:r>
      <w:r>
        <w:rPr>
          <w:rFonts w:hint="default" w:ascii="Times New Roman" w:hAnsi="Times New Roman" w:eastAsia="宋体" w:cs="Times New Roman"/>
          <w:color w:val="auto"/>
          <w:highlight w:val="none"/>
          <w:lang w:val="en-US" w:eastAsia="zh-CN"/>
        </w:rPr>
        <w:t>评价范围内</w:t>
      </w:r>
      <w:r>
        <w:rPr>
          <w:rFonts w:hint="default" w:ascii="Times New Roman" w:hAnsi="Times New Roman" w:eastAsia="宋体" w:cs="Times New Roman"/>
          <w:color w:val="auto"/>
          <w:highlight w:val="none"/>
        </w:rPr>
        <w:t>在项目矿区西南方向为</w:t>
      </w:r>
      <w:r>
        <w:rPr>
          <w:rFonts w:hint="default" w:ascii="Times New Roman" w:hAnsi="Times New Roman" w:eastAsia="宋体" w:cs="Times New Roman"/>
          <w:color w:val="auto"/>
          <w:highlight w:val="none"/>
          <w:lang w:eastAsia="zh-CN"/>
        </w:rPr>
        <w:t>贾家堡子</w:t>
      </w:r>
      <w:r>
        <w:rPr>
          <w:rFonts w:hint="default" w:ascii="Times New Roman" w:hAnsi="Times New Roman" w:eastAsia="宋体" w:cs="Times New Roman"/>
          <w:color w:val="auto"/>
          <w:highlight w:val="none"/>
        </w:rPr>
        <w:t>分散式饮用水水井（</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口），水井跟工业场地同属</w:t>
      </w:r>
      <w:r>
        <w:rPr>
          <w:rFonts w:hint="default" w:ascii="Times New Roman" w:hAnsi="Times New Roman" w:eastAsia="宋体" w:cs="Times New Roman"/>
          <w:color w:val="auto"/>
          <w:highlight w:val="none"/>
          <w:lang w:eastAsia="zh-CN"/>
        </w:rPr>
        <w:t>贾家堡子</w:t>
      </w:r>
      <w:r>
        <w:rPr>
          <w:rFonts w:hint="default" w:ascii="Times New Roman" w:hAnsi="Times New Roman" w:eastAsia="宋体" w:cs="Times New Roman"/>
          <w:color w:val="auto"/>
          <w:highlight w:val="none"/>
        </w:rPr>
        <w:t>地下水补给区域，且由于水井与工业场地之间有山岭相隔，山岭属于两者之间分水岭，工业场地一侧地下水</w:t>
      </w:r>
      <w:r>
        <w:rPr>
          <w:rFonts w:hint="default" w:ascii="Times New Roman" w:hAnsi="Times New Roman" w:eastAsia="宋体" w:cs="Times New Roman"/>
          <w:color w:val="auto"/>
          <w:highlight w:val="none"/>
          <w:lang w:val="en-US" w:eastAsia="zh-CN"/>
        </w:rPr>
        <w:t>受</w:t>
      </w:r>
      <w:r>
        <w:rPr>
          <w:rFonts w:hint="default" w:ascii="Times New Roman" w:hAnsi="Times New Roman" w:eastAsia="宋体" w:cs="Times New Roman"/>
          <w:color w:val="auto"/>
          <w:highlight w:val="none"/>
        </w:rPr>
        <w:t>到上游山岭补给，随后补给</w:t>
      </w:r>
      <w:r>
        <w:rPr>
          <w:rFonts w:hint="default" w:ascii="Times New Roman" w:hAnsi="Times New Roman" w:eastAsia="宋体" w:cs="Times New Roman"/>
          <w:color w:val="auto"/>
          <w:highlight w:val="none"/>
          <w:lang w:eastAsia="zh-CN"/>
        </w:rPr>
        <w:t>贾家堡子</w:t>
      </w:r>
      <w:r>
        <w:rPr>
          <w:rFonts w:hint="default" w:ascii="Times New Roman" w:hAnsi="Times New Roman" w:eastAsia="宋体" w:cs="Times New Roman"/>
          <w:color w:val="auto"/>
          <w:highlight w:val="none"/>
        </w:rPr>
        <w:t>地下水，水井处受其上游山岭区域补给，沿水井所在沟谷向下游补给，最终都补给</w:t>
      </w:r>
      <w:r>
        <w:rPr>
          <w:rFonts w:hint="default" w:ascii="Times New Roman" w:hAnsi="Times New Roman" w:eastAsia="宋体" w:cs="Times New Roman"/>
          <w:color w:val="auto"/>
          <w:highlight w:val="none"/>
          <w:lang w:eastAsia="zh-CN"/>
        </w:rPr>
        <w:t>贾家堡子</w:t>
      </w:r>
      <w:r>
        <w:rPr>
          <w:rFonts w:hint="default" w:ascii="Times New Roman" w:hAnsi="Times New Roman" w:eastAsia="宋体" w:cs="Times New Roman"/>
          <w:color w:val="auto"/>
          <w:highlight w:val="none"/>
        </w:rPr>
        <w:t>。水井与工业场地分属不同的地下水流场，不会对其造成影响。</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（3）评价区地下水化学类型</w:t>
      </w:r>
    </w:p>
    <w:p>
      <w:pPr>
        <w:pStyle w:val="78"/>
        <w:ind w:firstLine="488"/>
        <w:rPr>
          <w:rFonts w:hint="default" w:ascii="Times New Roman" w:hAnsi="Times New Roman" w:eastAsia="宋体" w:cs="Times New Roman"/>
          <w:color w:val="auto"/>
          <w:kern w:val="21"/>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kern w:val="21"/>
          <w:highlight w:val="none"/>
        </w:rPr>
        <w:t>评价区的地下水化学类型与地下水的补给、径流、排泄条件有着很大的关系。结合地下水水质监测结果可知：山地区是地下水的补给区，地下水的化学类型为重碳酸—钙型、重碳酸—钙镁型、重碳酸—钙钠型，在径流条件比较缓慢的丘陵则为重碳酸氯化物和重碳酸氯化物—钠钙型。在径流条件缓慢且为主要汇水区和排泄区地形较低处或山间低谷局部则为以阴离子SO</w:t>
      </w:r>
      <w:r>
        <w:rPr>
          <w:rFonts w:hint="default" w:ascii="Times New Roman" w:hAnsi="Times New Roman" w:eastAsia="宋体" w:cs="Times New Roman"/>
          <w:color w:val="auto"/>
          <w:kern w:val="21"/>
          <w:highlight w:val="none"/>
          <w:vertAlign w:val="subscript"/>
        </w:rPr>
        <w:t>4</w:t>
      </w:r>
      <w:r>
        <w:rPr>
          <w:rFonts w:hint="default" w:ascii="Times New Roman" w:hAnsi="Times New Roman" w:eastAsia="宋体" w:cs="Times New Roman"/>
          <w:color w:val="auto"/>
          <w:kern w:val="21"/>
          <w:highlight w:val="none"/>
        </w:rPr>
        <w:t>•HCO</w:t>
      </w:r>
      <w:r>
        <w:rPr>
          <w:rFonts w:hint="default" w:ascii="Times New Roman" w:hAnsi="Times New Roman" w:eastAsia="宋体" w:cs="Times New Roman"/>
          <w:color w:val="auto"/>
          <w:kern w:val="21"/>
          <w:highlight w:val="none"/>
          <w:vertAlign w:val="subscript"/>
        </w:rPr>
        <w:t>3</w:t>
      </w:r>
      <w:r>
        <w:rPr>
          <w:rFonts w:hint="default" w:ascii="Times New Roman" w:hAnsi="Times New Roman" w:eastAsia="宋体" w:cs="Times New Roman"/>
          <w:color w:val="auto"/>
          <w:kern w:val="21"/>
          <w:highlight w:val="none"/>
        </w:rPr>
        <w:t>•</w:t>
      </w:r>
      <w:r>
        <w:rPr>
          <w:rFonts w:hint="default" w:ascii="Times New Roman" w:hAnsi="Times New Roman" w:eastAsia="宋体" w:cs="Times New Roman"/>
          <w:color w:val="auto"/>
          <w:highlight w:val="none"/>
        </w:rPr>
        <w:t>Ca</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kern w:val="21"/>
          <w:highlight w:val="none"/>
        </w:rPr>
        <w:t>型水为主，由浅到深SO</w:t>
      </w:r>
      <w:r>
        <w:rPr>
          <w:rFonts w:hint="default" w:ascii="Times New Roman" w:hAnsi="Times New Roman" w:eastAsia="宋体" w:cs="Times New Roman"/>
          <w:color w:val="auto"/>
          <w:kern w:val="21"/>
          <w:highlight w:val="none"/>
          <w:vertAlign w:val="subscript"/>
        </w:rPr>
        <w:t>4</w:t>
      </w:r>
      <w:r>
        <w:rPr>
          <w:rFonts w:hint="default" w:ascii="Times New Roman" w:hAnsi="Times New Roman" w:eastAsia="宋体" w:cs="Times New Roman"/>
          <w:color w:val="auto"/>
          <w:kern w:val="21"/>
          <w:highlight w:val="none"/>
          <w:vertAlign w:val="superscript"/>
        </w:rPr>
        <w:t>-</w:t>
      </w:r>
      <w:r>
        <w:rPr>
          <w:rFonts w:hint="default" w:ascii="Times New Roman" w:hAnsi="Times New Roman" w:eastAsia="宋体" w:cs="Times New Roman"/>
          <w:color w:val="auto"/>
          <w:kern w:val="21"/>
          <w:highlight w:val="none"/>
        </w:rPr>
        <w:t>和HCO</w:t>
      </w:r>
      <w:r>
        <w:rPr>
          <w:rFonts w:hint="default" w:ascii="Times New Roman" w:hAnsi="Times New Roman" w:eastAsia="宋体" w:cs="Times New Roman"/>
          <w:color w:val="auto"/>
          <w:kern w:val="21"/>
          <w:highlight w:val="none"/>
          <w:vertAlign w:val="subscript"/>
        </w:rPr>
        <w:t>3</w:t>
      </w:r>
      <w:r>
        <w:rPr>
          <w:rFonts w:hint="default" w:ascii="Times New Roman" w:hAnsi="Times New Roman" w:eastAsia="宋体" w:cs="Times New Roman"/>
          <w:color w:val="auto"/>
          <w:kern w:val="21"/>
          <w:highlight w:val="none"/>
          <w:vertAlign w:val="superscript"/>
        </w:rPr>
        <w:t>-</w:t>
      </w:r>
      <w:r>
        <w:rPr>
          <w:rFonts w:hint="default" w:ascii="Times New Roman" w:hAnsi="Times New Roman" w:eastAsia="宋体" w:cs="Times New Roman"/>
          <w:color w:val="auto"/>
          <w:kern w:val="21"/>
          <w:highlight w:val="none"/>
        </w:rPr>
        <w:t>含量逐渐增加，矿化度也随之增加。</w:t>
      </w:r>
    </w:p>
    <w:p>
      <w:pPr>
        <w:pStyle w:val="78"/>
        <w:ind w:left="0" w:leftChars="0" w:firstLine="0" w:firstLineChars="0"/>
        <w:jc w:val="center"/>
        <w:rPr>
          <w:rFonts w:hint="default" w:ascii="Times New Roman" w:hAnsi="Times New Roman" w:eastAsia="宋体" w:cs="Times New Roman"/>
          <w:b/>
          <w:bCs/>
          <w:color w:val="auto"/>
          <w:szCs w:val="21"/>
          <w:highlight w:val="none"/>
        </w:rPr>
      </w:pPr>
      <w:r>
        <w:rPr>
          <w:color w:val="auto"/>
        </w:rPr>
        <w:drawing>
          <wp:inline distT="0" distB="0" distL="114300" distR="114300">
            <wp:extent cx="8513445" cy="5374640"/>
            <wp:effectExtent l="0" t="0" r="1905" b="16510"/>
            <wp:docPr id="17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4"/>
                    <pic:cNvPicPr>
                      <a:picLocks noChangeAspect="1"/>
                    </pic:cNvPicPr>
                  </pic:nvPicPr>
                  <pic:blipFill>
                    <a:blip r:embed="rId126"/>
                    <a:stretch>
                      <a:fillRect/>
                    </a:stretch>
                  </pic:blipFill>
                  <pic:spPr>
                    <a:xfrm>
                      <a:off x="0" y="0"/>
                      <a:ext cx="8513445" cy="5374640"/>
                    </a:xfrm>
                    <a:prstGeom prst="rect">
                      <a:avLst/>
                    </a:prstGeom>
                    <a:noFill/>
                    <a:ln>
                      <a:noFill/>
                    </a:ln>
                  </pic:spPr>
                </pic:pic>
              </a:graphicData>
            </a:graphic>
          </wp:inline>
        </w:drawing>
      </w:r>
    </w:p>
    <w:p>
      <w:pPr>
        <w:pStyle w:val="78"/>
        <w:ind w:left="0" w:leftChars="0" w:firstLine="0" w:firstLineChars="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图</w:t>
      </w:r>
      <w:r>
        <w:rPr>
          <w:rFonts w:hint="default" w:ascii="Times New Roman" w:hAnsi="Times New Roman" w:eastAsia="宋体" w:cs="Times New Roman"/>
          <w:b/>
          <w:bCs/>
          <w:color w:val="auto"/>
          <w:kern w:val="21"/>
          <w:highlight w:val="none"/>
          <w:lang w:val="en-US" w:eastAsia="zh-CN"/>
        </w:rPr>
        <w:t>6.2-7项目</w:t>
      </w:r>
      <w:r>
        <w:rPr>
          <w:rFonts w:hint="default" w:ascii="Times New Roman" w:hAnsi="Times New Roman" w:eastAsia="宋体" w:cs="Times New Roman"/>
          <w:b/>
          <w:bCs/>
          <w:color w:val="auto"/>
          <w:szCs w:val="21"/>
          <w:highlight w:val="none"/>
          <w:lang w:val="en-US" w:eastAsia="zh-CN"/>
        </w:rPr>
        <w:t>矿区</w:t>
      </w:r>
      <w:r>
        <w:rPr>
          <w:rFonts w:hint="default" w:ascii="Times New Roman" w:hAnsi="Times New Roman" w:eastAsia="宋体" w:cs="Times New Roman"/>
          <w:b/>
          <w:bCs/>
          <w:color w:val="auto"/>
          <w:kern w:val="21"/>
          <w:highlight w:val="none"/>
          <w:lang w:val="en-US" w:eastAsia="zh-CN"/>
        </w:rPr>
        <w:t>水文地质图</w:t>
      </w:r>
    </w:p>
    <w:p>
      <w:pPr>
        <w:pStyle w:val="78"/>
        <w:ind w:firstLine="488"/>
        <w:jc w:val="right"/>
        <w:rPr>
          <w:rFonts w:hint="default" w:ascii="Times New Roman" w:hAnsi="Times New Roman" w:eastAsia="宋体" w:cs="Times New Roman"/>
          <w:color w:val="auto"/>
          <w:kern w:val="21"/>
          <w:highlight w:val="none"/>
          <w:lang w:eastAsia="zh-CN"/>
        </w:rPr>
        <w:sectPr>
          <w:pgSz w:w="16840" w:h="11907"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432" w:name="_Toc439060799"/>
      <w:bookmarkEnd w:id="432"/>
      <w:bookmarkStart w:id="433" w:name="_Toc439164364"/>
      <w:bookmarkEnd w:id="433"/>
      <w:bookmarkStart w:id="434" w:name="_Toc437612254"/>
      <w:bookmarkEnd w:id="434"/>
      <w:bookmarkStart w:id="435" w:name="_Toc439163820"/>
      <w:bookmarkEnd w:id="435"/>
      <w:bookmarkStart w:id="436" w:name="_Toc439060798"/>
      <w:bookmarkEnd w:id="436"/>
      <w:bookmarkStart w:id="437" w:name="_Toc439060794"/>
      <w:bookmarkEnd w:id="437"/>
      <w:bookmarkStart w:id="438" w:name="_Toc439162013"/>
      <w:bookmarkEnd w:id="438"/>
      <w:bookmarkStart w:id="439" w:name="_Toc439164372"/>
      <w:bookmarkEnd w:id="439"/>
      <w:bookmarkStart w:id="440" w:name="_Toc439163821"/>
      <w:bookmarkEnd w:id="440"/>
      <w:bookmarkStart w:id="441" w:name="_Toc439161455"/>
      <w:bookmarkEnd w:id="441"/>
      <w:bookmarkStart w:id="442" w:name="_Toc439161460"/>
      <w:bookmarkEnd w:id="442"/>
      <w:bookmarkStart w:id="443" w:name="_Toc439060792"/>
      <w:bookmarkEnd w:id="443"/>
      <w:bookmarkStart w:id="444" w:name="_Toc439163200"/>
      <w:bookmarkEnd w:id="444"/>
      <w:bookmarkStart w:id="445" w:name="_Toc439163186"/>
      <w:bookmarkEnd w:id="445"/>
      <w:bookmarkStart w:id="446" w:name="_Toc439162006"/>
      <w:bookmarkEnd w:id="446"/>
      <w:bookmarkStart w:id="447" w:name="_Toc437612257"/>
      <w:bookmarkEnd w:id="447"/>
      <w:bookmarkStart w:id="448" w:name="_Toc439162015"/>
      <w:bookmarkEnd w:id="448"/>
      <w:bookmarkStart w:id="449" w:name="_Toc439160909"/>
      <w:bookmarkEnd w:id="449"/>
      <w:bookmarkStart w:id="450" w:name="_Toc439060796"/>
      <w:bookmarkEnd w:id="450"/>
      <w:bookmarkStart w:id="451" w:name="_Toc439164365"/>
      <w:bookmarkEnd w:id="451"/>
      <w:bookmarkStart w:id="452" w:name="_Toc439164366"/>
      <w:bookmarkEnd w:id="452"/>
      <w:bookmarkStart w:id="453" w:name="_Toc439162016"/>
      <w:bookmarkEnd w:id="453"/>
      <w:bookmarkStart w:id="454" w:name="_Toc439060791"/>
      <w:bookmarkEnd w:id="454"/>
      <w:bookmarkStart w:id="455" w:name="_Toc443918064"/>
      <w:bookmarkEnd w:id="455"/>
      <w:bookmarkStart w:id="456" w:name="_Toc439164371"/>
      <w:bookmarkEnd w:id="456"/>
      <w:bookmarkStart w:id="457" w:name="_Toc439060797"/>
      <w:bookmarkEnd w:id="457"/>
      <w:bookmarkStart w:id="458" w:name="_Toc439163809"/>
      <w:bookmarkEnd w:id="458"/>
      <w:bookmarkStart w:id="459" w:name="_Toc439060803"/>
      <w:bookmarkEnd w:id="459"/>
      <w:bookmarkStart w:id="460" w:name="_Toc443642024"/>
      <w:bookmarkEnd w:id="460"/>
      <w:bookmarkStart w:id="461" w:name="_Toc439163813"/>
      <w:bookmarkEnd w:id="461"/>
      <w:bookmarkStart w:id="462" w:name="_Toc439163199"/>
      <w:bookmarkEnd w:id="462"/>
      <w:bookmarkStart w:id="463" w:name="_Toc439161459"/>
      <w:bookmarkEnd w:id="463"/>
      <w:bookmarkStart w:id="464" w:name="_Toc439164358"/>
      <w:bookmarkEnd w:id="464"/>
      <w:bookmarkStart w:id="465" w:name="_Toc439162011"/>
      <w:bookmarkEnd w:id="465"/>
      <w:bookmarkStart w:id="466" w:name="_Toc439161446"/>
      <w:bookmarkEnd w:id="466"/>
      <w:bookmarkStart w:id="467" w:name="_Toc439164357"/>
      <w:bookmarkEnd w:id="467"/>
      <w:bookmarkStart w:id="468" w:name="_Toc439163197"/>
      <w:bookmarkEnd w:id="468"/>
      <w:bookmarkStart w:id="469" w:name="_Toc439161448"/>
      <w:bookmarkEnd w:id="469"/>
      <w:bookmarkStart w:id="470" w:name="_Toc439163198"/>
      <w:bookmarkEnd w:id="470"/>
      <w:bookmarkStart w:id="471" w:name="_Toc439162003"/>
      <w:bookmarkEnd w:id="471"/>
      <w:bookmarkStart w:id="472" w:name="_Toc439162007"/>
      <w:bookmarkEnd w:id="472"/>
      <w:bookmarkStart w:id="473" w:name="_Toc439163811"/>
      <w:bookmarkEnd w:id="473"/>
      <w:bookmarkStart w:id="474" w:name="_Toc439162001"/>
      <w:bookmarkEnd w:id="474"/>
      <w:bookmarkStart w:id="475" w:name="_Toc439060802"/>
      <w:bookmarkEnd w:id="475"/>
      <w:bookmarkStart w:id="476" w:name="_Toc439161453"/>
      <w:bookmarkEnd w:id="476"/>
      <w:bookmarkStart w:id="477" w:name="_Toc439060801"/>
      <w:bookmarkEnd w:id="477"/>
      <w:bookmarkStart w:id="478" w:name="_Toc439160908"/>
      <w:bookmarkEnd w:id="478"/>
      <w:bookmarkStart w:id="479" w:name="_Toc439161461"/>
      <w:bookmarkEnd w:id="479"/>
      <w:bookmarkStart w:id="480" w:name="_Toc439162004"/>
      <w:bookmarkEnd w:id="480"/>
      <w:bookmarkStart w:id="481" w:name="_Toc439163818"/>
      <w:bookmarkEnd w:id="481"/>
      <w:bookmarkStart w:id="482" w:name="_Toc439162012"/>
      <w:bookmarkEnd w:id="482"/>
      <w:bookmarkStart w:id="483" w:name="_Toc439163815"/>
      <w:bookmarkEnd w:id="483"/>
      <w:bookmarkStart w:id="484" w:name="_Toc439060790"/>
      <w:bookmarkEnd w:id="484"/>
      <w:bookmarkStart w:id="485" w:name="_Toc439163817"/>
      <w:bookmarkEnd w:id="485"/>
      <w:bookmarkStart w:id="486" w:name="_Toc439162008"/>
      <w:bookmarkEnd w:id="486"/>
      <w:bookmarkStart w:id="487" w:name="_Toc439164367"/>
      <w:bookmarkEnd w:id="487"/>
      <w:bookmarkStart w:id="488" w:name="_Toc439160905"/>
      <w:bookmarkEnd w:id="488"/>
      <w:bookmarkStart w:id="489" w:name="_Toc439160916"/>
      <w:bookmarkEnd w:id="489"/>
      <w:bookmarkStart w:id="490" w:name="_Toc439160917"/>
      <w:bookmarkEnd w:id="490"/>
      <w:bookmarkStart w:id="491" w:name="_Toc439160910"/>
      <w:bookmarkEnd w:id="491"/>
      <w:bookmarkStart w:id="492" w:name="_Toc439163192"/>
      <w:bookmarkEnd w:id="492"/>
      <w:bookmarkStart w:id="493" w:name="_Toc439163190"/>
      <w:bookmarkEnd w:id="493"/>
      <w:bookmarkStart w:id="494" w:name="_Toc439162002"/>
      <w:bookmarkEnd w:id="494"/>
      <w:bookmarkStart w:id="495" w:name="_Toc439161452"/>
      <w:bookmarkEnd w:id="495"/>
      <w:bookmarkStart w:id="496" w:name="_Toc439060795"/>
      <w:bookmarkEnd w:id="496"/>
      <w:bookmarkStart w:id="497" w:name="_Toc439164949"/>
      <w:bookmarkEnd w:id="497"/>
      <w:bookmarkStart w:id="498" w:name="_Toc439161454"/>
      <w:bookmarkEnd w:id="498"/>
      <w:bookmarkStart w:id="499" w:name="_Toc439163193"/>
      <w:bookmarkEnd w:id="499"/>
      <w:bookmarkStart w:id="500" w:name="_Toc439163823"/>
      <w:bookmarkEnd w:id="500"/>
      <w:bookmarkStart w:id="501" w:name="_Toc439164363"/>
      <w:bookmarkEnd w:id="501"/>
      <w:bookmarkStart w:id="502" w:name="_Toc439164362"/>
      <w:bookmarkEnd w:id="502"/>
      <w:bookmarkStart w:id="503" w:name="_Toc443641890"/>
      <w:bookmarkEnd w:id="503"/>
      <w:bookmarkStart w:id="504" w:name="_Toc443641887"/>
      <w:bookmarkEnd w:id="504"/>
      <w:bookmarkStart w:id="505" w:name="_Toc439163808"/>
      <w:bookmarkEnd w:id="505"/>
      <w:bookmarkStart w:id="506" w:name="_Toc439161458"/>
      <w:bookmarkEnd w:id="506"/>
      <w:bookmarkStart w:id="507" w:name="_Toc439160915"/>
      <w:bookmarkEnd w:id="507"/>
      <w:bookmarkStart w:id="508" w:name="_Toc439162014"/>
      <w:bookmarkEnd w:id="508"/>
      <w:bookmarkStart w:id="509" w:name="_Toc439160912"/>
      <w:bookmarkEnd w:id="509"/>
      <w:bookmarkStart w:id="510" w:name="_Toc439163822"/>
      <w:bookmarkEnd w:id="510"/>
      <w:bookmarkStart w:id="511" w:name="_Toc439163814"/>
      <w:bookmarkEnd w:id="511"/>
      <w:bookmarkStart w:id="512" w:name="_Toc439161447"/>
      <w:bookmarkEnd w:id="512"/>
      <w:bookmarkStart w:id="513" w:name="_Toc439164368"/>
      <w:bookmarkEnd w:id="513"/>
      <w:bookmarkStart w:id="514" w:name="_Toc439161449"/>
      <w:bookmarkEnd w:id="514"/>
      <w:bookmarkStart w:id="515" w:name="_Toc439163187"/>
      <w:bookmarkEnd w:id="515"/>
      <w:bookmarkStart w:id="516" w:name="_Toc439163195"/>
      <w:bookmarkEnd w:id="516"/>
      <w:bookmarkStart w:id="517" w:name="_Toc443918067"/>
      <w:bookmarkEnd w:id="517"/>
      <w:bookmarkStart w:id="518" w:name="_Toc439164369"/>
      <w:bookmarkEnd w:id="518"/>
      <w:bookmarkStart w:id="519" w:name="_Toc439160904"/>
      <w:bookmarkEnd w:id="519"/>
      <w:bookmarkStart w:id="520" w:name="_Toc439163196"/>
      <w:bookmarkEnd w:id="520"/>
      <w:bookmarkStart w:id="521" w:name="_Toc439163194"/>
      <w:bookmarkEnd w:id="521"/>
      <w:bookmarkStart w:id="522" w:name="_Toc439162010"/>
      <w:bookmarkEnd w:id="522"/>
      <w:bookmarkStart w:id="523" w:name="_Toc439164370"/>
      <w:bookmarkEnd w:id="523"/>
      <w:bookmarkStart w:id="524" w:name="_Toc439160911"/>
      <w:bookmarkEnd w:id="524"/>
      <w:bookmarkStart w:id="525" w:name="_Toc443642021"/>
      <w:bookmarkEnd w:id="525"/>
      <w:bookmarkStart w:id="526" w:name="_Toc439161451"/>
      <w:bookmarkEnd w:id="526"/>
      <w:bookmarkStart w:id="527" w:name="_Toc439160903"/>
      <w:bookmarkEnd w:id="527"/>
      <w:bookmarkStart w:id="528" w:name="_Toc439163185"/>
      <w:bookmarkEnd w:id="528"/>
      <w:bookmarkStart w:id="529" w:name="_Toc439163191"/>
      <w:bookmarkEnd w:id="529"/>
      <w:bookmarkStart w:id="530" w:name="_Toc439161457"/>
      <w:bookmarkEnd w:id="530"/>
      <w:bookmarkStart w:id="531" w:name="_Toc439164360"/>
      <w:bookmarkEnd w:id="531"/>
      <w:bookmarkStart w:id="532" w:name="_Toc439163819"/>
      <w:bookmarkEnd w:id="532"/>
      <w:bookmarkStart w:id="533" w:name="_Toc439164946"/>
      <w:bookmarkEnd w:id="533"/>
      <w:bookmarkStart w:id="534" w:name="_Toc439163188"/>
      <w:bookmarkEnd w:id="534"/>
      <w:bookmarkStart w:id="535" w:name="_Toc439160906"/>
      <w:bookmarkEnd w:id="535"/>
      <w:bookmarkStart w:id="536" w:name="_Toc443918065"/>
      <w:bookmarkEnd w:id="536"/>
      <w:bookmarkStart w:id="537" w:name="_Toc439163810"/>
      <w:bookmarkEnd w:id="537"/>
      <w:bookmarkStart w:id="538" w:name="_Toc443918066"/>
      <w:bookmarkEnd w:id="538"/>
      <w:bookmarkStart w:id="539" w:name="_Toc439162009"/>
      <w:bookmarkEnd w:id="539"/>
      <w:bookmarkStart w:id="540" w:name="_Toc439160913"/>
      <w:bookmarkEnd w:id="540"/>
      <w:bookmarkStart w:id="541" w:name="_Toc439164359"/>
      <w:bookmarkEnd w:id="541"/>
      <w:bookmarkStart w:id="542" w:name="_Toc439060800"/>
      <w:bookmarkEnd w:id="542"/>
      <w:bookmarkStart w:id="543" w:name="_Toc439161456"/>
      <w:bookmarkEnd w:id="543"/>
      <w:bookmarkStart w:id="544" w:name="_Toc439160918"/>
      <w:bookmarkEnd w:id="544"/>
      <w:bookmarkStart w:id="545" w:name="_Toc439160914"/>
      <w:bookmarkEnd w:id="545"/>
      <w:bookmarkStart w:id="546" w:name="_Toc439060804"/>
      <w:bookmarkEnd w:id="546"/>
      <w:bookmarkStart w:id="547" w:name="_Toc439163816"/>
      <w:bookmarkEnd w:id="547"/>
      <w:bookmarkStart w:id="548" w:name="_Toc15376201"/>
      <w:bookmarkStart w:id="549" w:name="_Toc439598400"/>
      <w:r>
        <w:rPr>
          <w:rFonts w:hint="default" w:ascii="Times New Roman" w:hAnsi="Times New Roman" w:eastAsia="宋体" w:cs="Times New Roman"/>
          <w:color w:val="auto"/>
          <w:sz w:val="24"/>
          <w:highlight w:val="none"/>
          <w:lang w:val="en-US" w:eastAsia="zh-CN"/>
        </w:rPr>
        <w:t>6.2.6.2</w:t>
      </w:r>
      <w:bookmarkEnd w:id="548"/>
      <w:bookmarkEnd w:id="549"/>
      <w:r>
        <w:rPr>
          <w:rFonts w:hint="default" w:ascii="Times New Roman" w:hAnsi="Times New Roman" w:eastAsia="宋体" w:cs="Times New Roman"/>
          <w:color w:val="auto"/>
          <w:sz w:val="24"/>
          <w:highlight w:val="none"/>
          <w:lang w:val="en-US" w:eastAsia="zh-CN"/>
        </w:rPr>
        <w:t>地下水环境影响预测与评价</w:t>
      </w:r>
    </w:p>
    <w:p>
      <w:pPr>
        <w:pStyle w:val="7"/>
        <w:keepNext/>
        <w:keepLines/>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lang w:val="en-US" w:eastAsia="zh-CN"/>
        </w:rPr>
        <w:t>1、</w:t>
      </w:r>
      <w:r>
        <w:rPr>
          <w:rFonts w:hint="default" w:ascii="Times New Roman" w:hAnsi="Times New Roman" w:eastAsia="宋体" w:cs="Times New Roman"/>
          <w:b/>
          <w:bCs w:val="0"/>
          <w:color w:val="auto"/>
          <w:highlight w:val="none"/>
        </w:rPr>
        <w:t>地下水环境影响概述</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（1）地下水污染源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本项目矿山开采过程中产生的废石，部分用来回填</w:t>
      </w:r>
      <w:r>
        <w:rPr>
          <w:rFonts w:hint="default" w:ascii="Times New Roman" w:hAnsi="Times New Roman" w:eastAsia="宋体" w:cs="Times New Roman"/>
          <w:color w:val="auto"/>
          <w:highlight w:val="none"/>
        </w:rPr>
        <w:t>历史采坑。废石回填历史采坑在降雨淋溶情况下可能对地下水造成的影响。另外，本项目可能对地下水水质产生影响的源还有旱厕及危废暂存间。</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中，旱厕为防渗旱厕，内铺人工防渗混凝土，污染物主要为COD、氨氮等，无其他重金属等因子，即使渗漏，也不会有重金属和持久性污染物污染地下水，由于旱厕渗漏量较小，也仅对旱厕附近的土壤造成一定的影响，且土壤有一定的自净能力，在发生少量渗漏的情况下，项目旱厕不会对周边地下水造成影响。</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涉及的危险废物主要为废机油，废机油储存在密闭容器中，项目设计专门的危废暂存库对危废进行暂时贮存，危险废物暂存库采用防风、防雨、防晒、防渗处理，防止危险废物在贮存时可能产生的废液渗漏对地下水的污染。根据项目的特性，危废暂存间设置重点防渗区，防渗性能要求按照要求设置，防渗层可采用渗透系数≤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cm/s，厚度不小于1.5mm的人工材料高密度聚乙烯（HDPE）。</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（2）污染途径</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石回填坑在雨水淋溶情景下，淋溶液进入含水层中，污染物随地下水向下游方向迁移扩散；矿区工业场地内旱厕、危废暂存库在极端条件下发生渗漏，污染物进入地下水中，污染物随地下水向下游方向迁移扩散。最终导致矿区及下游区域地下水水质恶化。</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本项目地下水环境影响评价范围内主要含水岩组为基岩裂隙含水岩组，地下水类型为基岩裂隙水，水量较小，含水层富水性弱。区内无赋存稳定的潜水分布，加之项目区岩层的地下水入渗、渗透和赋存条件差。</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（3）影响受体</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highlight w:val="none"/>
        </w:rPr>
        <w:t>根据本次现场调查，本项目矿界下游</w:t>
      </w:r>
      <w:r>
        <w:rPr>
          <w:rFonts w:hint="default" w:ascii="Times New Roman" w:hAnsi="Times New Roman" w:eastAsia="宋体" w:cs="Times New Roman"/>
          <w:snapToGrid w:val="0"/>
          <w:color w:val="auto"/>
          <w:highlight w:val="none"/>
          <w:lang w:val="en-US" w:eastAsia="zh-CN"/>
        </w:rPr>
        <w:t>2000</w:t>
      </w:r>
      <w:r>
        <w:rPr>
          <w:rFonts w:hint="default" w:ascii="Times New Roman" w:hAnsi="Times New Roman" w:eastAsia="宋体" w:cs="Times New Roman"/>
          <w:snapToGrid w:val="0"/>
          <w:color w:val="auto"/>
          <w:highlight w:val="none"/>
        </w:rPr>
        <w:t>m处</w:t>
      </w:r>
      <w:r>
        <w:rPr>
          <w:rFonts w:hint="default" w:ascii="Times New Roman" w:hAnsi="Times New Roman" w:eastAsia="宋体" w:cs="Times New Roman"/>
          <w:snapToGrid w:val="0"/>
          <w:color w:val="auto"/>
          <w:highlight w:val="none"/>
          <w:lang w:val="en-US" w:eastAsia="zh-CN"/>
        </w:rPr>
        <w:t>贾家</w:t>
      </w:r>
      <w:r>
        <w:rPr>
          <w:rFonts w:hint="default" w:ascii="Times New Roman" w:hAnsi="Times New Roman" w:eastAsia="宋体" w:cs="Times New Roman"/>
          <w:snapToGrid w:val="0"/>
          <w:color w:val="auto"/>
          <w:highlight w:val="none"/>
        </w:rPr>
        <w:t>村</w:t>
      </w:r>
      <w:r>
        <w:rPr>
          <w:rFonts w:hint="default" w:ascii="Times New Roman" w:hAnsi="Times New Roman" w:eastAsia="宋体" w:cs="Times New Roman"/>
          <w:snapToGrid w:val="0"/>
          <w:color w:val="auto"/>
          <w:highlight w:val="none"/>
          <w:lang w:val="en-US" w:eastAsia="zh-CN"/>
        </w:rPr>
        <w:t>堡</w:t>
      </w:r>
      <w:r>
        <w:rPr>
          <w:rFonts w:hint="default" w:ascii="Times New Roman" w:hAnsi="Times New Roman" w:eastAsia="宋体" w:cs="Times New Roman"/>
          <w:snapToGrid w:val="0"/>
          <w:color w:val="auto"/>
          <w:highlight w:val="none"/>
        </w:rPr>
        <w:t>附近分布</w:t>
      </w:r>
      <w:r>
        <w:rPr>
          <w:rFonts w:hint="default" w:ascii="Times New Roman" w:hAnsi="Times New Roman" w:eastAsia="宋体" w:cs="Times New Roman"/>
          <w:snapToGrid w:val="0"/>
          <w:color w:val="auto"/>
          <w:highlight w:val="none"/>
          <w:lang w:val="en-US" w:eastAsia="zh-CN"/>
        </w:rPr>
        <w:t>1</w:t>
      </w:r>
      <w:r>
        <w:rPr>
          <w:rFonts w:hint="default" w:ascii="Times New Roman" w:hAnsi="Times New Roman" w:eastAsia="宋体" w:cs="Times New Roman"/>
          <w:snapToGrid w:val="0"/>
          <w:color w:val="auto"/>
          <w:highlight w:val="none"/>
        </w:rPr>
        <w:t>口集中供水水井。</w:t>
      </w:r>
      <w:r>
        <w:rPr>
          <w:rFonts w:hint="default" w:ascii="Times New Roman" w:hAnsi="Times New Roman" w:eastAsia="宋体" w:cs="Times New Roman"/>
          <w:color w:val="auto"/>
          <w:highlight w:val="none"/>
        </w:rPr>
        <w:t>根据本项目所在区域地形地貌特征、水文地质条件、地下水补径排关系综合判断，本项目采矿区与</w:t>
      </w:r>
      <w:r>
        <w:rPr>
          <w:rFonts w:hint="default" w:ascii="Times New Roman" w:hAnsi="Times New Roman" w:eastAsia="宋体" w:cs="Times New Roman"/>
          <w:snapToGrid w:val="0"/>
          <w:color w:val="auto"/>
          <w:highlight w:val="none"/>
          <w:lang w:val="en-US" w:eastAsia="zh-CN"/>
        </w:rPr>
        <w:t>贾家</w:t>
      </w:r>
      <w:r>
        <w:rPr>
          <w:rFonts w:hint="default" w:ascii="Times New Roman" w:hAnsi="Times New Roman" w:eastAsia="宋体" w:cs="Times New Roman"/>
          <w:snapToGrid w:val="0"/>
          <w:color w:val="auto"/>
          <w:highlight w:val="none"/>
        </w:rPr>
        <w:t>村集中供水水井</w:t>
      </w:r>
      <w:r>
        <w:rPr>
          <w:rFonts w:hint="default" w:ascii="Times New Roman" w:hAnsi="Times New Roman" w:eastAsia="宋体" w:cs="Times New Roman"/>
          <w:color w:val="auto"/>
          <w:highlight w:val="none"/>
        </w:rPr>
        <w:t>之间存在分水岭，应分属不同水文地质子单元。</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因此，本项目地下水环境影响受体为矿区周边基岩裂隙地下水。</w:t>
      </w:r>
    </w:p>
    <w:p>
      <w:pPr>
        <w:pStyle w:val="7"/>
        <w:keepNext/>
        <w:keepLines/>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b/>
          <w:bCs w:val="0"/>
          <w:color w:val="auto"/>
          <w:highlight w:val="none"/>
          <w:lang w:val="en-US" w:eastAsia="zh-CN"/>
        </w:rPr>
      </w:pPr>
      <w:r>
        <w:rPr>
          <w:rFonts w:hint="default" w:ascii="Times New Roman" w:hAnsi="Times New Roman" w:eastAsia="宋体" w:cs="Times New Roman"/>
          <w:b/>
          <w:bCs w:val="0"/>
          <w:color w:val="auto"/>
          <w:highlight w:val="none"/>
          <w:lang w:val="en-US" w:eastAsia="zh-CN"/>
        </w:rPr>
        <w:t>2、废石堆场地下水环境影响分析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（1）预测情景</w:t>
      </w:r>
    </w:p>
    <w:p>
      <w:pPr>
        <w:ind w:firstLine="480"/>
        <w:rPr>
          <w:rFonts w:hint="default" w:ascii="Times New Roman" w:hAnsi="Times New Roman" w:eastAsia="宋体" w:cs="Times New Roman"/>
          <w:color w:val="auto"/>
          <w:highlight w:val="none"/>
          <w:lang w:eastAsia="zh-CN"/>
        </w:rPr>
      </w:pPr>
      <w:r>
        <w:rPr>
          <w:color w:val="auto"/>
        </w:rPr>
        <w:t>根据</w:t>
      </w:r>
      <w:r>
        <w:rPr>
          <w:rFonts w:hint="eastAsia"/>
          <w:color w:val="auto"/>
          <w:lang w:val="en-US" w:eastAsia="zh-CN"/>
        </w:rPr>
        <w:t>项目</w:t>
      </w:r>
      <w:r>
        <w:rPr>
          <w:color w:val="auto"/>
        </w:rPr>
        <w:t>废石</w:t>
      </w:r>
      <w:r>
        <w:rPr>
          <w:rFonts w:hint="eastAsia"/>
          <w:color w:val="auto"/>
          <w:lang w:val="en-US" w:eastAsia="zh-CN"/>
        </w:rPr>
        <w:t>成分分析报告</w:t>
      </w:r>
      <w:r>
        <w:rPr>
          <w:color w:val="auto"/>
        </w:rPr>
        <w:t>结果，</w:t>
      </w:r>
      <w:r>
        <w:rPr>
          <w:rFonts w:hint="eastAsia"/>
          <w:color w:val="auto"/>
          <w:lang w:val="en-US" w:eastAsia="zh-CN"/>
        </w:rPr>
        <w:t>项目微量元素含量最多为锰元素，其他元素含量均低于万份之一，</w:t>
      </w:r>
      <w:r>
        <w:rPr>
          <w:color w:val="auto"/>
        </w:rPr>
        <w:t>因此可认为</w:t>
      </w:r>
      <w:r>
        <w:rPr>
          <w:rFonts w:hint="eastAsia"/>
          <w:color w:val="auto"/>
          <w:lang w:val="en-US" w:eastAsia="zh-CN"/>
        </w:rPr>
        <w:t>锰</w:t>
      </w:r>
      <w:r>
        <w:rPr>
          <w:color w:val="auto"/>
        </w:rPr>
        <w:t>在废石中普遍存在且浓度含量相对较高</w:t>
      </w:r>
      <w:r>
        <w:rPr>
          <w:rFonts w:hint="default" w:ascii="Times New Roman" w:hAnsi="Times New Roman" w:eastAsia="宋体" w:cs="Times New Roman"/>
          <w:color w:val="auto"/>
          <w:highlight w:val="none"/>
          <w:lang w:eastAsia="zh-CN"/>
        </w:rPr>
        <w:t>，故本项目选取</w:t>
      </w:r>
      <w:r>
        <w:rPr>
          <w:rFonts w:hint="eastAsia" w:cs="Times New Roman"/>
          <w:color w:val="auto"/>
          <w:highlight w:val="none"/>
          <w:lang w:val="en-US" w:eastAsia="zh-CN"/>
        </w:rPr>
        <w:t>锰</w:t>
      </w:r>
      <w:r>
        <w:rPr>
          <w:rFonts w:hint="default" w:ascii="Times New Roman" w:hAnsi="Times New Roman" w:eastAsia="宋体" w:cs="Times New Roman"/>
          <w:color w:val="auto"/>
          <w:highlight w:val="none"/>
          <w:lang w:eastAsia="zh-CN"/>
        </w:rPr>
        <w:t>作为</w:t>
      </w:r>
      <w:r>
        <w:rPr>
          <w:rFonts w:hint="default" w:ascii="Times New Roman" w:hAnsi="Times New Roman" w:eastAsia="宋体" w:cs="Times New Roman"/>
          <w:color w:val="auto"/>
          <w:highlight w:val="none"/>
          <w:lang w:val="en-US" w:eastAsia="zh-CN"/>
        </w:rPr>
        <w:t>预测因子</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入渗</w:t>
      </w:r>
      <w:r>
        <w:rPr>
          <w:rFonts w:hint="default" w:ascii="Times New Roman" w:hAnsi="Times New Roman" w:eastAsia="宋体" w:cs="Times New Roman"/>
          <w:color w:val="auto"/>
          <w:highlight w:val="none"/>
          <w:lang w:eastAsia="zh-CN"/>
        </w:rPr>
        <w:t>源强选取地下水标准0.</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eastAsia="zh-CN"/>
        </w:rPr>
        <w:t>mg/L</w:t>
      </w:r>
      <w:r>
        <w:rPr>
          <w:rFonts w:hint="default" w:ascii="Times New Roman" w:hAnsi="Times New Roman" w:eastAsia="宋体" w:cs="Times New Roman"/>
          <w:color w:val="auto"/>
          <w:highlight w:val="none"/>
        </w:rPr>
        <w:t>。矿山在开采过程中使用炸药，炸药中含有胺的成分，在废石中残留通过淋溶水形成氨氮，氨氮入渗到地下水环境会对其造成影响个，类比同类项目废石淋溶水中氨氮的浓度在1-5mg/L左右，选取最大值进行预测，即氨氮浓度选取5mg/L；采矿及运输机械运作中产生部分石油类污染物，废石淋溶水中含有少量石油类，类比同类项目废石淋溶水中石油类的浓度在0.1-2mg/L左右，选取最大值进行预测，即石油类浓度选取2mg/L。</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根据回填采坑占地面积，区域降雨量及蒸发量计算，入渗面积按回填采坑占地面积计算进行预测，按表层亚黏土层、底层为强风化岩层进行入渗预测，入渗量=年降雨量最大值</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入渗面积</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（1-蒸发系数）/365d，根据地区年降雨量最大值，蒸发系数取0.8，计算单位面积（m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highlight w:val="none"/>
        </w:rPr>
        <w:t>）入渗量为</w:t>
      </w:r>
      <w:r>
        <w:rPr>
          <w:rFonts w:hint="default" w:ascii="Times New Roman" w:hAnsi="Times New Roman" w:eastAsia="宋体" w:cs="Times New Roman"/>
          <w:color w:val="auto"/>
          <w:highlight w:val="none"/>
          <w:lang w:val="en-US" w:eastAsia="zh-CN"/>
        </w:rPr>
        <w:t>0.18</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本次模拟依据矿区服务时间，设定废石</w:t>
      </w:r>
      <w:r>
        <w:rPr>
          <w:rFonts w:hint="default" w:ascii="Times New Roman" w:hAnsi="Times New Roman" w:eastAsia="宋体" w:cs="Times New Roman"/>
          <w:color w:val="auto"/>
          <w:highlight w:val="none"/>
          <w:lang w:val="en-US" w:eastAsia="zh-CN"/>
        </w:rPr>
        <w:t>堆场</w:t>
      </w:r>
      <w:r>
        <w:rPr>
          <w:rFonts w:hint="default" w:ascii="Times New Roman" w:hAnsi="Times New Roman" w:eastAsia="宋体" w:cs="Times New Roman"/>
          <w:color w:val="auto"/>
          <w:highlight w:val="none"/>
        </w:rPr>
        <w:t>对地下水的影响时间为</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露天采场服务期满后回填恢复治理后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，即</w:t>
      </w:r>
      <w:r>
        <w:rPr>
          <w:rFonts w:hint="default" w:ascii="Times New Roman" w:hAnsi="Times New Roman" w:eastAsia="宋体" w:cs="Times New Roman"/>
          <w:color w:val="auto"/>
          <w:highlight w:val="none"/>
          <w:lang w:val="en-US" w:eastAsia="zh-CN"/>
        </w:rPr>
        <w:t>2190</w:t>
      </w:r>
      <w:r>
        <w:rPr>
          <w:rFonts w:hint="default" w:ascii="Times New Roman" w:hAnsi="Times New Roman" w:eastAsia="宋体" w:cs="Times New Roman"/>
          <w:color w:val="auto"/>
          <w:highlight w:val="none"/>
        </w:rPr>
        <w:t>天。根据《环境影响评价技术导则地下水》（HJ610-2016），地下水环境影响预测时段应选取可能产生地下水污染的关键时段，至少包括污染发生后100d、1000d，和服务年限或能反映特征因子迁移规律的其他重要的时间节点。结合本工程特点，预测时段选择为100d、1000d、</w:t>
      </w:r>
      <w:r>
        <w:rPr>
          <w:rFonts w:hint="default" w:ascii="Times New Roman" w:hAnsi="Times New Roman" w:eastAsia="宋体" w:cs="Times New Roman"/>
          <w:color w:val="auto"/>
          <w:highlight w:val="none"/>
          <w:lang w:val="en-US" w:eastAsia="zh-CN"/>
        </w:rPr>
        <w:t>2190</w:t>
      </w:r>
      <w:r>
        <w:rPr>
          <w:rFonts w:hint="default" w:ascii="Times New Roman" w:hAnsi="Times New Roman" w:eastAsia="宋体" w:cs="Times New Roman"/>
          <w:color w:val="auto"/>
          <w:highlight w:val="none"/>
        </w:rPr>
        <w:t>d。</w:t>
      </w:r>
    </w:p>
    <w:p>
      <w:pPr>
        <w:ind w:firstLine="0" w:firstLineChars="0"/>
        <w:jc w:val="center"/>
        <w:rPr>
          <w:rFonts w:hint="default" w:ascii="Times New Roman" w:hAnsi="Times New Roman" w:eastAsia="宋体" w:cs="Times New Roman"/>
          <w:b/>
          <w:color w:val="auto"/>
          <w:highlight w:val="none"/>
          <w:lang w:eastAsia="zh-CN"/>
        </w:rPr>
      </w:pPr>
      <w:r>
        <w:rPr>
          <w:rFonts w:hint="default" w:ascii="Times New Roman" w:hAnsi="Times New Roman" w:eastAsia="宋体" w:cs="Times New Roman"/>
          <w:color w:val="auto"/>
          <w:highlight w:val="none"/>
        </w:rPr>
        <w:drawing>
          <wp:inline distT="0" distB="0" distL="114300" distR="114300">
            <wp:extent cx="5476875" cy="5486400"/>
            <wp:effectExtent l="0" t="0" r="9525" b="0"/>
            <wp:docPr id="30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60"/>
                    <pic:cNvPicPr>
                      <a:picLocks noChangeAspect="1"/>
                    </pic:cNvPicPr>
                  </pic:nvPicPr>
                  <pic:blipFill>
                    <a:blip r:embed="rId127"/>
                    <a:stretch>
                      <a:fillRect/>
                    </a:stretch>
                  </pic:blipFill>
                  <pic:spPr>
                    <a:xfrm>
                      <a:off x="0" y="0"/>
                      <a:ext cx="5476875" cy="5486400"/>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w:t>
      </w:r>
      <w:r>
        <w:rPr>
          <w:rFonts w:hint="default" w:ascii="Times New Roman" w:hAnsi="Times New Roman" w:eastAsia="宋体" w:cs="Times New Roman"/>
          <w:b/>
          <w:color w:val="auto"/>
          <w:highlight w:val="none"/>
        </w:rPr>
        <w:t>-</w:t>
      </w:r>
      <w:r>
        <w:rPr>
          <w:rFonts w:hint="default" w:ascii="Times New Roman" w:hAnsi="Times New Roman" w:eastAsia="宋体" w:cs="Times New Roman"/>
          <w:b/>
          <w:color w:val="auto"/>
          <w:highlight w:val="none"/>
          <w:lang w:val="en-US" w:eastAsia="zh-CN"/>
        </w:rPr>
        <w:t>8</w:t>
      </w:r>
      <w:r>
        <w:rPr>
          <w:rFonts w:hint="default" w:ascii="Times New Roman" w:hAnsi="Times New Roman" w:eastAsia="宋体" w:cs="Times New Roman"/>
          <w:b/>
          <w:color w:val="auto"/>
          <w:highlight w:val="none"/>
        </w:rPr>
        <w:t>泄漏点分布</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（2）预测模型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本次地下水评价以矿区为核心，地下水模拟计算区则为矿区向周边自然分水岭延伸的区域，模拟区面积为1.24km</w:t>
      </w:r>
      <w:r>
        <w:rPr>
          <w:rFonts w:hint="default" w:ascii="Times New Roman" w:hAnsi="Times New Roman" w:eastAsia="宋体" w:cs="Times New Roman"/>
          <w:color w:val="auto"/>
          <w:highlight w:val="none"/>
          <w:vertAlign w:val="superscript"/>
        </w:rPr>
        <w:t>2</w:t>
      </w:r>
      <w:r>
        <w:rPr>
          <w:rFonts w:hint="default" w:ascii="Times New Roman" w:hAnsi="Times New Roman" w:eastAsia="宋体" w:cs="Times New Roman"/>
          <w:color w:val="auto"/>
          <w:highlight w:val="none"/>
        </w:rPr>
        <w:t>。模拟计算区边界范围见</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REF _Ref436048202 \h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图</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lang w:val="en-US" w:eastAsia="zh-CN"/>
        </w:rPr>
        <w:t>.2-9</w:t>
      </w:r>
      <w:r>
        <w:rPr>
          <w:rFonts w:hint="default" w:ascii="Times New Roman" w:hAnsi="Times New Roman" w:eastAsia="宋体" w:cs="Times New Roman"/>
          <w:color w:val="auto"/>
          <w:highlight w:val="none"/>
        </w:rPr>
        <w:t>。</w:t>
      </w:r>
    </w:p>
    <w:p>
      <w:pPr>
        <w:ind w:firstLine="0" w:firstLineChars="0"/>
        <w:jc w:val="center"/>
        <w:rPr>
          <w:rFonts w:hint="default" w:ascii="Times New Roman" w:hAnsi="Times New Roman" w:eastAsia="宋体" w:cs="Times New Roman"/>
          <w:b/>
          <w:color w:val="auto"/>
          <w:highlight w:val="none"/>
          <w:lang w:eastAsia="zh-CN"/>
        </w:rPr>
      </w:pPr>
      <w:r>
        <w:rPr>
          <w:rFonts w:hint="default" w:ascii="Times New Roman" w:hAnsi="Times New Roman" w:eastAsia="宋体" w:cs="Times New Roman"/>
          <w:color w:val="auto"/>
          <w:highlight w:val="none"/>
        </w:rPr>
        <w:drawing>
          <wp:inline distT="0" distB="0" distL="114300" distR="114300">
            <wp:extent cx="5526405" cy="6036310"/>
            <wp:effectExtent l="0" t="0" r="17145" b="2540"/>
            <wp:docPr id="30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58"/>
                    <pic:cNvPicPr>
                      <a:picLocks noChangeAspect="1"/>
                    </pic:cNvPicPr>
                  </pic:nvPicPr>
                  <pic:blipFill>
                    <a:blip r:embed="rId128"/>
                    <a:stretch>
                      <a:fillRect/>
                    </a:stretch>
                  </pic:blipFill>
                  <pic:spPr>
                    <a:xfrm>
                      <a:off x="0" y="0"/>
                      <a:ext cx="5526405" cy="6036310"/>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bookmarkStart w:id="550" w:name="_Ref436048202"/>
      <w:r>
        <w:rPr>
          <w:rFonts w:hint="default" w:ascii="Times New Roman" w:hAnsi="Times New Roman" w:eastAsia="宋体" w:cs="Times New Roman"/>
          <w:b/>
          <w:color w:val="auto"/>
          <w:highlight w:val="none"/>
        </w:rPr>
        <w:t>图</w:t>
      </w:r>
      <w:bookmarkEnd w:id="550"/>
      <w:r>
        <w:rPr>
          <w:rFonts w:hint="default" w:ascii="Times New Roman" w:hAnsi="Times New Roman" w:eastAsia="宋体" w:cs="Times New Roman"/>
          <w:b/>
          <w:color w:val="auto"/>
          <w:highlight w:val="none"/>
          <w:lang w:val="en-US" w:eastAsia="zh-CN"/>
        </w:rPr>
        <w:t>6.2-9</w:t>
      </w:r>
      <w:r>
        <w:rPr>
          <w:rFonts w:hint="default" w:ascii="Times New Roman" w:hAnsi="Times New Roman" w:eastAsia="宋体" w:cs="Times New Roman"/>
          <w:b/>
          <w:color w:val="auto"/>
          <w:highlight w:val="none"/>
        </w:rPr>
        <w:t>地下水模拟计算区范围</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模拟区地下水赋存形式主要为基岩裂隙水。基岩裂隙水主要赋存于基岩风化层中，因此本次以基岩风化层中的裂隙水为重点含水层模拟对象。将模型第一层概化为基岩裂隙水含水层，第二层概化为未风化基岩隔水层。</w:t>
      </w:r>
    </w:p>
    <w:p>
      <w:pPr>
        <w:ind w:left="0" w:leftChars="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759450" cy="6282055"/>
            <wp:effectExtent l="0" t="0" r="12700" b="4445"/>
            <wp:docPr id="30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61"/>
                    <pic:cNvPicPr>
                      <a:picLocks noChangeAspect="1"/>
                    </pic:cNvPicPr>
                  </pic:nvPicPr>
                  <pic:blipFill>
                    <a:blip r:embed="rId129"/>
                    <a:stretch>
                      <a:fillRect/>
                    </a:stretch>
                  </pic:blipFill>
                  <pic:spPr>
                    <a:xfrm>
                      <a:off x="0" y="0"/>
                      <a:ext cx="5759450" cy="628205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w:t>
      </w:r>
      <w:r>
        <w:rPr>
          <w:rFonts w:hint="default" w:ascii="Times New Roman" w:hAnsi="Times New Roman" w:eastAsia="宋体" w:cs="Times New Roman"/>
          <w:b/>
          <w:color w:val="auto"/>
          <w:highlight w:val="none"/>
        </w:rPr>
        <w:t>-</w:t>
      </w:r>
      <w:r>
        <w:rPr>
          <w:rFonts w:hint="default" w:ascii="Times New Roman" w:hAnsi="Times New Roman" w:eastAsia="宋体" w:cs="Times New Roman"/>
          <w:b/>
          <w:color w:val="auto"/>
          <w:highlight w:val="none"/>
          <w:lang w:val="en-US" w:eastAsia="zh-CN"/>
        </w:rPr>
        <w:t>10</w:t>
      </w:r>
      <w:r>
        <w:rPr>
          <w:rFonts w:hint="default" w:ascii="Times New Roman" w:hAnsi="Times New Roman" w:eastAsia="宋体" w:cs="Times New Roman"/>
          <w:b/>
          <w:color w:val="auto"/>
          <w:highlight w:val="none"/>
        </w:rPr>
        <w:t>模拟区含水层结构概化示意图</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侧向边界：因模型边界基本以地表分水岭为界，仅东南边界AB与外界存在水量交换，故概化为侧向流出边界，其它边界均定义为零流量边界。</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垂向边界：模型区上部边界为潜水面，为水量交换边界，在垂向上水量接受大气降水入渗等补给、潜水蒸发、灌溉水回渗等，故上部边界概化为补给边界；下部边界为隔水层（弱透水层）底板，概化为隔水边界。</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考虑到不同层之间的流量交换特点，地下水运动可概化为空间三维流；由于区内现有水文地质资料及地下水位长观数据有限，本次选取多年平均条件下的地下水流场及源汇项，可将地下水视为稳定流。参数随空间变化，体现了含水介质的非均质性，但没有明显的方向性，因此参数可概化成各向同性。综上所述，模拟区地下水流系统可概化成非均质、各向同性、三维稳定流。</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根据上述的水文地质概念模型，可建立起模拟区的非均质、各向同性、三维稳定流数学模型，用如下微分方程的定解问题来描述：</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35" o:spt="75" type="#_x0000_t75" style="height:13.5pt;width:9.75pt;" o:ole="t" filled="f" o:preferrelative="t" stroked="f" coordsize="21600,21600">
            <v:path/>
            <v:fill on="f" focussize="0,0"/>
            <v:stroke on="f"/>
            <v:imagedata r:id="rId131" o:title=""/>
            <o:lock v:ext="edit" aspectratio="t"/>
            <w10:wrap type="none"/>
            <w10:anchorlock/>
          </v:shape>
          <o:OLEObject Type="Embed" ProgID="Equation.DSMT4" ShapeID="_x0000_i1035" DrawAspect="Content" ObjectID="_1468075735" r:id="rId130">
            <o:LockedField>false</o:LockedField>
          </o:OLEObject>
        </w:object>
      </w:r>
      <w:r>
        <w:rPr>
          <w:rFonts w:hint="default" w:ascii="Times New Roman" w:hAnsi="Times New Roman" w:eastAsia="宋体" w:cs="Times New Roman"/>
          <w:color w:val="auto"/>
          <w:highlight w:val="none"/>
        </w:rPr>
        <w:object>
          <v:shape id="_x0000_i1036" o:spt="75" type="#_x0000_t75" style="height:108.75pt;width:345pt;" o:ole="t" filled="f" o:preferrelative="t" stroked="f" coordsize="21600,21600">
            <v:path/>
            <v:fill on="f" focussize="0,0"/>
            <v:stroke on="f"/>
            <v:imagedata r:id="rId133" o:title=""/>
            <o:lock v:ext="edit" aspectratio="t"/>
            <w10:wrap type="none"/>
            <w10:anchorlock/>
          </v:shape>
          <o:OLEObject Type="Embed" ProgID="Equation.3" ShapeID="_x0000_i1036" DrawAspect="Content" ObjectID="_1468075736" r:id="rId132">
            <o:LockedField>false</o:LockedField>
          </o:OLEObject>
        </w:objec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式中：Ω表示地下水渗流区域；</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H为地下水水头（m）；</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S为模型的第二类边界；</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Γ为模型的第三类边界（混合边界）；</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K</w:t>
      </w:r>
      <w:r>
        <w:rPr>
          <w:rFonts w:hint="default" w:ascii="Times New Roman" w:hAnsi="Times New Roman" w:eastAsia="宋体" w:cs="Times New Roman"/>
          <w:color w:val="auto"/>
          <w:highlight w:val="none"/>
          <w:vertAlign w:val="subscript"/>
        </w:rPr>
        <w:t>xx</w:t>
      </w:r>
      <w:r>
        <w:rPr>
          <w:rFonts w:hint="default" w:ascii="Times New Roman" w:hAnsi="Times New Roman" w:eastAsia="宋体" w:cs="Times New Roman"/>
          <w:color w:val="auto"/>
          <w:highlight w:val="none"/>
        </w:rPr>
        <w:t>,K</w:t>
      </w:r>
      <w:r>
        <w:rPr>
          <w:rFonts w:hint="default" w:ascii="Times New Roman" w:hAnsi="Times New Roman" w:eastAsia="宋体" w:cs="Times New Roman"/>
          <w:color w:val="auto"/>
          <w:highlight w:val="none"/>
          <w:vertAlign w:val="subscript"/>
        </w:rPr>
        <w:t>yy</w:t>
      </w:r>
      <w:r>
        <w:rPr>
          <w:rFonts w:hint="default" w:ascii="Times New Roman" w:hAnsi="Times New Roman" w:eastAsia="宋体" w:cs="Times New Roman"/>
          <w:color w:val="auto"/>
          <w:highlight w:val="none"/>
        </w:rPr>
        <w:t>,K</w:t>
      </w:r>
      <w:r>
        <w:rPr>
          <w:rFonts w:hint="default" w:ascii="Times New Roman" w:hAnsi="Times New Roman" w:eastAsia="宋体" w:cs="Times New Roman"/>
          <w:color w:val="auto"/>
          <w:highlight w:val="none"/>
          <w:vertAlign w:val="subscript"/>
        </w:rPr>
        <w:t>zz</w:t>
      </w:r>
      <w:r>
        <w:rPr>
          <w:rFonts w:hint="default" w:ascii="Times New Roman" w:hAnsi="Times New Roman" w:eastAsia="宋体" w:cs="Times New Roman"/>
          <w:color w:val="auto"/>
          <w:highlight w:val="none"/>
        </w:rPr>
        <w:t>分别表示x,y,z主方向的渗透系数（m/d）；</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W表示源汇项，包括降水入渗补给、河流入渗补给、井的抽水量等（m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(x,y,z)表示初始地下水水头函数（m），在稳定流里可不考虑；</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q(x,y,z)为边界单位面积流量函数（m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n为边界S上的外法线方向；</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h为索取水头边界处水头；</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为天然水头；</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C=KA/L（A-过水断面面积，L—h和h</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之间的距离）（m*）。</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上述偏微分方程连同初始条件和边界条件构成地下水系统的数学模型。应用三维有限差分法，将该数学模型离散为有限差分方程组，采用GMS软件中的MODFLOW模块进行求解。</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溶质运移偏微分方程：描述三维稳定地下水流系统中k组分的存在和运移的偏微分方程可写成：</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37" o:spt="75" type="#_x0000_t75" style="height:39.75pt;width:325.5pt;" o:ole="t" fillcolor="#000011" filled="f" o:preferrelative="t" stroked="f" coordsize="21600,21600">
            <v:path/>
            <v:fill on="f" focussize="0,0"/>
            <v:stroke on="f"/>
            <v:imagedata r:id="rId135" o:title=""/>
            <o:lock v:ext="edit" aspectratio="t"/>
            <w10:wrap type="none"/>
            <w10:anchorlock/>
          </v:shape>
          <o:OLEObject Type="Embed" ProgID="Equation.3" ShapeID="_x0000_i1037" DrawAspect="Content" ObjectID="_1468075737" r:id="rId134">
            <o:LockedField>false</o:LockedField>
          </o:OLEObject>
        </w:objec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color w:val="auto"/>
          <w:highlight w:val="none"/>
        </w:rPr>
        <w:object>
          <v:shape id="_x0000_i1038" o:spt="75" type="#_x0000_t75" style="height:15.75pt;width:17.25pt;" o:ole="t" fillcolor="#000011" filled="f" o:preferrelative="t" stroked="f" coordsize="21600,21600">
            <v:path/>
            <v:fill on="f" focussize="0,0"/>
            <v:stroke on="f"/>
            <v:imagedata r:id="rId137" o:title=""/>
            <o:lock v:ext="edit" aspectratio="t"/>
            <w10:wrap type="none"/>
            <w10:anchorlock/>
          </v:shape>
          <o:OLEObject Type="Embed" ProgID="Equation.3" ShapeID="_x0000_i1038" DrawAspect="Content" ObjectID="_1468075738" r:id="rId136">
            <o:LockedField>false</o:LockedField>
          </o:OLEObject>
        </w:object>
      </w:r>
      <w:r>
        <w:rPr>
          <w:rFonts w:hint="default" w:ascii="Times New Roman" w:hAnsi="Times New Roman" w:eastAsia="宋体" w:cs="Times New Roman"/>
          <w:color w:val="auto"/>
          <w:highlight w:val="none"/>
        </w:rPr>
        <w:t>：k组分的溶解相浓度，ML-3；</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sym w:font="Symbol" w:char="F071"/>
      </w:r>
      <w:r>
        <w:rPr>
          <w:rFonts w:hint="default" w:ascii="Times New Roman" w:hAnsi="Times New Roman" w:eastAsia="宋体" w:cs="Times New Roman"/>
          <w:color w:val="auto"/>
          <w:highlight w:val="none"/>
        </w:rPr>
        <w:t>：地层介质的孔隙度，无量纲；</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39" o:spt="75" type="#_x0000_t75" style="height:9pt;width:6pt;" o:ole="t" fillcolor="#000011" filled="f" o:preferrelative="t" stroked="f" coordsize="21600,21600">
            <v:path/>
            <v:fill on="f" focussize="0,0"/>
            <v:stroke on="f"/>
            <v:imagedata r:id="rId139" o:title=""/>
            <o:lock v:ext="edit" aspectratio="t"/>
            <w10:wrap type="none"/>
            <w10:anchorlock/>
          </v:shape>
          <o:OLEObject Type="Embed" ProgID="Equation.3" ShapeID="_x0000_i1039" DrawAspect="Content" ObjectID="_1468075739" r:id="rId138">
            <o:LockedField>false</o:LockedField>
          </o:OLEObject>
        </w:object>
      </w:r>
      <w:r>
        <w:rPr>
          <w:rFonts w:hint="default" w:ascii="Times New Roman" w:hAnsi="Times New Roman" w:eastAsia="宋体" w:cs="Times New Roman"/>
          <w:color w:val="auto"/>
          <w:highlight w:val="none"/>
        </w:rPr>
        <w:t>：时间，T；</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40" o:spt="75" type="#_x0000_t75" style="height:17.25pt;width:9pt;" o:ole="t" fillcolor="#000011" filled="f" o:preferrelative="t" stroked="f" coordsize="21600,21600">
            <v:path/>
            <v:fill on="f" focussize="0,0"/>
            <v:stroke on="f"/>
            <v:imagedata r:id="rId141" o:title=""/>
            <o:lock v:ext="edit" aspectratio="t"/>
            <w10:wrap type="none"/>
            <w10:anchorlock/>
          </v:shape>
          <o:OLEObject Type="Embed" ProgID="Equation.3" ShapeID="_x0000_i1040" DrawAspect="Content" ObjectID="_1468075740" r:id="rId140">
            <o:LockedField>false</o:LockedField>
          </o:OLEObject>
        </w:object>
      </w:r>
      <w:r>
        <w:rPr>
          <w:rFonts w:hint="default" w:ascii="Times New Roman" w:hAnsi="Times New Roman" w:eastAsia="宋体" w:cs="Times New Roman"/>
          <w:color w:val="auto"/>
          <w:highlight w:val="none"/>
        </w:rPr>
        <w:t>：沿直角坐标系轴向的距离，L；</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41" o:spt="75" type="#_x0000_t75" style="height:15.75pt;width:17.25pt;" o:ole="t" fillcolor="#000011" filled="f" o:preferrelative="t" stroked="f" coordsize="21600,21600">
            <v:path/>
            <v:fill on="f" focussize="0,0"/>
            <v:stroke on="f"/>
            <v:imagedata r:id="rId143" o:title=""/>
            <o:lock v:ext="edit" aspectratio="t"/>
            <w10:wrap type="none"/>
            <w10:anchorlock/>
          </v:shape>
          <o:OLEObject Type="Embed" ProgID="Equation.3" ShapeID="_x0000_i1041" DrawAspect="Content" ObjectID="_1468075741" r:id="rId142">
            <o:LockedField>false</o:LockedField>
          </o:OLEObject>
        </w:object>
      </w:r>
      <w:r>
        <w:rPr>
          <w:rFonts w:hint="default" w:ascii="Times New Roman" w:hAnsi="Times New Roman" w:eastAsia="宋体" w:cs="Times New Roman"/>
          <w:color w:val="auto"/>
          <w:highlight w:val="none"/>
        </w:rPr>
        <w:t>：水动力弥散系数张量，L2T-1；</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42" o:spt="75" type="#_x0000_t75" style="height:17.25pt;width:9pt;" o:ole="t" fillcolor="#000011" filled="f" o:preferrelative="t" stroked="f" coordsize="21600,21600">
            <v:path/>
            <v:fill on="f" focussize="0,0"/>
            <v:stroke on="f"/>
            <v:imagedata r:id="rId145" o:title=""/>
            <o:lock v:ext="edit" aspectratio="t"/>
            <w10:wrap type="none"/>
            <w10:anchorlock/>
          </v:shape>
          <o:OLEObject Type="Embed" ProgID="Equation.3" ShapeID="_x0000_i1042" DrawAspect="Content" ObjectID="_1468075742" r:id="rId144">
            <o:LockedField>false</o:LockedField>
          </o:OLEObject>
        </w:object>
      </w:r>
      <w:r>
        <w:rPr>
          <w:rFonts w:hint="default" w:ascii="Times New Roman" w:hAnsi="Times New Roman" w:eastAsia="宋体" w:cs="Times New Roman"/>
          <w:color w:val="auto"/>
          <w:highlight w:val="none"/>
        </w:rPr>
        <w:t>：孔隙水平均实际流速，LT-1；它与单宽流量存在如下关系：</w:t>
      </w:r>
      <w:r>
        <w:rPr>
          <w:rFonts w:hint="default" w:ascii="Times New Roman" w:hAnsi="Times New Roman" w:eastAsia="宋体" w:cs="Times New Roman"/>
          <w:color w:val="auto"/>
          <w:highlight w:val="none"/>
        </w:rPr>
        <w:object>
          <v:shape id="_x0000_i1043" o:spt="75" type="#_x0000_t75" style="height:17.25pt;width:47.25pt;" o:ole="t" fillcolor="#000011" filled="f" o:preferrelative="t" stroked="f" coordsize="21600,21600">
            <v:path/>
            <v:fill on="f" focussize="0,0"/>
            <v:stroke on="f"/>
            <v:imagedata r:id="rId147" o:title=""/>
            <o:lock v:ext="edit" aspectratio="t"/>
            <w10:wrap type="none"/>
            <w10:anchorlock/>
          </v:shape>
          <o:OLEObject Type="Embed" ProgID="Equation.3" ShapeID="_x0000_i1043" DrawAspect="Content" ObjectID="_1468075743" r:id="rId146">
            <o:LockedField>false</o:LockedField>
          </o:OLEObject>
        </w:object>
      </w:r>
      <w:r>
        <w:rPr>
          <w:rFonts w:hint="default" w:ascii="Times New Roman" w:hAnsi="Times New Roman" w:eastAsia="宋体" w:cs="Times New Roman"/>
          <w:color w:val="auto"/>
          <w:highlight w:val="none"/>
        </w:rPr>
        <w:t>；</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44" o:spt="75" type="#_x0000_t75" style="height:17.25pt;width:15.75pt;" o:ole="t" fillcolor="#000011" filled="f" o:preferrelative="t" stroked="f" coordsize="21600,21600">
            <v:path/>
            <v:fill on="f" focussize="0,0"/>
            <v:stroke on="f"/>
            <v:imagedata r:id="rId149" o:title=""/>
            <o:lock v:ext="edit" aspectratio="t"/>
            <w10:wrap type="none"/>
            <w10:anchorlock/>
          </v:shape>
          <o:OLEObject Type="Embed" ProgID="Equation.3" ShapeID="_x0000_i1044" DrawAspect="Content" ObjectID="_1468075744" r:id="rId148">
            <o:LockedField>false</o:LockedField>
          </o:OLEObject>
        </w:object>
      </w:r>
      <w:r>
        <w:rPr>
          <w:rFonts w:hint="default" w:ascii="Times New Roman" w:hAnsi="Times New Roman" w:eastAsia="宋体" w:cs="Times New Roman"/>
          <w:color w:val="auto"/>
          <w:highlight w:val="none"/>
        </w:rPr>
        <w:t>：单位体积含水层流量，它代表源（正值）和汇（负值），T-1；</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45" o:spt="75" type="#_x0000_t75" style="height:15.75pt;width:17.25pt;" o:ole="t" fillcolor="#000011" filled="f" o:preferrelative="t" stroked="f" coordsize="21600,21600">
            <v:path/>
            <v:fill on="f" focussize="0,0"/>
            <v:stroke on="f"/>
            <v:imagedata r:id="rId151" o:title=""/>
            <o:lock v:ext="edit" aspectratio="t"/>
            <w10:wrap type="none"/>
            <w10:anchorlock/>
          </v:shape>
          <o:OLEObject Type="Embed" ProgID="Equation.3" ShapeID="_x0000_i1045" DrawAspect="Content" ObjectID="_1468075745" r:id="rId150">
            <o:LockedField>false</o:LockedField>
          </o:OLEObject>
        </w:object>
      </w:r>
      <w:r>
        <w:rPr>
          <w:rFonts w:hint="default" w:ascii="Times New Roman" w:hAnsi="Times New Roman" w:eastAsia="宋体" w:cs="Times New Roman"/>
          <w:color w:val="auto"/>
          <w:highlight w:val="none"/>
        </w:rPr>
        <w:t>：源或汇水流中k组分的浓度，ML-3；</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46" o:spt="75" type="#_x0000_t75" style="height:17.25pt;width:32.25pt;" o:ole="t" fillcolor="#000011" filled="f" o:preferrelative="t" stroked="f" coordsize="21600,21600">
            <v:path/>
            <v:fill on="f" focussize="0,0"/>
            <v:stroke on="f"/>
            <v:imagedata r:id="rId153" o:title=""/>
            <o:lock v:ext="edit" aspectratio="t"/>
            <w10:wrap type="none"/>
            <w10:anchorlock/>
          </v:shape>
          <o:OLEObject Type="Embed" ProgID="Equation.3" ShapeID="_x0000_i1046" DrawAspect="Content" ObjectID="_1468075746" r:id="rId152">
            <o:LockedField>false</o:LockedField>
          </o:OLEObject>
        </w:object>
      </w:r>
      <w:r>
        <w:rPr>
          <w:rFonts w:hint="default" w:ascii="Times New Roman" w:hAnsi="Times New Roman" w:eastAsia="宋体" w:cs="Times New Roman"/>
          <w:color w:val="auto"/>
          <w:highlight w:val="none"/>
        </w:rPr>
        <w:t>：化学反应项，ML-3T-1。</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边界条件：解基本方程还需要给定边界条件。MT3DMS运移模型考虑了三类边界条件：(a)已知浓度边界（Dirichlet条件）；(b)已知浓度梯度边界（Neuman条件）；(c)(a)和(b)的混合边界（Cauchy条件）。</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对于Dirichlet边界条件，在整个模拟期间沿边界给定浓度：</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47" o:spt="75" type="#_x0000_t75" style="height:17.25pt;width:190.5pt;" o:ole="t" fillcolor="#000011" filled="f" o:preferrelative="t" stroked="f" coordsize="21600,21600">
            <v:path/>
            <v:fill on="f" focussize="0,0"/>
            <v:stroke on="f"/>
            <v:imagedata r:id="rId155" o:title=""/>
            <o:lock v:ext="edit" aspectratio="t"/>
            <w10:wrap type="none"/>
            <w10:anchorlock/>
          </v:shape>
          <o:OLEObject Type="Embed" ProgID="Equation.3" ShapeID="_x0000_i1047" DrawAspect="Content" ObjectID="_1468075747" r:id="rId154">
            <o:LockedField>false</o:LockedField>
          </o:OLEObject>
        </w:objec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color w:val="auto"/>
          <w:highlight w:val="none"/>
        </w:rPr>
        <w:object>
          <v:shape id="_x0000_i1048" o:spt="75" type="#_x0000_t75" style="height:17.25pt;width:9pt;" o:ole="t" fillcolor="#000011" filled="f" o:preferrelative="t" stroked="f" coordsize="21600,21600">
            <v:path/>
            <v:fill on="f" focussize="0,0"/>
            <v:stroke on="f"/>
            <v:imagedata r:id="rId157" o:title=""/>
            <o:lock v:ext="edit" aspectratio="t"/>
            <w10:wrap type="none"/>
            <w10:anchorlock/>
          </v:shape>
          <o:OLEObject Type="Embed" ProgID="Equation.3" ShapeID="_x0000_i1048" DrawAspect="Content" ObjectID="_1468075748" r:id="rId156">
            <o:LockedField>false</o:LockedField>
          </o:OLEObject>
        </w:object>
      </w:r>
      <w:r>
        <w:rPr>
          <w:rFonts w:hint="default" w:ascii="Times New Roman" w:hAnsi="Times New Roman" w:eastAsia="宋体" w:cs="Times New Roman"/>
          <w:color w:val="auto"/>
          <w:highlight w:val="none"/>
        </w:rPr>
        <w:t>表示定浓度边界，</w:t>
      </w:r>
      <w:r>
        <w:rPr>
          <w:rFonts w:hint="default" w:ascii="Times New Roman" w:hAnsi="Times New Roman" w:eastAsia="宋体" w:cs="Times New Roman"/>
          <w:color w:val="auto"/>
          <w:highlight w:val="none"/>
        </w:rPr>
        <w:object>
          <v:shape id="_x0000_i1049" o:spt="75" type="#_x0000_t75" style="height:17.25pt;width:54.75pt;" o:ole="t" fillcolor="#000011" filled="f" o:preferrelative="t" stroked="f" coordsize="21600,21600">
            <v:path/>
            <v:fill on="f" focussize="0,0"/>
            <v:stroke on="f"/>
            <v:imagedata r:id="rId159" o:title=""/>
            <o:lock v:ext="edit" aspectratio="t"/>
            <w10:wrap type="none"/>
            <w10:anchorlock/>
          </v:shape>
          <o:OLEObject Type="Embed" ProgID="Equation.3" ShapeID="_x0000_i1049" DrawAspect="Content" ObjectID="_1468075749" r:id="rId158">
            <o:LockedField>false</o:LockedField>
          </o:OLEObject>
        </w:object>
      </w:r>
      <w:r>
        <w:rPr>
          <w:rFonts w:hint="default" w:ascii="Times New Roman" w:hAnsi="Times New Roman" w:eastAsia="宋体" w:cs="Times New Roman"/>
          <w:color w:val="auto"/>
          <w:highlight w:val="none"/>
        </w:rPr>
        <w:t>为沿</w:t>
      </w:r>
      <w:r>
        <w:rPr>
          <w:rFonts w:hint="default" w:ascii="Times New Roman" w:hAnsi="Times New Roman" w:eastAsia="宋体" w:cs="Times New Roman"/>
          <w:color w:val="auto"/>
          <w:highlight w:val="none"/>
        </w:rPr>
        <w:object>
          <v:shape id="_x0000_i1050" o:spt="75" type="#_x0000_t75" style="height:17.25pt;width:9pt;" o:ole="t" fillcolor="#000011" filled="f" o:preferrelative="t" stroked="f" coordsize="21600,21600">
            <v:path/>
            <v:fill on="f" focussize="0,0"/>
            <v:stroke on="f"/>
            <v:imagedata r:id="rId161" o:title=""/>
            <o:lock v:ext="edit" aspectratio="t"/>
            <w10:wrap type="none"/>
            <w10:anchorlock/>
          </v:shape>
          <o:OLEObject Type="Embed" ProgID="Equation.3" ShapeID="_x0000_i1050" DrawAspect="Content" ObjectID="_1468075750" r:id="rId160">
            <o:LockedField>false</o:LockedField>
          </o:OLEObject>
        </w:object>
      </w:r>
      <w:r>
        <w:rPr>
          <w:rFonts w:hint="default" w:ascii="Times New Roman" w:hAnsi="Times New Roman" w:eastAsia="宋体" w:cs="Times New Roman"/>
          <w:color w:val="auto"/>
          <w:highlight w:val="none"/>
        </w:rPr>
        <w:t>所给的浓度。所给浓度可随时间变化。</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在水流模型中，Dirichlet边界为定水头边界，它作为地下水进出模型区域的源或汇。与之类似，运移模型中的定浓度边界作为源，提供进入模型区域的溶质；或作为汇，将溶质移出模型区域。</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对于Neuman边界条件，垂直于边界方向的浓度梯度已知：</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51" o:spt="75" type="#_x0000_t75" style="height:39.75pt;width:234.75pt;" o:ole="t" fillcolor="#000011" filled="f" o:preferrelative="t" stroked="f" coordsize="21600,21600">
            <v:path/>
            <v:fill on="f" focussize="0,0"/>
            <v:stroke on="f"/>
            <v:imagedata r:id="rId163" o:title=""/>
            <o:lock v:ext="edit" aspectratio="t"/>
            <w10:wrap type="none"/>
            <w10:anchorlock/>
          </v:shape>
          <o:OLEObject Type="Embed" ProgID="Equation.3" ShapeID="_x0000_i1051" DrawAspect="Content" ObjectID="_1468075751" r:id="rId162">
            <o:LockedField>false</o:LockedField>
          </o:OLEObject>
        </w:objec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color w:val="auto"/>
          <w:highlight w:val="none"/>
        </w:rPr>
        <w:object>
          <v:shape id="_x0000_i1052" o:spt="75" type="#_x0000_t75" style="height:17.25pt;width:54.75pt;" o:ole="t" fillcolor="#000011" filled="f" o:preferrelative="t" stroked="f" coordsize="21600,21600">
            <v:path/>
            <v:fill on="f" focussize="0,0"/>
            <v:stroke on="f"/>
            <v:imagedata r:id="rId165" o:title=""/>
            <o:lock v:ext="edit" aspectratio="t"/>
            <w10:wrap type="none"/>
            <w10:anchorlock/>
          </v:shape>
          <o:OLEObject Type="Embed" ProgID="Equation.3" ShapeID="_x0000_i1052" DrawAspect="Content" ObjectID="_1468075752" r:id="rId164">
            <o:LockedField>false</o:LockedField>
          </o:OLEObject>
        </w:object>
      </w:r>
      <w:r>
        <w:rPr>
          <w:rFonts w:hint="default" w:ascii="Times New Roman" w:hAnsi="Times New Roman" w:eastAsia="宋体" w:cs="Times New Roman"/>
          <w:color w:val="auto"/>
          <w:highlight w:val="none"/>
        </w:rPr>
        <w:t>为已知函数，表示</w:t>
      </w:r>
      <w:r>
        <w:rPr>
          <w:rFonts w:hint="default" w:ascii="Times New Roman" w:hAnsi="Times New Roman" w:eastAsia="宋体" w:cs="Times New Roman"/>
          <w:color w:val="auto"/>
          <w:highlight w:val="none"/>
        </w:rPr>
        <w:object>
          <v:shape id="_x0000_i1053" o:spt="75" type="#_x0000_t75" style="height:17.25pt;width:15.75pt;" o:ole="t" fillcolor="#000011" filled="f" o:preferrelative="t" stroked="f" coordsize="21600,21600">
            <v:path/>
            <v:fill on="f" focussize="0,0"/>
            <v:stroke on="f"/>
            <v:imagedata r:id="rId167" o:title=""/>
            <o:lock v:ext="edit" aspectratio="t"/>
            <w10:wrap type="none"/>
            <w10:anchorlock/>
          </v:shape>
          <o:OLEObject Type="Embed" ProgID="Equation.3" ShapeID="_x0000_i1053" DrawAspect="Content" ObjectID="_1468075753" r:id="rId166">
            <o:LockedField>false</o:LockedField>
          </o:OLEObject>
        </w:object>
      </w:r>
      <w:r>
        <w:rPr>
          <w:rFonts w:hint="default" w:ascii="Times New Roman" w:hAnsi="Times New Roman" w:eastAsia="宋体" w:cs="Times New Roman"/>
          <w:color w:val="auto"/>
          <w:highlight w:val="none"/>
        </w:rPr>
        <w:t>边界法线方向上的弥散通量。一种特例是无弥散通量边界，对应</w:t>
      </w:r>
      <w:r>
        <w:rPr>
          <w:rFonts w:hint="default" w:ascii="Times New Roman" w:hAnsi="Times New Roman" w:eastAsia="宋体" w:cs="Times New Roman"/>
          <w:color w:val="auto"/>
          <w:highlight w:val="none"/>
        </w:rPr>
        <w:object>
          <v:shape id="_x0000_i1054" o:spt="75" type="#_x0000_t75" style="height:17.25pt;width:78pt;" o:ole="t" fillcolor="#000011" filled="f" o:preferrelative="t" stroked="f" coordsize="21600,21600">
            <v:path/>
            <v:fill on="f" focussize="0,0"/>
            <v:stroke on="f"/>
            <v:imagedata r:id="rId169" o:title=""/>
            <o:lock v:ext="edit" aspectratio="t"/>
            <w10:wrap type="none"/>
            <w10:anchorlock/>
          </v:shape>
          <o:OLEObject Type="Embed" ProgID="Equation.3" ShapeID="_x0000_i1054" DrawAspect="Content" ObjectID="_1468075754" r:id="rId168">
            <o:LockedField>false</o:LockedField>
          </o:OLEObject>
        </w:objec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对于Cauchy边界条件，浓度和浓度梯度都给定：</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55" o:spt="75" type="#_x0000_t75" style="height:39.75pt;width:216pt;" o:ole="t" fillcolor="#000011" filled="f" o:preferrelative="t" stroked="f" coordsize="21600,21600">
            <v:path/>
            <v:fill on="f" focussize="0,0"/>
            <v:stroke on="f"/>
            <v:imagedata r:id="rId171" o:title=""/>
            <o:lock v:ext="edit" aspectratio="t"/>
            <w10:wrap type="none"/>
            <w10:anchorlock/>
          </v:shape>
          <o:OLEObject Type="Embed" ProgID="Equation.3" ShapeID="_x0000_i1055" DrawAspect="Content" ObjectID="_1468075755" r:id="rId170">
            <o:LockedField>false</o:LockedField>
          </o:OLEObject>
        </w:objec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color w:val="auto"/>
          <w:highlight w:val="none"/>
        </w:rPr>
        <w:object>
          <v:shape id="_x0000_i1056" o:spt="75" type="#_x0000_t75" style="height:17.25pt;width:54.75pt;" o:ole="t" fillcolor="#000011" filled="f" o:preferrelative="t" stroked="f" coordsize="21600,21600">
            <v:path/>
            <v:fill on="f" focussize="0,0"/>
            <v:stroke on="f"/>
            <v:imagedata r:id="rId173" o:title=""/>
            <o:lock v:ext="edit" aspectratio="t"/>
            <w10:wrap type="none"/>
            <w10:anchorlock/>
          </v:shape>
          <o:OLEObject Type="Embed" ProgID="Equation.3" ShapeID="_x0000_i1056" DrawAspect="Content" ObjectID="_1468075756" r:id="rId172">
            <o:LockedField>false</o:LockedField>
          </o:OLEObject>
        </w:object>
      </w:r>
      <w:r>
        <w:rPr>
          <w:rFonts w:hint="default" w:ascii="Times New Roman" w:hAnsi="Times New Roman" w:eastAsia="宋体" w:cs="Times New Roman"/>
          <w:color w:val="auto"/>
          <w:highlight w:val="none"/>
        </w:rPr>
        <w:t>为已知函数，表示</w:t>
      </w:r>
      <w:r>
        <w:rPr>
          <w:rFonts w:hint="default" w:ascii="Times New Roman" w:hAnsi="Times New Roman" w:eastAsia="宋体" w:cs="Times New Roman"/>
          <w:color w:val="auto"/>
          <w:highlight w:val="none"/>
        </w:rPr>
        <w:object>
          <v:shape id="_x0000_i1057" o:spt="75" type="#_x0000_t75" style="height:17.25pt;width:15.75pt;" o:ole="t" fillcolor="#000011" filled="f" o:preferrelative="t" stroked="f" coordsize="21600,21600">
            <v:path/>
            <v:fill on="f" focussize="0,0"/>
            <v:stroke on="f"/>
            <v:imagedata r:id="rId175" o:title=""/>
            <o:lock v:ext="edit" aspectratio="t"/>
            <w10:wrap type="none"/>
            <w10:anchorlock/>
          </v:shape>
          <o:OLEObject Type="Embed" ProgID="Equation.3" ShapeID="_x0000_i1057" DrawAspect="Content" ObjectID="_1468075757" r:id="rId174">
            <o:LockedField>false</o:LockedField>
          </o:OLEObject>
        </w:object>
      </w:r>
      <w:r>
        <w:rPr>
          <w:rFonts w:hint="default" w:ascii="Times New Roman" w:hAnsi="Times New Roman" w:eastAsia="宋体" w:cs="Times New Roman"/>
          <w:color w:val="auto"/>
          <w:highlight w:val="none"/>
        </w:rPr>
        <w:t>边界法线方向上的总通量（弥散和对流）。对于物理无渗透边界，弥散和对流通量都等于零，因此</w:t>
      </w:r>
      <w:r>
        <w:rPr>
          <w:rFonts w:hint="default" w:ascii="Times New Roman" w:hAnsi="Times New Roman" w:eastAsia="宋体" w:cs="Times New Roman"/>
          <w:color w:val="auto"/>
          <w:highlight w:val="none"/>
        </w:rPr>
        <w:object>
          <v:shape id="_x0000_i1058" o:spt="75" type="#_x0000_t75" style="height:17.25pt;width:77.25pt;" o:ole="t" fillcolor="#000011" filled="f" o:preferrelative="t" stroked="f" coordsize="21600,21600">
            <v:path/>
            <v:fill on="f" focussize="0,0"/>
            <v:stroke on="f"/>
            <v:imagedata r:id="rId177" o:title=""/>
            <o:lock v:ext="edit" aspectratio="t"/>
            <w10:wrap type="none"/>
            <w10:anchorlock/>
          </v:shape>
          <o:OLEObject Type="Embed" ProgID="Equation.3" ShapeID="_x0000_i1058" DrawAspect="Content" ObjectID="_1468075758" r:id="rId176">
            <o:LockedField>false</o:LockedField>
          </o:OLEObject>
        </w:object>
      </w:r>
      <w:r>
        <w:rPr>
          <w:rFonts w:hint="default" w:ascii="Times New Roman" w:hAnsi="Times New Roman" w:eastAsia="宋体" w:cs="Times New Roman"/>
          <w:color w:val="auto"/>
          <w:highlight w:val="none"/>
        </w:rPr>
        <w:t>。人们习惯于假设对流通量强于弥散通量，因此上述方程可简化为：</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59" o:spt="75" type="#_x0000_t75" style="height:22.5pt;width:135pt;" o:ole="t" fillcolor="#000011" filled="f" o:preferrelative="t" stroked="f" coordsize="21600,21600">
            <v:path/>
            <v:fill on="f" focussize="0,0"/>
            <v:stroke on="f"/>
            <v:imagedata r:id="rId179" o:title=""/>
            <o:lock v:ext="edit" aspectratio="t"/>
            <w10:wrap type="none"/>
            <w10:anchorlock/>
          </v:shape>
          <o:OLEObject Type="Embed" ProgID="Equation.3" ShapeID="_x0000_i1059" DrawAspect="Content" ObjectID="_1468075759" r:id="rId178">
            <o:LockedField>false</o:LockedField>
          </o:OLEObject>
        </w:objec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上式类似于源汇项，在运移模型中容易处理。</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溶质运移模型参数的确定：本次溶质运移模型仅考虑污染物在含水层中的对流和弥散作用。一般，建立溶质运移模型所需要的水文地质参数主要是弥散度和孔隙度（有效值）。其中，弥散度又包括纵向弥散度</w:t>
      </w:r>
      <w:r>
        <w:rPr>
          <w:rFonts w:hint="default" w:ascii="Times New Roman" w:hAnsi="Times New Roman" w:eastAsia="宋体" w:cs="Times New Roman"/>
          <w:i/>
          <w:color w:val="auto"/>
          <w:highlight w:val="none"/>
        </w:rPr>
        <w:t>α</w:t>
      </w:r>
      <w:r>
        <w:rPr>
          <w:rFonts w:hint="default" w:ascii="Times New Roman" w:hAnsi="Times New Roman" w:eastAsia="宋体" w:cs="Times New Roman"/>
          <w:color w:val="auto"/>
          <w:highlight w:val="none"/>
          <w:vertAlign w:val="subscript"/>
        </w:rPr>
        <w:t>L</w:t>
      </w:r>
      <w:r>
        <w:rPr>
          <w:rFonts w:hint="default" w:ascii="Times New Roman" w:hAnsi="Times New Roman" w:eastAsia="宋体" w:cs="Times New Roman"/>
          <w:color w:val="auto"/>
          <w:highlight w:val="none"/>
        </w:rPr>
        <w:t>、垂向弥散度</w:t>
      </w:r>
      <w:r>
        <w:rPr>
          <w:rFonts w:hint="default" w:ascii="Times New Roman" w:hAnsi="Times New Roman" w:eastAsia="宋体" w:cs="Times New Roman"/>
          <w:i/>
          <w:color w:val="auto"/>
          <w:highlight w:val="none"/>
        </w:rPr>
        <w:t>α</w:t>
      </w:r>
      <w:r>
        <w:rPr>
          <w:rFonts w:hint="default" w:ascii="Times New Roman" w:hAnsi="Times New Roman" w:eastAsia="宋体" w:cs="Times New Roman"/>
          <w:color w:val="auto"/>
          <w:highlight w:val="none"/>
          <w:vertAlign w:val="subscript"/>
        </w:rPr>
        <w:t>V</w:t>
      </w:r>
      <w:r>
        <w:rPr>
          <w:rFonts w:hint="default" w:ascii="Times New Roman" w:hAnsi="Times New Roman" w:eastAsia="宋体" w:cs="Times New Roman"/>
          <w:color w:val="auto"/>
          <w:highlight w:val="none"/>
        </w:rPr>
        <w:t>和横向弥散度</w:t>
      </w:r>
      <w:r>
        <w:rPr>
          <w:rFonts w:hint="default" w:ascii="Times New Roman" w:hAnsi="Times New Roman" w:eastAsia="宋体" w:cs="Times New Roman"/>
          <w:i/>
          <w:color w:val="auto"/>
          <w:highlight w:val="none"/>
        </w:rPr>
        <w:t>α</w:t>
      </w:r>
      <w:r>
        <w:rPr>
          <w:rFonts w:hint="default" w:ascii="Times New Roman" w:hAnsi="Times New Roman" w:eastAsia="宋体" w:cs="Times New Roman"/>
          <w:color w:val="auto"/>
          <w:highlight w:val="none"/>
          <w:vertAlign w:val="subscript"/>
        </w:rPr>
        <w:t>H</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该含水层岩性主要为辽河群黑云变粒岩、磁铁铁矿体及二长花岗岩，根据项目评价区现场测试数据和相似地区(岩性)经验值，给定弥散度</w:t>
      </w:r>
      <w:r>
        <w:rPr>
          <w:rFonts w:hint="default" w:ascii="Times New Roman" w:hAnsi="Times New Roman" w:eastAsia="宋体" w:cs="Times New Roman"/>
          <w:i/>
          <w:color w:val="auto"/>
          <w:highlight w:val="none"/>
        </w:rPr>
        <w:t>α</w:t>
      </w:r>
      <w:r>
        <w:rPr>
          <w:rFonts w:hint="default" w:ascii="Times New Roman" w:hAnsi="Times New Roman" w:eastAsia="宋体" w:cs="Times New Roman"/>
          <w:color w:val="auto"/>
          <w:highlight w:val="none"/>
          <w:vertAlign w:val="subscript"/>
        </w:rPr>
        <w:t>L</w:t>
      </w:r>
      <w:r>
        <w:rPr>
          <w:rFonts w:hint="default" w:ascii="Times New Roman" w:hAnsi="Times New Roman" w:eastAsia="宋体" w:cs="Times New Roman"/>
          <w:color w:val="auto"/>
          <w:highlight w:val="none"/>
        </w:rPr>
        <w:t>=0.2m，孔隙度n=0.3。另外，根据国内外经验，垂向弥散度与纵向弥散度之比一般在0.1~0.3之间，横向弥散度与纵向弥散度之比为0.1~0.3。本模型给定</w:t>
      </w:r>
      <w:r>
        <w:rPr>
          <w:rFonts w:hint="default" w:ascii="Times New Roman" w:hAnsi="Times New Roman" w:eastAsia="宋体" w:cs="Times New Roman"/>
          <w:i/>
          <w:color w:val="auto"/>
          <w:highlight w:val="none"/>
        </w:rPr>
        <w:t>α</w:t>
      </w:r>
      <w:r>
        <w:rPr>
          <w:rFonts w:hint="default" w:ascii="Times New Roman" w:hAnsi="Times New Roman" w:eastAsia="宋体" w:cs="Times New Roman"/>
          <w:color w:val="auto"/>
          <w:highlight w:val="none"/>
          <w:vertAlign w:val="subscript"/>
        </w:rPr>
        <w:t>V</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α</w:t>
      </w:r>
      <w:r>
        <w:rPr>
          <w:rFonts w:hint="default" w:ascii="Times New Roman" w:hAnsi="Times New Roman" w:eastAsia="宋体" w:cs="Times New Roman"/>
          <w:color w:val="auto"/>
          <w:highlight w:val="none"/>
          <w:vertAlign w:val="subscript"/>
        </w:rPr>
        <w:t>L</w:t>
      </w:r>
      <w:r>
        <w:rPr>
          <w:rFonts w:hint="default" w:ascii="Times New Roman" w:hAnsi="Times New Roman" w:eastAsia="宋体" w:cs="Times New Roman"/>
          <w:color w:val="auto"/>
          <w:highlight w:val="none"/>
        </w:rPr>
        <w:t>=0.1，</w:t>
      </w:r>
      <w:r>
        <w:rPr>
          <w:rFonts w:hint="default" w:ascii="Times New Roman" w:hAnsi="Times New Roman" w:eastAsia="宋体" w:cs="Times New Roman"/>
          <w:i/>
          <w:color w:val="auto"/>
          <w:highlight w:val="none"/>
        </w:rPr>
        <w:t>α</w:t>
      </w:r>
      <w:r>
        <w:rPr>
          <w:rFonts w:hint="default" w:ascii="Times New Roman" w:hAnsi="Times New Roman" w:eastAsia="宋体" w:cs="Times New Roman"/>
          <w:color w:val="auto"/>
          <w:highlight w:val="none"/>
          <w:vertAlign w:val="subscript"/>
        </w:rPr>
        <w:t>H</w:t>
      </w:r>
      <w:r>
        <w:rPr>
          <w:rFonts w:hint="default" w:ascii="Times New Roman" w:hAnsi="Times New Roman" w:eastAsia="宋体" w:cs="Times New Roman"/>
          <w:color w:val="auto"/>
          <w:highlight w:val="none"/>
        </w:rPr>
        <w:t>/</w:t>
      </w:r>
      <w:r>
        <w:rPr>
          <w:rFonts w:hint="default" w:ascii="Times New Roman" w:hAnsi="Times New Roman" w:eastAsia="宋体" w:cs="Times New Roman"/>
          <w:i/>
          <w:color w:val="auto"/>
          <w:highlight w:val="none"/>
        </w:rPr>
        <w:t>α</w:t>
      </w:r>
      <w:r>
        <w:rPr>
          <w:rFonts w:hint="default" w:ascii="Times New Roman" w:hAnsi="Times New Roman" w:eastAsia="宋体" w:cs="Times New Roman"/>
          <w:color w:val="auto"/>
          <w:highlight w:val="none"/>
          <w:vertAlign w:val="subscript"/>
        </w:rPr>
        <w:t>L</w:t>
      </w:r>
      <w:r>
        <w:rPr>
          <w:rFonts w:hint="default" w:ascii="Times New Roman" w:hAnsi="Times New Roman" w:eastAsia="宋体" w:cs="Times New Roman"/>
          <w:color w:val="auto"/>
          <w:highlight w:val="none"/>
        </w:rPr>
        <w:t>=0.1。</w:t>
      </w:r>
    </w:p>
    <w:p>
      <w:pPr>
        <w:ind w:firstLine="480"/>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color w:val="auto"/>
          <w:highlight w:val="none"/>
        </w:rPr>
        <w:t>本次地下水数值模拟的目的，是在地下水天然流场模拟基础上，预测本项目在</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运营期的正常工序以及事故条件下地下水流场的时空分布特征，以及对周边地下水环境的影响。因此，在对模拟区单元进行网格剖分时，综合考虑了研究区面积、主要含水层的分布范围和计算机计算能力等实际情况，网格剖分为10m×10m。网格剖分结果见</w:t>
      </w:r>
      <w:r>
        <w:rPr>
          <w:rFonts w:hint="default" w:ascii="Times New Roman" w:hAnsi="Times New Roman" w:eastAsia="宋体" w:cs="Times New Roman"/>
          <w:b w:val="0"/>
          <w:bCs w:val="0"/>
          <w:color w:val="auto"/>
          <w:highlight w:val="none"/>
        </w:rPr>
        <w:t>图</w:t>
      </w:r>
      <w:r>
        <w:rPr>
          <w:rFonts w:hint="default" w:ascii="Times New Roman" w:hAnsi="Times New Roman" w:eastAsia="宋体" w:cs="Times New Roman"/>
          <w:b w:val="0"/>
          <w:bCs w:val="0"/>
          <w:color w:val="auto"/>
          <w:highlight w:val="none"/>
          <w:lang w:val="en-US" w:eastAsia="zh-CN"/>
        </w:rPr>
        <w:t>6.2-11</w:t>
      </w:r>
      <w:r>
        <w:rPr>
          <w:rFonts w:hint="default" w:ascii="Times New Roman" w:hAnsi="Times New Roman" w:eastAsia="宋体" w:cs="Times New Roman"/>
          <w:b w:val="0"/>
          <w:bCs w:val="0"/>
          <w:color w:val="auto"/>
          <w:highlight w:val="none"/>
        </w:rPr>
        <w:t>。</w:t>
      </w:r>
    </w:p>
    <w:p>
      <w:pPr>
        <w:ind w:firstLine="199" w:firstLineChars="83"/>
        <w:jc w:val="center"/>
        <w:rPr>
          <w:rFonts w:hint="default" w:ascii="Times New Roman" w:hAnsi="Times New Roman" w:eastAsia="宋体" w:cs="Times New Roman"/>
          <w:color w:val="auto"/>
          <w:highlight w:val="none"/>
          <w:lang w:val="en-GB"/>
        </w:rPr>
      </w:pPr>
      <w:r>
        <w:rPr>
          <w:rFonts w:hint="default" w:ascii="Times New Roman" w:hAnsi="Times New Roman" w:eastAsia="宋体" w:cs="Times New Roman"/>
          <w:color w:val="auto"/>
          <w:highlight w:val="none"/>
        </w:rPr>
        <w:drawing>
          <wp:inline distT="0" distB="0" distL="114300" distR="114300">
            <wp:extent cx="4282440" cy="3484245"/>
            <wp:effectExtent l="0" t="0" r="3810" b="1905"/>
            <wp:docPr id="30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62"/>
                    <pic:cNvPicPr>
                      <a:picLocks noChangeAspect="1"/>
                    </pic:cNvPicPr>
                  </pic:nvPicPr>
                  <pic:blipFill>
                    <a:blip r:embed="rId180"/>
                    <a:srcRect t="9612" b="3294"/>
                    <a:stretch>
                      <a:fillRect/>
                    </a:stretch>
                  </pic:blipFill>
                  <pic:spPr>
                    <a:xfrm>
                      <a:off x="0" y="0"/>
                      <a:ext cx="4282440" cy="348424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6.2-11</w:t>
      </w:r>
      <w:r>
        <w:rPr>
          <w:rFonts w:hint="default" w:ascii="Times New Roman" w:hAnsi="Times New Roman" w:eastAsia="宋体" w:cs="Times New Roman"/>
          <w:b/>
          <w:color w:val="auto"/>
          <w:highlight w:val="none"/>
        </w:rPr>
        <w:t>模拟区网格剖分平面图</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根据模拟区的包气带岩性、含水层厚度、含水层岩相变化特点和富水性差异等因素，并通过前人成果资料，对模型中含水层渗透系数进行分区（图</w:t>
      </w:r>
      <w:r>
        <w:rPr>
          <w:rFonts w:hint="default" w:ascii="Times New Roman" w:hAnsi="Times New Roman" w:eastAsia="宋体" w:cs="Times New Roman"/>
          <w:color w:val="auto"/>
          <w:highlight w:val="none"/>
          <w:lang w:val="en-US" w:eastAsia="zh-CN"/>
        </w:rPr>
        <w:t>5.2-12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REF _Ref436049903 \h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lang w:val="en-US" w:eastAsia="zh-CN"/>
        </w:rPr>
        <w:t>.2-17</w:t>
      </w:r>
      <w:r>
        <w:rPr>
          <w:rFonts w:hint="default" w:ascii="Times New Roman" w:hAnsi="Times New Roman" w:eastAsia="宋体" w:cs="Times New Roman"/>
          <w:color w:val="auto"/>
          <w:highlight w:val="none"/>
        </w:rPr>
        <w:t>）。根据经验值，垂直渗透系数K</w:t>
      </w:r>
      <w:r>
        <w:rPr>
          <w:rFonts w:hint="default" w:ascii="Times New Roman" w:hAnsi="Times New Roman" w:eastAsia="宋体" w:cs="Times New Roman"/>
          <w:color w:val="auto"/>
          <w:highlight w:val="none"/>
          <w:vertAlign w:val="subscript"/>
        </w:rPr>
        <w:t>v</w:t>
      </w:r>
      <w:r>
        <w:rPr>
          <w:rFonts w:hint="default" w:ascii="Times New Roman" w:hAnsi="Times New Roman" w:eastAsia="宋体" w:cs="Times New Roman"/>
          <w:color w:val="auto"/>
          <w:highlight w:val="none"/>
        </w:rPr>
        <w:t>按水平渗透系数K</w:t>
      </w:r>
      <w:r>
        <w:rPr>
          <w:rFonts w:hint="default" w:ascii="Times New Roman" w:hAnsi="Times New Roman" w:eastAsia="宋体" w:cs="Times New Roman"/>
          <w:color w:val="auto"/>
          <w:highlight w:val="none"/>
          <w:vertAlign w:val="subscript"/>
        </w:rPr>
        <w:t>h</w:t>
      </w:r>
      <w:r>
        <w:rPr>
          <w:rFonts w:hint="default" w:ascii="Times New Roman" w:hAnsi="Times New Roman" w:eastAsia="宋体" w:cs="Times New Roman"/>
          <w:color w:val="auto"/>
          <w:highlight w:val="none"/>
        </w:rPr>
        <w:t>的1/10给定。</w:t>
      </w:r>
    </w:p>
    <w:p>
      <w:pPr>
        <w:ind w:firstLine="199" w:firstLineChars="83"/>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4683125" cy="4111625"/>
            <wp:effectExtent l="0" t="0" r="3175" b="3175"/>
            <wp:docPr id="30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63"/>
                    <pic:cNvPicPr>
                      <a:picLocks noChangeAspect="1"/>
                    </pic:cNvPicPr>
                  </pic:nvPicPr>
                  <pic:blipFill>
                    <a:blip r:embed="rId181"/>
                    <a:stretch>
                      <a:fillRect/>
                    </a:stretch>
                  </pic:blipFill>
                  <pic:spPr>
                    <a:xfrm>
                      <a:off x="0" y="0"/>
                      <a:ext cx="4683125" cy="411162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w:t>
      </w:r>
      <w:r>
        <w:rPr>
          <w:rFonts w:hint="default" w:ascii="Times New Roman" w:hAnsi="Times New Roman" w:eastAsia="宋体" w:cs="Times New Roman"/>
          <w:b/>
          <w:color w:val="auto"/>
          <w:highlight w:val="none"/>
          <w:lang w:eastAsia="zh-CN"/>
        </w:rPr>
        <w:t>.2</w:t>
      </w:r>
      <w:r>
        <w:rPr>
          <w:rFonts w:hint="default" w:ascii="Times New Roman" w:hAnsi="Times New Roman" w:eastAsia="宋体" w:cs="Times New Roman"/>
          <w:b/>
          <w:color w:val="auto"/>
          <w:highlight w:val="none"/>
        </w:rPr>
        <w:t>-1</w:t>
      </w:r>
      <w:r>
        <w:rPr>
          <w:rFonts w:hint="default" w:ascii="Times New Roman" w:hAnsi="Times New Roman" w:eastAsia="宋体" w:cs="Times New Roman"/>
          <w:b/>
          <w:color w:val="auto"/>
          <w:highlight w:val="none"/>
          <w:lang w:val="en-US" w:eastAsia="zh-CN"/>
        </w:rPr>
        <w:t>2</w:t>
      </w:r>
      <w:r>
        <w:rPr>
          <w:rFonts w:hint="default" w:ascii="Times New Roman" w:hAnsi="Times New Roman" w:eastAsia="宋体" w:cs="Times New Roman"/>
          <w:b/>
          <w:color w:val="auto"/>
          <w:highlight w:val="none"/>
        </w:rPr>
        <w:t>含水层渗透系数分区图（1层）</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color w:val="auto"/>
          <w:highlight w:val="none"/>
        </w:rPr>
      </w:pPr>
      <w:bookmarkStart w:id="551" w:name="_Ref436049898"/>
      <w:r>
        <w:rPr>
          <w:rFonts w:hint="default" w:ascii="Times New Roman" w:hAnsi="Times New Roman" w:eastAsia="宋体" w:cs="Times New Roman"/>
          <w:b/>
          <w:color w:val="auto"/>
          <w:sz w:val="21"/>
          <w:szCs w:val="21"/>
          <w:highlight w:val="none"/>
        </w:rPr>
        <w:fldChar w:fldCharType="begin"/>
      </w:r>
      <w:r>
        <w:rPr>
          <w:rFonts w:hint="default" w:ascii="Times New Roman" w:hAnsi="Times New Roman" w:eastAsia="宋体" w:cs="Times New Roman"/>
          <w:b/>
          <w:color w:val="auto"/>
          <w:sz w:val="21"/>
          <w:szCs w:val="21"/>
          <w:highlight w:val="none"/>
        </w:rPr>
        <w:instrText xml:space="preserve"> REF _Ref436049903 \h  \* MERGEFORMAT </w:instrText>
      </w:r>
      <w:r>
        <w:rPr>
          <w:rFonts w:hint="default" w:ascii="Times New Roman" w:hAnsi="Times New Roman" w:eastAsia="宋体" w:cs="Times New Roman"/>
          <w:b/>
          <w:color w:val="auto"/>
          <w:sz w:val="21"/>
          <w:szCs w:val="21"/>
          <w:highlight w:val="none"/>
        </w:rPr>
        <w:fldChar w:fldCharType="separate"/>
      </w: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rPr>
        <w:fldChar w:fldCharType="end"/>
      </w:r>
      <w:r>
        <w:rPr>
          <w:rFonts w:hint="default" w:ascii="Times New Roman" w:hAnsi="Times New Roman" w:eastAsia="宋体" w:cs="Times New Roman"/>
          <w:b/>
          <w:color w:val="auto"/>
          <w:sz w:val="21"/>
          <w:szCs w:val="21"/>
          <w:highlight w:val="none"/>
          <w:lang w:val="en-US" w:eastAsia="zh-CN"/>
        </w:rPr>
        <w:t>.2-3</w:t>
      </w:r>
      <w:r>
        <w:rPr>
          <w:rFonts w:hint="default" w:ascii="Times New Roman" w:hAnsi="Times New Roman" w:eastAsia="宋体" w:cs="Times New Roman"/>
          <w:b/>
          <w:color w:val="auto"/>
          <w:sz w:val="21"/>
          <w:szCs w:val="21"/>
          <w:highlight w:val="none"/>
        </w:rPr>
        <w:t>含水层渗透系数分区</w:t>
      </w:r>
      <w:bookmarkEnd w:id="551"/>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0" w:type="dxa"/>
          <w:bottom w:w="0" w:type="dxa"/>
          <w:right w:w="0" w:type="dxa"/>
        </w:tblCellMar>
      </w:tblPr>
      <w:tblGrid>
        <w:gridCol w:w="1437"/>
        <w:gridCol w:w="1437"/>
        <w:gridCol w:w="2946"/>
        <w:gridCol w:w="3251"/>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792"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层号</w:t>
            </w:r>
          </w:p>
        </w:tc>
        <w:tc>
          <w:tcPr>
            <w:tcW w:w="792" w:type="pct"/>
            <w:tcBorders>
              <w:tl2br w:val="nil"/>
              <w:tr2bl w:val="nil"/>
            </w:tcBorders>
            <w:noWrap w:val="0"/>
            <w:tcMar>
              <w:top w:w="15" w:type="dxa"/>
              <w:left w:w="15" w:type="dxa"/>
              <w:bottom w:w="0" w:type="dxa"/>
              <w:right w:w="15" w:type="dxa"/>
            </w:tcMar>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分区号</w:t>
            </w:r>
          </w:p>
        </w:tc>
        <w:tc>
          <w:tcPr>
            <w:tcW w:w="1624" w:type="pct"/>
            <w:tcBorders>
              <w:tl2br w:val="nil"/>
              <w:tr2bl w:val="nil"/>
            </w:tcBorders>
            <w:noWrap w:val="0"/>
            <w:tcMar>
              <w:top w:w="15" w:type="dxa"/>
              <w:left w:w="15" w:type="dxa"/>
              <w:bottom w:w="0" w:type="dxa"/>
              <w:right w:w="15" w:type="dxa"/>
            </w:tcMar>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水平渗透系数Kh(m/d)</w:t>
            </w:r>
          </w:p>
        </w:tc>
        <w:tc>
          <w:tcPr>
            <w:tcW w:w="179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垂直渗透系数Kv(m/d)</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792" w:type="pct"/>
            <w:vMerge w:val="restar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792" w:type="pct"/>
            <w:tcBorders>
              <w:tl2br w:val="nil"/>
              <w:tr2bl w:val="nil"/>
            </w:tcBorders>
            <w:noWrap w:val="0"/>
            <w:tcMar>
              <w:top w:w="15" w:type="dxa"/>
              <w:left w:w="15" w:type="dxa"/>
              <w:bottom w:w="0" w:type="dxa"/>
              <w:right w:w="15" w:type="dxa"/>
            </w:tcMar>
            <w:vAlign w:val="center"/>
          </w:tcPr>
          <w:p>
            <w:pPr>
              <w:spacing w:line="240" w:lineRule="auto"/>
              <w:ind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624" w:type="pct"/>
            <w:tcBorders>
              <w:tl2br w:val="nil"/>
              <w:tr2bl w:val="nil"/>
            </w:tcBorders>
            <w:noWrap w:val="0"/>
            <w:tcMar>
              <w:top w:w="15" w:type="dxa"/>
              <w:left w:w="15" w:type="dxa"/>
              <w:bottom w:w="0" w:type="dxa"/>
              <w:right w:w="15" w:type="dxa"/>
            </w:tcMar>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0.08</w:t>
            </w:r>
          </w:p>
        </w:tc>
        <w:tc>
          <w:tcPr>
            <w:tcW w:w="179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0.008</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792" w:type="pct"/>
            <w:vMerge w:val="continue"/>
            <w:tcBorders>
              <w:tl2br w:val="nil"/>
              <w:tr2bl w:val="nil"/>
            </w:tcBorders>
            <w:noWrap w:val="0"/>
            <w:vAlign w:val="center"/>
          </w:tcPr>
          <w:p>
            <w:pPr>
              <w:spacing w:line="240" w:lineRule="auto"/>
              <w:ind w:left="480" w:firstLine="0" w:firstLineChars="0"/>
              <w:jc w:val="center"/>
              <w:rPr>
                <w:rFonts w:hint="default" w:ascii="Times New Roman" w:hAnsi="Times New Roman" w:eastAsia="宋体" w:cs="Times New Roman"/>
                <w:color w:val="auto"/>
                <w:highlight w:val="none"/>
              </w:rPr>
            </w:pPr>
          </w:p>
        </w:tc>
        <w:tc>
          <w:tcPr>
            <w:tcW w:w="792" w:type="pct"/>
            <w:tcBorders>
              <w:tl2br w:val="nil"/>
              <w:tr2bl w:val="nil"/>
            </w:tcBorders>
            <w:noWrap w:val="0"/>
            <w:tcMar>
              <w:top w:w="15" w:type="dxa"/>
              <w:left w:w="15" w:type="dxa"/>
              <w:bottom w:w="0" w:type="dxa"/>
              <w:right w:w="15" w:type="dxa"/>
            </w:tcMar>
            <w:vAlign w:val="center"/>
          </w:tcPr>
          <w:p>
            <w:pPr>
              <w:spacing w:line="240" w:lineRule="auto"/>
              <w:ind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624" w:type="pct"/>
            <w:tcBorders>
              <w:tl2br w:val="nil"/>
              <w:tr2bl w:val="nil"/>
            </w:tcBorders>
            <w:noWrap w:val="0"/>
            <w:tcMar>
              <w:top w:w="15" w:type="dxa"/>
              <w:left w:w="15" w:type="dxa"/>
              <w:bottom w:w="0" w:type="dxa"/>
              <w:right w:w="15" w:type="dxa"/>
            </w:tcMar>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0.09</w:t>
            </w:r>
          </w:p>
        </w:tc>
        <w:tc>
          <w:tcPr>
            <w:tcW w:w="179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792" w:type="pct"/>
            <w:vMerge w:val="continue"/>
            <w:tcBorders>
              <w:tl2br w:val="nil"/>
              <w:tr2bl w:val="nil"/>
            </w:tcBorders>
            <w:noWrap w:val="0"/>
            <w:vAlign w:val="center"/>
          </w:tcPr>
          <w:p>
            <w:pPr>
              <w:spacing w:line="240" w:lineRule="auto"/>
              <w:ind w:left="480" w:firstLine="0" w:firstLineChars="0"/>
              <w:jc w:val="center"/>
              <w:rPr>
                <w:rFonts w:hint="default" w:ascii="Times New Roman" w:hAnsi="Times New Roman" w:eastAsia="宋体" w:cs="Times New Roman"/>
                <w:color w:val="auto"/>
                <w:highlight w:val="none"/>
              </w:rPr>
            </w:pPr>
          </w:p>
        </w:tc>
        <w:tc>
          <w:tcPr>
            <w:tcW w:w="792" w:type="pct"/>
            <w:tcBorders>
              <w:tl2br w:val="nil"/>
              <w:tr2bl w:val="nil"/>
            </w:tcBorders>
            <w:noWrap w:val="0"/>
            <w:tcMar>
              <w:top w:w="15" w:type="dxa"/>
              <w:left w:w="15" w:type="dxa"/>
              <w:bottom w:w="0" w:type="dxa"/>
              <w:right w:w="15" w:type="dxa"/>
            </w:tcMar>
            <w:vAlign w:val="center"/>
          </w:tcPr>
          <w:p>
            <w:pPr>
              <w:spacing w:line="240" w:lineRule="auto"/>
              <w:ind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624" w:type="pct"/>
            <w:tcBorders>
              <w:tl2br w:val="nil"/>
              <w:tr2bl w:val="nil"/>
            </w:tcBorders>
            <w:noWrap w:val="0"/>
            <w:tcMar>
              <w:top w:w="15" w:type="dxa"/>
              <w:left w:w="15" w:type="dxa"/>
              <w:bottom w:w="0" w:type="dxa"/>
              <w:right w:w="15" w:type="dxa"/>
            </w:tcMar>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0.07</w:t>
            </w:r>
          </w:p>
        </w:tc>
        <w:tc>
          <w:tcPr>
            <w:tcW w:w="179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0.007</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792" w:type="pct"/>
            <w:vMerge w:val="continue"/>
            <w:tcBorders>
              <w:tl2br w:val="nil"/>
              <w:tr2bl w:val="nil"/>
            </w:tcBorders>
            <w:noWrap w:val="0"/>
            <w:vAlign w:val="center"/>
          </w:tcPr>
          <w:p>
            <w:pPr>
              <w:spacing w:line="240" w:lineRule="auto"/>
              <w:ind w:left="480" w:firstLine="0" w:firstLineChars="0"/>
              <w:jc w:val="center"/>
              <w:rPr>
                <w:rFonts w:hint="default" w:ascii="Times New Roman" w:hAnsi="Times New Roman" w:eastAsia="宋体" w:cs="Times New Roman"/>
                <w:color w:val="auto"/>
                <w:highlight w:val="none"/>
              </w:rPr>
            </w:pPr>
          </w:p>
        </w:tc>
        <w:tc>
          <w:tcPr>
            <w:tcW w:w="792" w:type="pct"/>
            <w:tcBorders>
              <w:tl2br w:val="nil"/>
              <w:tr2bl w:val="nil"/>
            </w:tcBorders>
            <w:noWrap w:val="0"/>
            <w:tcMar>
              <w:top w:w="15" w:type="dxa"/>
              <w:left w:w="15" w:type="dxa"/>
              <w:bottom w:w="0" w:type="dxa"/>
              <w:right w:w="15" w:type="dxa"/>
            </w:tcMar>
            <w:vAlign w:val="center"/>
          </w:tcPr>
          <w:p>
            <w:pPr>
              <w:spacing w:line="240" w:lineRule="auto"/>
              <w:ind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1624" w:type="pct"/>
            <w:tcBorders>
              <w:tl2br w:val="nil"/>
              <w:tr2bl w:val="nil"/>
            </w:tcBorders>
            <w:noWrap w:val="0"/>
            <w:tcMar>
              <w:top w:w="15" w:type="dxa"/>
              <w:left w:w="15" w:type="dxa"/>
              <w:bottom w:w="0" w:type="dxa"/>
              <w:right w:w="15" w:type="dxa"/>
            </w:tcMar>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0.12</w:t>
            </w:r>
          </w:p>
        </w:tc>
        <w:tc>
          <w:tcPr>
            <w:tcW w:w="179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0.012</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792"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792" w:type="pct"/>
            <w:tcBorders>
              <w:tl2br w:val="nil"/>
              <w:tr2bl w:val="nil"/>
            </w:tcBorders>
            <w:noWrap w:val="0"/>
            <w:tcMar>
              <w:top w:w="15" w:type="dxa"/>
              <w:left w:w="15" w:type="dxa"/>
              <w:bottom w:w="0" w:type="dxa"/>
              <w:right w:w="15" w:type="dxa"/>
            </w:tcMar>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1624" w:type="pct"/>
            <w:tcBorders>
              <w:tl2br w:val="nil"/>
              <w:tr2bl w:val="nil"/>
            </w:tcBorders>
            <w:noWrap w:val="0"/>
            <w:tcMar>
              <w:top w:w="15" w:type="dxa"/>
              <w:left w:w="15" w:type="dxa"/>
              <w:bottom w:w="0" w:type="dxa"/>
              <w:right w:w="15" w:type="dxa"/>
            </w:tcMar>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0.001</w:t>
            </w:r>
          </w:p>
        </w:tc>
        <w:tc>
          <w:tcPr>
            <w:tcW w:w="1793" w:type="pct"/>
            <w:tcBorders>
              <w:tl2br w:val="nil"/>
              <w:tr2bl w:val="nil"/>
            </w:tcBorders>
            <w:noWrap w:val="0"/>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0.0001</w:t>
            </w:r>
          </w:p>
        </w:tc>
      </w:tr>
    </w:tbl>
    <w:p>
      <w:pPr>
        <w:ind w:firstLine="480"/>
        <w:rPr>
          <w:rFonts w:hint="default" w:ascii="Times New Roman" w:hAnsi="Times New Roman" w:eastAsia="宋体" w:cs="Times New Roman"/>
          <w:color w:val="auto"/>
          <w:highlight w:val="none"/>
        </w:rPr>
      </w:pPr>
      <w:bookmarkStart w:id="552" w:name="_Toc405973316"/>
      <w:r>
        <w:rPr>
          <w:rFonts w:hint="default" w:ascii="Times New Roman" w:hAnsi="Times New Roman" w:eastAsia="宋体" w:cs="Times New Roman"/>
          <w:color w:val="auto"/>
          <w:highlight w:val="none"/>
        </w:rPr>
        <w:t>降水入渗补给是本区地下水最主要的补给来源，其入渗量与降水量、潜水位埋深和包气带岩性有关。根据岩性变化特征，将模拟区降水入渗补给系数的变化分为</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个大区（图</w:t>
      </w:r>
      <w:r>
        <w:rPr>
          <w:rFonts w:hint="default" w:ascii="Times New Roman" w:hAnsi="Times New Roman" w:eastAsia="宋体" w:cs="Times New Roman"/>
          <w:color w:val="auto"/>
          <w:highlight w:val="none"/>
          <w:lang w:val="en-US" w:eastAsia="zh-CN"/>
        </w:rPr>
        <w:t>6.2-13</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根据多年的降水量观测资料，建设项目所在地区多年平均降水量约为993.8mm。结合各分区的降水入渗补给系数，计算模拟区的降雨入渗补给速率（</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REF _Ref436049903 \h  \* MERGEFORMAT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表</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lang w:val="en-US" w:eastAsia="zh-CN"/>
        </w:rPr>
        <w:t>.2-18</w:t>
      </w:r>
      <w:r>
        <w:rPr>
          <w:rFonts w:hint="default" w:ascii="Times New Roman" w:hAnsi="Times New Roman" w:eastAsia="宋体" w:cs="Times New Roman"/>
          <w:color w:val="auto"/>
          <w:highlight w:val="none"/>
        </w:rPr>
        <w:t>）。</w:t>
      </w:r>
    </w:p>
    <w:p>
      <w:pPr>
        <w:ind w:firstLine="199" w:firstLineChars="83"/>
        <w:jc w:val="center"/>
        <w:rPr>
          <w:rFonts w:hint="default" w:ascii="Times New Roman" w:hAnsi="Times New Roman" w:eastAsia="宋体" w:cs="Times New Roman"/>
          <w:color w:val="auto"/>
          <w:highlight w:val="none"/>
        </w:rPr>
      </w:pP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color w:val="auto"/>
          <w:highlight w:val="none"/>
        </w:rPr>
        <w:drawing>
          <wp:inline distT="0" distB="0" distL="114300" distR="114300">
            <wp:extent cx="4826635" cy="4082415"/>
            <wp:effectExtent l="0" t="0" r="12065" b="13335"/>
            <wp:docPr id="30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64"/>
                    <pic:cNvPicPr>
                      <a:picLocks noChangeAspect="1"/>
                    </pic:cNvPicPr>
                  </pic:nvPicPr>
                  <pic:blipFill>
                    <a:blip r:embed="rId182"/>
                    <a:stretch>
                      <a:fillRect/>
                    </a:stretch>
                  </pic:blipFill>
                  <pic:spPr>
                    <a:xfrm>
                      <a:off x="0" y="0"/>
                      <a:ext cx="4826635" cy="408241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6.2-13</w:t>
      </w:r>
      <w:r>
        <w:rPr>
          <w:rFonts w:hint="default" w:ascii="Times New Roman" w:hAnsi="Times New Roman" w:eastAsia="宋体" w:cs="Times New Roman"/>
          <w:b/>
          <w:color w:val="auto"/>
          <w:highlight w:val="none"/>
        </w:rPr>
        <w:t>降雨入渗系数分区</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color w:val="auto"/>
          <w:sz w:val="21"/>
          <w:szCs w:val="21"/>
          <w:highlight w:val="none"/>
        </w:rPr>
      </w:pPr>
      <w:bookmarkStart w:id="553" w:name="_Ref436050064"/>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6.2-4</w:t>
      </w:r>
      <w:r>
        <w:rPr>
          <w:rFonts w:hint="default" w:ascii="Times New Roman" w:hAnsi="Times New Roman" w:eastAsia="宋体" w:cs="Times New Roman"/>
          <w:b/>
          <w:color w:val="auto"/>
          <w:sz w:val="21"/>
          <w:szCs w:val="21"/>
          <w:highlight w:val="none"/>
        </w:rPr>
        <w:t>降雨入渗系数</w:t>
      </w:r>
      <w:bookmarkEnd w:id="553"/>
    </w:p>
    <w:tbl>
      <w:tblPr>
        <w:tblStyle w:val="45"/>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61"/>
        <w:gridCol w:w="2474"/>
        <w:gridCol w:w="49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02"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分区号</w:t>
            </w:r>
          </w:p>
        </w:tc>
        <w:tc>
          <w:tcPr>
            <w:tcW w:w="1332"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入渗系数</w:t>
            </w:r>
          </w:p>
        </w:tc>
        <w:tc>
          <w:tcPr>
            <w:tcW w:w="2666"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入渗补给速率（m/d）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02"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w:t>
            </w:r>
          </w:p>
        </w:tc>
        <w:tc>
          <w:tcPr>
            <w:tcW w:w="1332"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0.19</w:t>
            </w:r>
          </w:p>
        </w:tc>
        <w:tc>
          <w:tcPr>
            <w:tcW w:w="2666"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0.000517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02"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2</w:t>
            </w:r>
          </w:p>
        </w:tc>
        <w:tc>
          <w:tcPr>
            <w:tcW w:w="1332"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0.17</w:t>
            </w:r>
          </w:p>
        </w:tc>
        <w:tc>
          <w:tcPr>
            <w:tcW w:w="2666" w:type="pct"/>
            <w:tcBorders>
              <w:tl2br w:val="nil"/>
              <w:tr2bl w:val="nil"/>
            </w:tcBorders>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0.000463</w:t>
            </w:r>
          </w:p>
        </w:tc>
      </w:tr>
      <w:bookmarkEnd w:id="552"/>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潜水蒸发量主要与气候、地表植被、包气带岩性和厚度等因素有关。潜水蒸发量使用最广泛的经验公式——阿维里扬诺夫公式（1965）计算：</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object>
          <v:shape id="_x0000_i1060" o:spt="75" type="#_x0000_t75" style="height:80.25pt;width:239.3pt;" o:ole="t" filled="f" o:preferrelative="t" stroked="f" coordsize="21600,21600">
            <v:path/>
            <v:fill on="f" focussize="0,0"/>
            <v:stroke on="f"/>
            <v:imagedata r:id="rId184" o:title=""/>
            <o:lock v:ext="edit" aspectratio="t"/>
            <w10:wrap type="none"/>
            <w10:anchorlock/>
          </v:shape>
          <o:OLEObject Type="Embed" ProgID="Equation.3" ShapeID="_x0000_i1060" DrawAspect="Content" ObjectID="_1468075760" r:id="rId183">
            <o:LockedField>false</o:LockedField>
          </o:OLEObject>
        </w:objec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w:t>
      </w:r>
      <w:r>
        <w:rPr>
          <w:rFonts w:hint="default" w:ascii="Times New Roman" w:hAnsi="Times New Roman" w:eastAsia="宋体" w:cs="Times New Roman"/>
          <w:i/>
          <w:iCs/>
          <w:color w:val="auto"/>
          <w:highlight w:val="none"/>
        </w:rPr>
        <w:t>E</w:t>
      </w:r>
      <w:r>
        <w:rPr>
          <w:rFonts w:hint="default" w:ascii="Times New Roman" w:hAnsi="Times New Roman" w:eastAsia="宋体" w:cs="Times New Roman"/>
          <w:color w:val="auto"/>
          <w:highlight w:val="none"/>
          <w:vertAlign w:val="subscript"/>
        </w:rPr>
        <w:t>0</w:t>
      </w:r>
      <w:r>
        <w:rPr>
          <w:rFonts w:hint="default" w:ascii="Times New Roman" w:hAnsi="Times New Roman" w:eastAsia="宋体" w:cs="Times New Roman"/>
          <w:color w:val="auto"/>
          <w:highlight w:val="none"/>
        </w:rPr>
        <w:t>—为水面蒸发强度（m/d）；</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i/>
          <w:iCs/>
          <w:color w:val="auto"/>
          <w:highlight w:val="none"/>
        </w:rPr>
        <w:t>H</w:t>
      </w:r>
      <w:r>
        <w:rPr>
          <w:rFonts w:hint="default" w:ascii="Times New Roman" w:hAnsi="Times New Roman" w:eastAsia="宋体" w:cs="Times New Roman"/>
          <w:color w:val="auto"/>
          <w:highlight w:val="none"/>
        </w:rPr>
        <w:t>—为潜水水位标高（m）；</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i/>
          <w:iCs/>
          <w:color w:val="auto"/>
          <w:highlight w:val="none"/>
        </w:rPr>
        <w:t>H</w:t>
      </w:r>
      <w:r>
        <w:rPr>
          <w:rFonts w:hint="default" w:ascii="Times New Roman" w:hAnsi="Times New Roman" w:eastAsia="宋体" w:cs="Times New Roman"/>
          <w:color w:val="auto"/>
          <w:highlight w:val="none"/>
          <w:vertAlign w:val="subscript"/>
        </w:rPr>
        <w:t>S</w:t>
      </w:r>
      <w:r>
        <w:rPr>
          <w:rFonts w:hint="default" w:ascii="Times New Roman" w:hAnsi="Times New Roman" w:eastAsia="宋体" w:cs="Times New Roman"/>
          <w:color w:val="auto"/>
          <w:highlight w:val="none"/>
        </w:rPr>
        <w:t>—为地面标高（m）；</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i/>
          <w:iCs/>
          <w:color w:val="auto"/>
          <w:highlight w:val="none"/>
        </w:rPr>
        <w:t>H</w:t>
      </w:r>
      <w:r>
        <w:rPr>
          <w:rFonts w:hint="default" w:ascii="Times New Roman" w:hAnsi="Times New Roman" w:eastAsia="宋体" w:cs="Times New Roman"/>
          <w:color w:val="auto"/>
          <w:highlight w:val="none"/>
          <w:vertAlign w:val="subscript"/>
        </w:rPr>
        <w:t>M</w:t>
      </w:r>
      <w:r>
        <w:rPr>
          <w:rFonts w:hint="default" w:ascii="Times New Roman" w:hAnsi="Times New Roman" w:eastAsia="宋体" w:cs="Times New Roman"/>
          <w:color w:val="auto"/>
          <w:highlight w:val="none"/>
        </w:rPr>
        <w:t>—蒸发极限深度标高（m）；</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i/>
          <w:iCs/>
          <w:color w:val="auto"/>
          <w:highlight w:val="none"/>
        </w:rPr>
        <w:t>ε</w:t>
      </w:r>
      <w:r>
        <w:rPr>
          <w:rFonts w:hint="default" w:ascii="Times New Roman" w:hAnsi="Times New Roman" w:eastAsia="宋体" w:cs="Times New Roman"/>
          <w:color w:val="auto"/>
          <w:highlight w:val="none"/>
        </w:rPr>
        <w:t>—为潜水蒸发强度（m/d）；</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evap—为各种岩性的蒸发系数（m/d）；</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n—为蒸发指数，本模型取值为1。</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ODFLOW提供EVT子程序包处理地下水蒸发问题，所需的参数有：最大蒸发速率，及其最大蒸发发生的地面高程，及其蒸发的极限深度。EVT子程序包根据上述公式及模型中给定的参数自动计算出不同地下水位埋深条件下的地下水蒸发量。</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使用的地面高程值来自1:5万数字地形数据中的DEM数据。对于最大蒸发速率，参考鞍山地区的多年年平均蒸发量1700mm，即为0.004058m/d，极限蒸发深度设定为6m。</w:t>
      </w:r>
    </w:p>
    <w:p>
      <w:pPr>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5240020" cy="5392420"/>
            <wp:effectExtent l="0" t="0" r="17780" b="17780"/>
            <wp:docPr id="31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65"/>
                    <pic:cNvPicPr>
                      <a:picLocks noChangeAspect="1"/>
                    </pic:cNvPicPr>
                  </pic:nvPicPr>
                  <pic:blipFill>
                    <a:blip r:embed="rId185"/>
                    <a:stretch>
                      <a:fillRect/>
                    </a:stretch>
                  </pic:blipFill>
                  <pic:spPr>
                    <a:xfrm>
                      <a:off x="0" y="0"/>
                      <a:ext cx="5240020" cy="5392420"/>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6.2-14</w:t>
      </w:r>
      <w:r>
        <w:rPr>
          <w:rFonts w:hint="default" w:ascii="Times New Roman" w:hAnsi="Times New Roman" w:eastAsia="宋体" w:cs="Times New Roman"/>
          <w:b/>
          <w:color w:val="auto"/>
          <w:highlight w:val="none"/>
        </w:rPr>
        <w:t>地下水流场图</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地下水流场空间分布：参考项目区区域水文地质资料，应用GMS的MODFLOW模块运行地下水模型后获得的地下水流场作为本次模型模拟运移的基准流场（图</w:t>
      </w:r>
      <w:r>
        <w:rPr>
          <w:rFonts w:hint="default" w:ascii="Times New Roman" w:hAnsi="Times New Roman" w:eastAsia="宋体" w:cs="Times New Roman"/>
          <w:color w:val="auto"/>
          <w:highlight w:val="none"/>
          <w:lang w:val="en-US" w:eastAsia="zh-CN"/>
        </w:rPr>
        <w:t>6.2-14</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（3）预测结果</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最大运移距离：含水层中特征因子在地下水中运移的最远距离。</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影响范围：含水层中特征因子浓度的分布面积。</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最大超标距离：含水层中特征因子超过相应标准值的运移距离。</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超标范围：含水层中特征因子超过相应标准值的分布面积。</w:t>
      </w:r>
    </w:p>
    <w:p>
      <w:pPr>
        <w:pStyle w:val="37"/>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w:t>
      </w:r>
      <w:r>
        <w:rPr>
          <w:rFonts w:hint="eastAsia" w:ascii="Times New Roman" w:hAnsi="Times New Roman" w:eastAsia="宋体" w:cs="Times New Roman"/>
          <w:b/>
          <w:bCs/>
          <w:color w:val="auto"/>
          <w:highlight w:val="none"/>
          <w:lang w:val="en-US" w:eastAsia="zh-CN"/>
        </w:rPr>
        <w:t>回填采坑铁</w:t>
      </w:r>
      <w:r>
        <w:rPr>
          <w:rFonts w:hint="default" w:ascii="Times New Roman" w:hAnsi="Times New Roman" w:eastAsia="宋体" w:cs="Times New Roman"/>
          <w:b/>
          <w:bCs/>
          <w:color w:val="auto"/>
          <w:highlight w:val="none"/>
          <w:lang w:val="en-US" w:eastAsia="zh-CN"/>
        </w:rPr>
        <w:t>预测结果</w:t>
      </w:r>
    </w:p>
    <w:p>
      <w:pPr>
        <w:ind w:firstLine="480"/>
        <w:rPr>
          <w:rFonts w:hint="default" w:ascii="Times New Roman" w:hAnsi="Times New Roman" w:eastAsia="宋体" w:cs="Times New Roman"/>
          <w:color w:val="auto"/>
          <w:highlight w:val="none"/>
        </w:rPr>
      </w:pPr>
      <w:r>
        <w:rPr>
          <w:rFonts w:hint="eastAsia" w:cs="Times New Roman"/>
          <w:color w:val="auto"/>
          <w:highlight w:val="none"/>
          <w:lang w:val="en-US" w:eastAsia="zh-CN"/>
        </w:rPr>
        <w:t>锰</w:t>
      </w:r>
      <w:r>
        <w:rPr>
          <w:rFonts w:hint="default" w:ascii="Times New Roman" w:hAnsi="Times New Roman" w:eastAsia="宋体" w:cs="Times New Roman"/>
          <w:color w:val="auto"/>
          <w:highlight w:val="none"/>
        </w:rPr>
        <w:t>根据《地下水质量标准》（GB/T14848-2017）III类标准，标准值：≤</w:t>
      </w:r>
      <w:r>
        <w:rPr>
          <w:rFonts w:hint="default" w:ascii="Times New Roman" w:hAnsi="Times New Roman" w:eastAsia="宋体" w:cs="Times New Roman"/>
          <w:color w:val="auto"/>
          <w:highlight w:val="none"/>
          <w:lang w:val="en-US" w:eastAsia="zh-CN"/>
        </w:rPr>
        <w:t>0.</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mg/L。特征因子在地下水中扩散运移预测结果见表</w:t>
      </w:r>
      <w:r>
        <w:rPr>
          <w:rFonts w:hint="default" w:ascii="Times New Roman" w:hAnsi="Times New Roman" w:eastAsia="宋体" w:cs="Times New Roman"/>
          <w:color w:val="auto"/>
          <w:highlight w:val="none"/>
          <w:lang w:val="en-US" w:eastAsia="zh-CN"/>
        </w:rPr>
        <w:t>6.2-5</w:t>
      </w:r>
      <w:r>
        <w:rPr>
          <w:rFonts w:hint="default" w:ascii="Times New Roman" w:hAnsi="Times New Roman" w:eastAsia="宋体" w:cs="Times New Roman"/>
          <w:color w:val="auto"/>
          <w:highlight w:val="none"/>
        </w:rPr>
        <w:t>及图</w:t>
      </w:r>
      <w:r>
        <w:rPr>
          <w:rFonts w:hint="default" w:ascii="Times New Roman" w:hAnsi="Times New Roman" w:eastAsia="宋体" w:cs="Times New Roman"/>
          <w:color w:val="auto"/>
          <w:highlight w:val="none"/>
          <w:lang w:val="en-US" w:eastAsia="zh-CN"/>
        </w:rPr>
        <w:t>6.2-15</w:t>
      </w:r>
      <w:r>
        <w:rPr>
          <w:rFonts w:hint="default" w:ascii="Times New Roman" w:hAnsi="Times New Roman" w:eastAsia="宋体" w:cs="Times New Roman"/>
          <w:color w:val="auto"/>
          <w:highlight w:val="none"/>
        </w:rPr>
        <w:t>至</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6.2-5</w:t>
      </w:r>
      <w:r>
        <w:rPr>
          <w:rFonts w:hint="default" w:ascii="Times New Roman" w:hAnsi="Times New Roman" w:eastAsia="宋体" w:cs="Times New Roman"/>
          <w:b/>
          <w:color w:val="auto"/>
          <w:sz w:val="21"/>
          <w:szCs w:val="21"/>
          <w:highlight w:val="none"/>
        </w:rPr>
        <w:t>特征因子在含水层中扩散运移预测结果表</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1"/>
        <w:gridCol w:w="1080"/>
        <w:gridCol w:w="1235"/>
        <w:gridCol w:w="1236"/>
        <w:gridCol w:w="1084"/>
        <w:gridCol w:w="1078"/>
        <w:gridCol w:w="1365"/>
        <w:gridCol w:w="10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6" w:type="pct"/>
            <w:vMerge w:val="restar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情景设定</w:t>
            </w:r>
          </w:p>
        </w:tc>
        <w:tc>
          <w:tcPr>
            <w:tcW w:w="581" w:type="pct"/>
            <w:vMerge w:val="restar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泄漏点</w:t>
            </w:r>
          </w:p>
        </w:tc>
        <w:tc>
          <w:tcPr>
            <w:tcW w:w="664" w:type="pct"/>
            <w:vMerge w:val="restar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特征因子</w:t>
            </w:r>
          </w:p>
        </w:tc>
        <w:tc>
          <w:tcPr>
            <w:tcW w:w="665" w:type="pct"/>
            <w:vMerge w:val="restar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预测年限</w:t>
            </w:r>
          </w:p>
        </w:tc>
        <w:tc>
          <w:tcPr>
            <w:tcW w:w="583"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最大运移距离</w:t>
            </w:r>
          </w:p>
        </w:tc>
        <w:tc>
          <w:tcPr>
            <w:tcW w:w="580"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影响范围</w:t>
            </w:r>
          </w:p>
        </w:tc>
        <w:tc>
          <w:tcPr>
            <w:tcW w:w="734"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最大超标距离</w:t>
            </w:r>
          </w:p>
        </w:tc>
        <w:tc>
          <w:tcPr>
            <w:tcW w:w="542"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超标范围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6"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581"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664"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665"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583"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m</w:t>
            </w:r>
          </w:p>
        </w:tc>
        <w:tc>
          <w:tcPr>
            <w:tcW w:w="580"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m</w:t>
            </w:r>
            <w:r>
              <w:rPr>
                <w:rFonts w:hint="default" w:ascii="Times New Roman" w:hAnsi="Times New Roman" w:eastAsia="宋体" w:cs="Times New Roman"/>
                <w:color w:val="auto"/>
                <w:kern w:val="0"/>
                <w:szCs w:val="21"/>
                <w:highlight w:val="none"/>
                <w:vertAlign w:val="superscript"/>
              </w:rPr>
              <w:t>2</w:t>
            </w:r>
          </w:p>
        </w:tc>
        <w:tc>
          <w:tcPr>
            <w:tcW w:w="734"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m</w:t>
            </w:r>
          </w:p>
        </w:tc>
        <w:tc>
          <w:tcPr>
            <w:tcW w:w="542"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m</w:t>
            </w:r>
            <w:r>
              <w:rPr>
                <w:rFonts w:hint="default" w:ascii="Times New Roman" w:hAnsi="Times New Roman" w:eastAsia="宋体" w:cs="Times New Roman"/>
                <w:color w:val="auto"/>
                <w:kern w:val="0"/>
                <w:szCs w:val="21"/>
                <w:highlight w:val="none"/>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6" w:type="pct"/>
            <w:vMerge w:val="restar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废矿石淋溶液污染运移</w:t>
            </w:r>
          </w:p>
        </w:tc>
        <w:tc>
          <w:tcPr>
            <w:tcW w:w="581" w:type="pct"/>
            <w:vMerge w:val="restar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eastAsia="宋体" w:cs="Times New Roman"/>
                <w:color w:val="auto"/>
                <w:kern w:val="0"/>
                <w:szCs w:val="21"/>
                <w:highlight w:val="none"/>
                <w:lang w:val="en-US" w:eastAsia="zh-CN"/>
              </w:rPr>
              <w:t>回填采坑</w:t>
            </w:r>
          </w:p>
        </w:tc>
        <w:tc>
          <w:tcPr>
            <w:tcW w:w="664" w:type="pct"/>
            <w:vMerge w:val="restar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锰</w:t>
            </w:r>
          </w:p>
        </w:tc>
        <w:tc>
          <w:tcPr>
            <w:tcW w:w="665"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100d</w:t>
            </w:r>
          </w:p>
        </w:tc>
        <w:tc>
          <w:tcPr>
            <w:tcW w:w="583" w:type="pc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rPr>
            </w:pPr>
            <w:r>
              <w:rPr>
                <w:rFonts w:hint="eastAsia" w:cs="Times New Roman"/>
                <w:color w:val="auto"/>
                <w:kern w:val="0"/>
                <w:szCs w:val="21"/>
                <w:highlight w:val="none"/>
                <w:lang w:val="en-US" w:eastAsia="zh-CN"/>
              </w:rPr>
              <w:t>13</w:t>
            </w:r>
          </w:p>
        </w:tc>
        <w:tc>
          <w:tcPr>
            <w:tcW w:w="580" w:type="pc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val="en-US" w:eastAsia="zh-CN"/>
              </w:rPr>
              <w:t>6</w:t>
            </w:r>
            <w:r>
              <w:rPr>
                <w:rFonts w:hint="default" w:ascii="Times New Roman" w:hAnsi="Times New Roman" w:eastAsia="宋体" w:cs="Times New Roman"/>
                <w:color w:val="auto"/>
                <w:kern w:val="0"/>
                <w:szCs w:val="21"/>
                <w:highlight w:val="none"/>
              </w:rPr>
              <w:t>56</w:t>
            </w:r>
          </w:p>
        </w:tc>
        <w:tc>
          <w:tcPr>
            <w:tcW w:w="734" w:type="pct"/>
            <w:vMerge w:val="restar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p>
        </w:tc>
        <w:tc>
          <w:tcPr>
            <w:tcW w:w="542" w:type="pct"/>
            <w:vMerge w:val="restar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6"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581"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664"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665"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1000d</w:t>
            </w:r>
          </w:p>
        </w:tc>
        <w:tc>
          <w:tcPr>
            <w:tcW w:w="583" w:type="pc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61</w:t>
            </w:r>
          </w:p>
        </w:tc>
        <w:tc>
          <w:tcPr>
            <w:tcW w:w="580" w:type="pc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eastAsia" w:cs="Times New Roman"/>
                <w:color w:val="auto"/>
                <w:kern w:val="0"/>
                <w:szCs w:val="21"/>
                <w:highlight w:val="none"/>
                <w:lang w:val="en-US" w:eastAsia="zh-CN"/>
              </w:rPr>
              <w:t>16</w:t>
            </w:r>
            <w:r>
              <w:rPr>
                <w:rFonts w:hint="default" w:ascii="Times New Roman" w:hAnsi="Times New Roman" w:eastAsia="宋体" w:cs="Times New Roman"/>
                <w:color w:val="auto"/>
                <w:kern w:val="0"/>
                <w:szCs w:val="21"/>
                <w:highlight w:val="none"/>
              </w:rPr>
              <w:t>84</w:t>
            </w:r>
          </w:p>
        </w:tc>
        <w:tc>
          <w:tcPr>
            <w:tcW w:w="734" w:type="pct"/>
            <w:vMerge w:val="continue"/>
            <w:tcBorders>
              <w:tl2br w:val="nil"/>
              <w:tr2bl w:val="nil"/>
            </w:tcBorders>
            <w:shd w:val="clear" w:color="auto" w:fill="auto"/>
            <w:noWrap/>
            <w:vAlign w:val="center"/>
          </w:tcPr>
          <w:p>
            <w:pPr>
              <w:spacing w:line="240" w:lineRule="auto"/>
              <w:ind w:firstLine="480"/>
              <w:jc w:val="center"/>
              <w:rPr>
                <w:rFonts w:hint="default" w:ascii="Times New Roman" w:hAnsi="Times New Roman" w:eastAsia="宋体" w:cs="Times New Roman"/>
                <w:color w:val="auto"/>
                <w:kern w:val="0"/>
                <w:szCs w:val="21"/>
                <w:highlight w:val="none"/>
              </w:rPr>
            </w:pPr>
          </w:p>
        </w:tc>
        <w:tc>
          <w:tcPr>
            <w:tcW w:w="542" w:type="pct"/>
            <w:vMerge w:val="continue"/>
            <w:tcBorders>
              <w:tl2br w:val="nil"/>
              <w:tr2bl w:val="nil"/>
            </w:tcBorders>
            <w:shd w:val="clear" w:color="auto" w:fill="auto"/>
            <w:noWrap/>
            <w:vAlign w:val="center"/>
          </w:tcPr>
          <w:p>
            <w:pPr>
              <w:spacing w:line="240" w:lineRule="auto"/>
              <w:ind w:firstLine="480"/>
              <w:jc w:val="center"/>
              <w:rPr>
                <w:rFonts w:hint="default" w:ascii="Times New Roman" w:hAnsi="Times New Roman" w:eastAsia="宋体" w:cs="Times New Roman"/>
                <w:color w:val="auto"/>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46"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581"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664" w:type="pct"/>
            <w:vMerge w:val="continue"/>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p>
        </w:tc>
        <w:tc>
          <w:tcPr>
            <w:tcW w:w="665" w:type="pct"/>
            <w:tcBorders>
              <w:tl2br w:val="nil"/>
              <w:tr2bl w:val="nil"/>
            </w:tcBorders>
            <w:shd w:val="clear" w:color="auto" w:fill="auto"/>
            <w:noWrap w:val="0"/>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lang w:val="en-US" w:eastAsia="zh-CN"/>
              </w:rPr>
              <w:t>2160</w:t>
            </w:r>
            <w:r>
              <w:rPr>
                <w:rFonts w:hint="default" w:ascii="Times New Roman" w:hAnsi="Times New Roman" w:eastAsia="宋体" w:cs="Times New Roman"/>
                <w:color w:val="auto"/>
                <w:kern w:val="0"/>
                <w:szCs w:val="21"/>
                <w:highlight w:val="none"/>
              </w:rPr>
              <w:t>d</w:t>
            </w:r>
          </w:p>
        </w:tc>
        <w:tc>
          <w:tcPr>
            <w:tcW w:w="583" w:type="pc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eastAsia" w:cs="Times New Roman"/>
                <w:color w:val="auto"/>
                <w:kern w:val="0"/>
                <w:szCs w:val="21"/>
                <w:highlight w:val="none"/>
                <w:lang w:val="en-US" w:eastAsia="zh-CN"/>
              </w:rPr>
              <w:t>25</w:t>
            </w:r>
            <w:r>
              <w:rPr>
                <w:rFonts w:hint="default" w:ascii="Times New Roman" w:hAnsi="Times New Roman" w:eastAsia="宋体" w:cs="Times New Roman"/>
                <w:color w:val="auto"/>
                <w:kern w:val="0"/>
                <w:szCs w:val="21"/>
                <w:highlight w:val="none"/>
              </w:rPr>
              <w:t>9</w:t>
            </w:r>
          </w:p>
        </w:tc>
        <w:tc>
          <w:tcPr>
            <w:tcW w:w="580" w:type="pct"/>
            <w:tcBorders>
              <w:tl2br w:val="nil"/>
              <w:tr2bl w:val="nil"/>
            </w:tcBorders>
            <w:shd w:val="clear" w:color="auto" w:fill="auto"/>
            <w:noWrap/>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rPr>
            </w:pPr>
            <w:r>
              <w:rPr>
                <w:rFonts w:hint="eastAsia" w:cs="Times New Roman"/>
                <w:color w:val="auto"/>
                <w:kern w:val="0"/>
                <w:szCs w:val="21"/>
                <w:highlight w:val="none"/>
                <w:lang w:val="en-US" w:eastAsia="zh-CN"/>
              </w:rPr>
              <w:t>34</w:t>
            </w:r>
            <w:r>
              <w:rPr>
                <w:rFonts w:hint="default" w:ascii="Times New Roman" w:hAnsi="Times New Roman" w:eastAsia="宋体" w:cs="Times New Roman"/>
                <w:color w:val="auto"/>
                <w:kern w:val="0"/>
                <w:szCs w:val="21"/>
                <w:highlight w:val="none"/>
              </w:rPr>
              <w:t>51</w:t>
            </w:r>
          </w:p>
        </w:tc>
        <w:tc>
          <w:tcPr>
            <w:tcW w:w="734" w:type="pct"/>
            <w:vMerge w:val="continue"/>
            <w:tcBorders>
              <w:tl2br w:val="nil"/>
              <w:tr2bl w:val="nil"/>
            </w:tcBorders>
            <w:shd w:val="clear" w:color="auto" w:fill="auto"/>
            <w:noWrap/>
            <w:vAlign w:val="center"/>
          </w:tcPr>
          <w:p>
            <w:pPr>
              <w:spacing w:line="240" w:lineRule="auto"/>
              <w:ind w:firstLine="480"/>
              <w:jc w:val="center"/>
              <w:rPr>
                <w:rFonts w:hint="default" w:ascii="Times New Roman" w:hAnsi="Times New Roman" w:eastAsia="宋体" w:cs="Times New Roman"/>
                <w:color w:val="auto"/>
                <w:kern w:val="0"/>
                <w:szCs w:val="21"/>
                <w:highlight w:val="none"/>
              </w:rPr>
            </w:pPr>
          </w:p>
        </w:tc>
        <w:tc>
          <w:tcPr>
            <w:tcW w:w="542" w:type="pct"/>
            <w:vMerge w:val="continue"/>
            <w:tcBorders>
              <w:tl2br w:val="nil"/>
              <w:tr2bl w:val="nil"/>
            </w:tcBorders>
            <w:shd w:val="clear" w:color="auto" w:fill="auto"/>
            <w:noWrap/>
            <w:vAlign w:val="center"/>
          </w:tcPr>
          <w:p>
            <w:pPr>
              <w:spacing w:line="240" w:lineRule="auto"/>
              <w:ind w:firstLine="480"/>
              <w:jc w:val="center"/>
              <w:rPr>
                <w:rFonts w:hint="default" w:ascii="Times New Roman" w:hAnsi="Times New Roman" w:eastAsia="宋体" w:cs="Times New Roman"/>
                <w:color w:val="auto"/>
                <w:kern w:val="0"/>
                <w:szCs w:val="21"/>
                <w:highlight w:val="none"/>
              </w:rPr>
            </w:pPr>
          </w:p>
        </w:tc>
      </w:tr>
    </w:tbl>
    <w:p>
      <w:pPr>
        <w:ind w:left="0" w:leftChars="0" w:firstLine="0" w:firstLineChars="0"/>
        <w:jc w:val="center"/>
        <w:rPr>
          <w:rFonts w:hint="default" w:ascii="Times New Roman" w:hAnsi="Times New Roman" w:eastAsia="宋体" w:cs="Times New Roman"/>
          <w:b/>
          <w:color w:val="auto"/>
          <w:highlight w:val="none"/>
          <w:lang w:eastAsia="zh-CN"/>
        </w:rPr>
      </w:pPr>
      <w:r>
        <w:rPr>
          <w:color w:val="auto"/>
        </w:rPr>
        <w:drawing>
          <wp:inline distT="0" distB="0" distL="114300" distR="114300">
            <wp:extent cx="4211320" cy="4196715"/>
            <wp:effectExtent l="0" t="0" r="17780" b="13335"/>
            <wp:docPr id="9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1"/>
                    <pic:cNvPicPr>
                      <a:picLocks noChangeAspect="1"/>
                    </pic:cNvPicPr>
                  </pic:nvPicPr>
                  <pic:blipFill>
                    <a:blip r:embed="rId186"/>
                    <a:stretch>
                      <a:fillRect/>
                    </a:stretch>
                  </pic:blipFill>
                  <pic:spPr>
                    <a:xfrm>
                      <a:off x="0" y="0"/>
                      <a:ext cx="4211320" cy="4196715"/>
                    </a:xfrm>
                    <a:prstGeom prst="rect">
                      <a:avLst/>
                    </a:prstGeom>
                    <a:noFill/>
                    <a:ln>
                      <a:noFill/>
                    </a:ln>
                  </pic:spPr>
                </pic:pic>
              </a:graphicData>
            </a:graphic>
          </wp:inline>
        </w:drawing>
      </w:r>
    </w:p>
    <w:p>
      <w:pPr>
        <w:ind w:left="0" w:leftChars="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6.2-15</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泄漏100d</w:t>
      </w:r>
      <w:r>
        <w:rPr>
          <w:rFonts w:hint="eastAsia" w:cs="Times New Roman"/>
          <w:b/>
          <w:color w:val="auto"/>
          <w:highlight w:val="none"/>
          <w:lang w:val="en-US" w:eastAsia="zh-CN"/>
        </w:rPr>
        <w:t>锰</w:t>
      </w:r>
      <w:r>
        <w:rPr>
          <w:rFonts w:hint="default" w:ascii="Times New Roman" w:hAnsi="Times New Roman" w:eastAsia="宋体" w:cs="Times New Roman"/>
          <w:b/>
          <w:color w:val="auto"/>
          <w:highlight w:val="none"/>
        </w:rPr>
        <w:t>在地下水中浓度值及扩散面积</w:t>
      </w:r>
    </w:p>
    <w:p>
      <w:pPr>
        <w:ind w:left="0" w:leftChars="0" w:firstLine="0" w:firstLineChars="0"/>
        <w:jc w:val="center"/>
        <w:rPr>
          <w:rFonts w:hint="default" w:ascii="Times New Roman" w:hAnsi="Times New Roman" w:eastAsia="宋体" w:cs="Times New Roman"/>
          <w:b/>
          <w:color w:val="auto"/>
          <w:highlight w:val="none"/>
        </w:rPr>
      </w:pPr>
      <w:r>
        <w:rPr>
          <w:color w:val="auto"/>
        </w:rPr>
        <w:drawing>
          <wp:inline distT="0" distB="0" distL="114300" distR="114300">
            <wp:extent cx="4057650" cy="4069715"/>
            <wp:effectExtent l="0" t="0" r="0" b="6985"/>
            <wp:docPr id="10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2"/>
                    <pic:cNvPicPr>
                      <a:picLocks noChangeAspect="1"/>
                    </pic:cNvPicPr>
                  </pic:nvPicPr>
                  <pic:blipFill>
                    <a:blip r:embed="rId187"/>
                    <a:stretch>
                      <a:fillRect/>
                    </a:stretch>
                  </pic:blipFill>
                  <pic:spPr>
                    <a:xfrm>
                      <a:off x="0" y="0"/>
                      <a:ext cx="4057650" cy="406971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6.2-16</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泄漏1000d</w:t>
      </w:r>
      <w:r>
        <w:rPr>
          <w:rFonts w:hint="eastAsia" w:cs="Times New Roman"/>
          <w:b/>
          <w:color w:val="auto"/>
          <w:highlight w:val="none"/>
          <w:lang w:val="en-US" w:eastAsia="zh-CN"/>
        </w:rPr>
        <w:t>锰</w:t>
      </w:r>
      <w:r>
        <w:rPr>
          <w:rFonts w:hint="default" w:ascii="Times New Roman" w:hAnsi="Times New Roman" w:eastAsia="宋体" w:cs="Times New Roman"/>
          <w:b/>
          <w:color w:val="auto"/>
          <w:highlight w:val="none"/>
        </w:rPr>
        <w:t>在地下水中浓度值及扩散面积</w:t>
      </w:r>
    </w:p>
    <w:p>
      <w:pPr>
        <w:ind w:left="0" w:leftChars="0" w:firstLine="0" w:firstLineChars="0"/>
        <w:jc w:val="center"/>
        <w:rPr>
          <w:rFonts w:hint="default" w:ascii="Times New Roman" w:hAnsi="Times New Roman" w:eastAsia="宋体" w:cs="Times New Roman"/>
          <w:b/>
          <w:color w:val="auto"/>
          <w:highlight w:val="none"/>
        </w:rPr>
      </w:pPr>
      <w:r>
        <w:rPr>
          <w:color w:val="auto"/>
        </w:rPr>
        <w:drawing>
          <wp:inline distT="0" distB="0" distL="114300" distR="114300">
            <wp:extent cx="3940810" cy="3926205"/>
            <wp:effectExtent l="0" t="0" r="2540" b="17145"/>
            <wp:docPr id="10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3"/>
                    <pic:cNvPicPr>
                      <a:picLocks noChangeAspect="1"/>
                    </pic:cNvPicPr>
                  </pic:nvPicPr>
                  <pic:blipFill>
                    <a:blip r:embed="rId188"/>
                    <a:stretch>
                      <a:fillRect/>
                    </a:stretch>
                  </pic:blipFill>
                  <pic:spPr>
                    <a:xfrm>
                      <a:off x="0" y="0"/>
                      <a:ext cx="3940810" cy="392620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6.2-17</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w:t>
      </w:r>
      <w:r>
        <w:rPr>
          <w:rFonts w:hint="default" w:ascii="Times New Roman" w:hAnsi="Times New Roman" w:eastAsia="宋体" w:cs="Times New Roman"/>
          <w:b/>
          <w:color w:val="auto"/>
          <w:highlight w:val="none"/>
          <w:lang w:val="en-US" w:eastAsia="zh-CN"/>
        </w:rPr>
        <w:t>2160</w:t>
      </w:r>
      <w:r>
        <w:rPr>
          <w:rFonts w:hint="default" w:ascii="Times New Roman" w:hAnsi="Times New Roman" w:eastAsia="宋体" w:cs="Times New Roman"/>
          <w:b/>
          <w:color w:val="auto"/>
          <w:highlight w:val="none"/>
        </w:rPr>
        <w:t>d</w:t>
      </w:r>
      <w:r>
        <w:rPr>
          <w:rFonts w:hint="eastAsia" w:cs="Times New Roman"/>
          <w:b/>
          <w:color w:val="auto"/>
          <w:highlight w:val="none"/>
          <w:lang w:val="en-US" w:eastAsia="zh-CN"/>
        </w:rPr>
        <w:t>锰</w:t>
      </w:r>
      <w:r>
        <w:rPr>
          <w:rFonts w:hint="default" w:ascii="Times New Roman" w:hAnsi="Times New Roman" w:eastAsia="宋体" w:cs="Times New Roman"/>
          <w:b/>
          <w:color w:val="auto"/>
          <w:highlight w:val="none"/>
        </w:rPr>
        <w:t>在地下水中浓度值及扩散面积</w:t>
      </w:r>
    </w:p>
    <w:p>
      <w:pPr>
        <w:pStyle w:val="37"/>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2）石油类预测结果</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石油类以《生活饮用水卫生标准》（GB5479-2006）中石油类标准（0.3mg/L）作为污染羽的最小值。将上述源强信息代入模型，得出模拟结论。模拟结果如下：</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6.2-6  石油类</w:t>
      </w:r>
      <w:r>
        <w:rPr>
          <w:rFonts w:hint="default" w:ascii="Times New Roman" w:hAnsi="Times New Roman" w:eastAsia="宋体" w:cs="Times New Roman"/>
          <w:b/>
          <w:color w:val="auto"/>
          <w:sz w:val="21"/>
          <w:szCs w:val="21"/>
          <w:highlight w:val="none"/>
        </w:rPr>
        <w:t>在含水层中扩散运移预测结果表</w:t>
      </w:r>
    </w:p>
    <w:tbl>
      <w:tblPr>
        <w:tblStyle w:val="45"/>
        <w:tblW w:w="0" w:type="auto"/>
        <w:tblInd w:w="0" w:type="dxa"/>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Layout w:type="autofit"/>
        <w:tblCellMar>
          <w:top w:w="0" w:type="dxa"/>
          <w:left w:w="108" w:type="dxa"/>
          <w:bottom w:w="0" w:type="dxa"/>
          <w:right w:w="108" w:type="dxa"/>
        </w:tblCellMar>
      </w:tblPr>
      <w:tblGrid>
        <w:gridCol w:w="1383"/>
        <w:gridCol w:w="1277"/>
        <w:gridCol w:w="1843"/>
        <w:gridCol w:w="1134"/>
        <w:gridCol w:w="1700"/>
        <w:gridCol w:w="1949"/>
      </w:tblGrid>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c>
          <w:tcPr>
            <w:tcW w:w="138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运移时间</w:t>
            </w:r>
          </w:p>
        </w:tc>
        <w:tc>
          <w:tcPr>
            <w:tcW w:w="1277"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污染羽中心浓度</w:t>
            </w:r>
          </w:p>
        </w:tc>
        <w:tc>
          <w:tcPr>
            <w:tcW w:w="184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污染中心位置</w:t>
            </w:r>
          </w:p>
        </w:tc>
        <w:tc>
          <w:tcPr>
            <w:tcW w:w="1134"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是否到达敏感点</w:t>
            </w:r>
          </w:p>
        </w:tc>
        <w:tc>
          <w:tcPr>
            <w:tcW w:w="1700"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与敏感点的</w:t>
            </w:r>
          </w:p>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距离（贾家堡子）</w:t>
            </w:r>
          </w:p>
        </w:tc>
        <w:tc>
          <w:tcPr>
            <w:tcW w:w="1949"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对敏感点</w:t>
            </w:r>
          </w:p>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影响浓度</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138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100天</w:t>
            </w:r>
          </w:p>
        </w:tc>
        <w:tc>
          <w:tcPr>
            <w:tcW w:w="1277"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0.68mg/L</w:t>
            </w:r>
          </w:p>
        </w:tc>
        <w:tc>
          <w:tcPr>
            <w:tcW w:w="184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回填采坑</w:t>
            </w:r>
          </w:p>
        </w:tc>
        <w:tc>
          <w:tcPr>
            <w:tcW w:w="1134"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1700"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1324米</w:t>
            </w:r>
          </w:p>
        </w:tc>
        <w:tc>
          <w:tcPr>
            <w:tcW w:w="1949"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9" w:hRule="atLeast"/>
        </w:trPr>
        <w:tc>
          <w:tcPr>
            <w:tcW w:w="138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410天</w:t>
            </w:r>
          </w:p>
        </w:tc>
        <w:tc>
          <w:tcPr>
            <w:tcW w:w="1277" w:type="dxa"/>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0.68mg/L</w:t>
            </w:r>
          </w:p>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0.79mg/L</w:t>
            </w:r>
          </w:p>
        </w:tc>
        <w:tc>
          <w:tcPr>
            <w:tcW w:w="184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回填采坑</w:t>
            </w:r>
          </w:p>
        </w:tc>
        <w:tc>
          <w:tcPr>
            <w:tcW w:w="1134"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1700" w:type="dxa"/>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1254米</w:t>
            </w:r>
          </w:p>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1257米</w:t>
            </w:r>
          </w:p>
        </w:tc>
        <w:tc>
          <w:tcPr>
            <w:tcW w:w="1949"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138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500天</w:t>
            </w:r>
          </w:p>
        </w:tc>
        <w:tc>
          <w:tcPr>
            <w:tcW w:w="1277" w:type="dxa"/>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p>
        </w:tc>
        <w:tc>
          <w:tcPr>
            <w:tcW w:w="184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回填采坑</w:t>
            </w:r>
          </w:p>
        </w:tc>
        <w:tc>
          <w:tcPr>
            <w:tcW w:w="1134"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1700" w:type="dxa"/>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p>
        </w:tc>
        <w:tc>
          <w:tcPr>
            <w:tcW w:w="1949"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138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1000天</w:t>
            </w:r>
          </w:p>
        </w:tc>
        <w:tc>
          <w:tcPr>
            <w:tcW w:w="1277" w:type="dxa"/>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p>
        </w:tc>
        <w:tc>
          <w:tcPr>
            <w:tcW w:w="184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回填采坑</w:t>
            </w:r>
          </w:p>
        </w:tc>
        <w:tc>
          <w:tcPr>
            <w:tcW w:w="1134"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1700" w:type="dxa"/>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p>
        </w:tc>
        <w:tc>
          <w:tcPr>
            <w:tcW w:w="1949"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138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1250天</w:t>
            </w:r>
          </w:p>
        </w:tc>
        <w:tc>
          <w:tcPr>
            <w:tcW w:w="1277"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0.64mg/L</w:t>
            </w:r>
          </w:p>
        </w:tc>
        <w:tc>
          <w:tcPr>
            <w:tcW w:w="1843" w:type="dxa"/>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回填采坑</w:t>
            </w:r>
          </w:p>
        </w:tc>
        <w:tc>
          <w:tcPr>
            <w:tcW w:w="1134"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1700"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1253米</w:t>
            </w:r>
          </w:p>
        </w:tc>
        <w:tc>
          <w:tcPr>
            <w:tcW w:w="1949"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138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1290天</w:t>
            </w:r>
          </w:p>
        </w:tc>
        <w:tc>
          <w:tcPr>
            <w:tcW w:w="1277"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0.36mg/L</w:t>
            </w:r>
          </w:p>
        </w:tc>
        <w:tc>
          <w:tcPr>
            <w:tcW w:w="184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南侧厂界</w:t>
            </w:r>
          </w:p>
        </w:tc>
        <w:tc>
          <w:tcPr>
            <w:tcW w:w="1134"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1700"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1215米</w:t>
            </w:r>
          </w:p>
        </w:tc>
        <w:tc>
          <w:tcPr>
            <w:tcW w:w="1949"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138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2160天</w:t>
            </w:r>
          </w:p>
        </w:tc>
        <w:tc>
          <w:tcPr>
            <w:tcW w:w="1277"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0.31mg/L</w:t>
            </w:r>
          </w:p>
        </w:tc>
        <w:tc>
          <w:tcPr>
            <w:tcW w:w="184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南侧厂界外18m</w:t>
            </w:r>
          </w:p>
        </w:tc>
        <w:tc>
          <w:tcPr>
            <w:tcW w:w="1134"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1700"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1132米</w:t>
            </w:r>
          </w:p>
        </w:tc>
        <w:tc>
          <w:tcPr>
            <w:tcW w:w="1949"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bl>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color w:val="auto"/>
          <w:highlight w:val="none"/>
        </w:rPr>
        <w:drawing>
          <wp:inline distT="0" distB="0" distL="114300" distR="114300">
            <wp:extent cx="4384675" cy="4340860"/>
            <wp:effectExtent l="0" t="0" r="15875" b="2540"/>
            <wp:docPr id="31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63"/>
                    <pic:cNvPicPr>
                      <a:picLocks noChangeAspect="1"/>
                    </pic:cNvPicPr>
                  </pic:nvPicPr>
                  <pic:blipFill>
                    <a:blip r:embed="rId189"/>
                    <a:stretch>
                      <a:fillRect/>
                    </a:stretch>
                  </pic:blipFill>
                  <pic:spPr>
                    <a:xfrm>
                      <a:off x="0" y="0"/>
                      <a:ext cx="4384675" cy="4340860"/>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6.2-18</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w:t>
      </w:r>
      <w:r>
        <w:rPr>
          <w:rFonts w:hint="default" w:ascii="Times New Roman" w:hAnsi="Times New Roman" w:eastAsia="宋体" w:cs="Times New Roman"/>
          <w:b/>
          <w:color w:val="auto"/>
          <w:highlight w:val="none"/>
          <w:lang w:val="en-US" w:eastAsia="zh-CN"/>
        </w:rPr>
        <w:t>100</w:t>
      </w:r>
      <w:r>
        <w:rPr>
          <w:rFonts w:hint="default" w:ascii="Times New Roman" w:hAnsi="Times New Roman" w:eastAsia="宋体" w:cs="Times New Roman"/>
          <w:b/>
          <w:color w:val="auto"/>
          <w:highlight w:val="none"/>
        </w:rPr>
        <w:t>d</w:t>
      </w:r>
      <w:r>
        <w:rPr>
          <w:rFonts w:hint="default" w:ascii="Times New Roman" w:hAnsi="Times New Roman" w:eastAsia="宋体" w:cs="Times New Roman"/>
          <w:b/>
          <w:color w:val="auto"/>
          <w:highlight w:val="none"/>
          <w:lang w:val="en-US" w:eastAsia="zh-CN"/>
        </w:rPr>
        <w:t>石油类</w:t>
      </w:r>
      <w:r>
        <w:rPr>
          <w:rFonts w:hint="default" w:ascii="Times New Roman" w:hAnsi="Times New Roman" w:eastAsia="宋体" w:cs="Times New Roman"/>
          <w:b/>
          <w:color w:val="auto"/>
          <w:highlight w:val="none"/>
        </w:rPr>
        <w:t>在地下水中浓度值及扩散面积</w:t>
      </w:r>
    </w:p>
    <w:p>
      <w:pPr>
        <w:ind w:left="0" w:leftChars="0" w:firstLine="0" w:firstLineChars="0"/>
        <w:jc w:val="center"/>
        <w:rPr>
          <w:rFonts w:hint="default" w:ascii="Times New Roman" w:hAnsi="Times New Roman" w:eastAsia="宋体" w:cs="Times New Roman"/>
          <w:color w:val="auto"/>
          <w:highlight w:val="none"/>
        </w:rPr>
      </w:pPr>
      <w:r>
        <w:rPr>
          <w:color w:val="auto"/>
          <w:highlight w:val="none"/>
        </w:rPr>
        <w:drawing>
          <wp:inline distT="0" distB="0" distL="114300" distR="114300">
            <wp:extent cx="3999865" cy="3993515"/>
            <wp:effectExtent l="0" t="0" r="635" b="6985"/>
            <wp:docPr id="31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64"/>
                    <pic:cNvPicPr>
                      <a:picLocks noChangeAspect="1"/>
                    </pic:cNvPicPr>
                  </pic:nvPicPr>
                  <pic:blipFill>
                    <a:blip r:embed="rId190"/>
                    <a:stretch>
                      <a:fillRect/>
                    </a:stretch>
                  </pic:blipFill>
                  <pic:spPr>
                    <a:xfrm>
                      <a:off x="0" y="0"/>
                      <a:ext cx="3999865" cy="399351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6.2-19</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w:t>
      </w:r>
      <w:r>
        <w:rPr>
          <w:rFonts w:hint="default" w:ascii="Times New Roman" w:hAnsi="Times New Roman" w:eastAsia="宋体" w:cs="Times New Roman"/>
          <w:b/>
          <w:color w:val="auto"/>
          <w:highlight w:val="none"/>
          <w:lang w:val="en-US" w:eastAsia="zh-CN"/>
        </w:rPr>
        <w:t>1000</w:t>
      </w:r>
      <w:r>
        <w:rPr>
          <w:rFonts w:hint="default" w:ascii="Times New Roman" w:hAnsi="Times New Roman" w:eastAsia="宋体" w:cs="Times New Roman"/>
          <w:b/>
          <w:color w:val="auto"/>
          <w:highlight w:val="none"/>
        </w:rPr>
        <w:t>d</w:t>
      </w:r>
      <w:r>
        <w:rPr>
          <w:rFonts w:hint="default" w:ascii="Times New Roman" w:hAnsi="Times New Roman" w:eastAsia="宋体" w:cs="Times New Roman"/>
          <w:b/>
          <w:color w:val="auto"/>
          <w:highlight w:val="none"/>
          <w:lang w:val="en-US" w:eastAsia="zh-CN"/>
        </w:rPr>
        <w:t>石油类</w:t>
      </w:r>
      <w:r>
        <w:rPr>
          <w:rFonts w:hint="default" w:ascii="Times New Roman" w:hAnsi="Times New Roman" w:eastAsia="宋体" w:cs="Times New Roman"/>
          <w:b/>
          <w:color w:val="auto"/>
          <w:highlight w:val="none"/>
        </w:rPr>
        <w:t>在地下水中浓度值及扩散面积</w:t>
      </w:r>
    </w:p>
    <w:p>
      <w:pPr>
        <w:pStyle w:val="37"/>
        <w:ind w:left="0" w:leftChars="0" w:firstLine="0" w:firstLineChars="0"/>
        <w:jc w:val="center"/>
        <w:rPr>
          <w:rFonts w:hint="default" w:ascii="Times New Roman" w:hAnsi="Times New Roman" w:eastAsia="宋体" w:cs="Times New Roman"/>
          <w:b/>
          <w:color w:val="auto"/>
          <w:highlight w:val="none"/>
        </w:rPr>
      </w:pPr>
      <w:r>
        <w:rPr>
          <w:color w:val="auto"/>
          <w:highlight w:val="none"/>
        </w:rPr>
        <w:drawing>
          <wp:inline distT="0" distB="0" distL="114300" distR="114300">
            <wp:extent cx="4040505" cy="4026535"/>
            <wp:effectExtent l="0" t="0" r="17145" b="12065"/>
            <wp:docPr id="31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5"/>
                    <pic:cNvPicPr>
                      <a:picLocks noChangeAspect="1"/>
                    </pic:cNvPicPr>
                  </pic:nvPicPr>
                  <pic:blipFill>
                    <a:blip r:embed="rId191"/>
                    <a:stretch>
                      <a:fillRect/>
                    </a:stretch>
                  </pic:blipFill>
                  <pic:spPr>
                    <a:xfrm>
                      <a:off x="0" y="0"/>
                      <a:ext cx="4040505" cy="402653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6.2-20</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w:t>
      </w:r>
      <w:r>
        <w:rPr>
          <w:rFonts w:hint="default" w:ascii="Times New Roman" w:hAnsi="Times New Roman" w:eastAsia="宋体" w:cs="Times New Roman"/>
          <w:b/>
          <w:color w:val="auto"/>
          <w:highlight w:val="none"/>
          <w:lang w:val="en-US" w:eastAsia="zh-CN"/>
        </w:rPr>
        <w:t>2160</w:t>
      </w:r>
      <w:r>
        <w:rPr>
          <w:rFonts w:hint="default" w:ascii="Times New Roman" w:hAnsi="Times New Roman" w:eastAsia="宋体" w:cs="Times New Roman"/>
          <w:b/>
          <w:color w:val="auto"/>
          <w:highlight w:val="none"/>
        </w:rPr>
        <w:t>d</w:t>
      </w:r>
      <w:r>
        <w:rPr>
          <w:rFonts w:hint="default" w:ascii="Times New Roman" w:hAnsi="Times New Roman" w:eastAsia="宋体" w:cs="Times New Roman"/>
          <w:b/>
          <w:color w:val="auto"/>
          <w:highlight w:val="none"/>
          <w:lang w:val="en-US" w:eastAsia="zh-CN"/>
        </w:rPr>
        <w:t>石油类</w:t>
      </w:r>
      <w:r>
        <w:rPr>
          <w:rFonts w:hint="default" w:ascii="Times New Roman" w:hAnsi="Times New Roman" w:eastAsia="宋体" w:cs="Times New Roman"/>
          <w:b/>
          <w:color w:val="auto"/>
          <w:highlight w:val="none"/>
        </w:rPr>
        <w:t>在地下水中浓度值及扩散面积</w:t>
      </w:r>
    </w:p>
    <w:p>
      <w:pPr>
        <w:pStyle w:val="37"/>
        <w:keepNext w:val="0"/>
        <w:keepLines w:val="0"/>
        <w:pageBreakBefore w:val="0"/>
        <w:widowControl w:val="0"/>
        <w:kinsoku/>
        <w:wordWrap/>
        <w:overflowPunct/>
        <w:topLinePunct w:val="0"/>
        <w:autoSpaceDE/>
        <w:autoSpaceDN/>
        <w:bidi w:val="0"/>
        <w:adjustRightInd w:val="0"/>
        <w:snapToGrid w:val="0"/>
        <w:ind w:left="0" w:leftChars="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3）氨氮预测结果</w:t>
      </w:r>
    </w:p>
    <w:p>
      <w:pPr>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氨氮参照执行《地下水质量标准》（GB/T14848-2017）中氨氮Ⅲ类要求限值，设定污染羽最小值为0.5mg/L。模拟结果如下：</w:t>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6.2-7氨氮</w:t>
      </w:r>
      <w:r>
        <w:rPr>
          <w:rFonts w:hint="default" w:ascii="Times New Roman" w:hAnsi="Times New Roman" w:eastAsia="宋体" w:cs="Times New Roman"/>
          <w:b/>
          <w:color w:val="auto"/>
          <w:sz w:val="21"/>
          <w:szCs w:val="21"/>
          <w:highlight w:val="none"/>
        </w:rPr>
        <w:t>在含水层中扩散运移预测结果表</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Layout w:type="autofit"/>
        <w:tblCellMar>
          <w:top w:w="0" w:type="dxa"/>
          <w:left w:w="108" w:type="dxa"/>
          <w:bottom w:w="0" w:type="dxa"/>
          <w:right w:w="108" w:type="dxa"/>
        </w:tblCellMar>
      </w:tblPr>
      <w:tblGrid>
        <w:gridCol w:w="1312"/>
        <w:gridCol w:w="1636"/>
        <w:gridCol w:w="1771"/>
        <w:gridCol w:w="1063"/>
        <w:gridCol w:w="1628"/>
        <w:gridCol w:w="1877"/>
      </w:tblGrid>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c>
          <w:tcPr>
            <w:tcW w:w="1312"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val="en-US" w:eastAsia="zh-CN"/>
              </w:rPr>
              <w:t>运移时间</w:t>
            </w:r>
          </w:p>
        </w:tc>
        <w:tc>
          <w:tcPr>
            <w:tcW w:w="1636"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val="en-US" w:eastAsia="zh-CN"/>
              </w:rPr>
              <w:t>污染羽中心浓度</w:t>
            </w:r>
          </w:p>
        </w:tc>
        <w:tc>
          <w:tcPr>
            <w:tcW w:w="1771"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val="en-US" w:eastAsia="zh-CN"/>
              </w:rPr>
              <w:t>污染中心位置</w:t>
            </w:r>
          </w:p>
        </w:tc>
        <w:tc>
          <w:tcPr>
            <w:tcW w:w="1063"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val="en-US" w:eastAsia="zh-CN"/>
              </w:rPr>
              <w:t>是否到达敏感点</w:t>
            </w:r>
          </w:p>
        </w:tc>
        <w:tc>
          <w:tcPr>
            <w:tcW w:w="1628"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与敏感点的</w:t>
            </w:r>
          </w:p>
          <w:p>
            <w:pPr>
              <w:widowControl/>
              <w:spacing w:line="240" w:lineRule="auto"/>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val="en-US" w:eastAsia="zh-CN"/>
              </w:rPr>
              <w:t>距离（贾家堡子）</w:t>
            </w:r>
          </w:p>
        </w:tc>
        <w:tc>
          <w:tcPr>
            <w:tcW w:w="1877" w:type="dxa"/>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对敏感点</w:t>
            </w:r>
          </w:p>
          <w:p>
            <w:pPr>
              <w:widowControl/>
              <w:spacing w:line="240" w:lineRule="auto"/>
              <w:ind w:firstLine="0" w:firstLineChars="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lang w:val="en-US" w:eastAsia="zh-CN"/>
              </w:rPr>
              <w:t>影响浓度</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706"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100天</w:t>
            </w:r>
          </w:p>
        </w:tc>
        <w:tc>
          <w:tcPr>
            <w:tcW w:w="880"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1.38mg/L</w:t>
            </w:r>
          </w:p>
        </w:tc>
        <w:tc>
          <w:tcPr>
            <w:tcW w:w="953"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回填采坑</w:t>
            </w:r>
          </w:p>
        </w:tc>
        <w:tc>
          <w:tcPr>
            <w:tcW w:w="572"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876"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r>
              <w:rPr>
                <w:rFonts w:hint="eastAsia" w:ascii="Times New Roman" w:hAnsi="Times New Roman" w:eastAsia="宋体" w:cs="Times New Roman"/>
                <w:color w:val="auto"/>
                <w:kern w:val="0"/>
                <w:szCs w:val="21"/>
                <w:highlight w:val="none"/>
                <w:lang w:val="en-US" w:eastAsia="zh-CN"/>
              </w:rPr>
              <w:t>7</w:t>
            </w:r>
            <w:r>
              <w:rPr>
                <w:rFonts w:hint="default" w:ascii="Times New Roman" w:hAnsi="Times New Roman" w:eastAsia="宋体" w:cs="Times New Roman"/>
                <w:color w:val="auto"/>
                <w:kern w:val="0"/>
                <w:szCs w:val="21"/>
                <w:highlight w:val="none"/>
                <w:lang w:val="en-US" w:eastAsia="zh-CN"/>
              </w:rPr>
              <w:t>11米</w:t>
            </w:r>
          </w:p>
        </w:tc>
        <w:tc>
          <w:tcPr>
            <w:tcW w:w="1010"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706"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365天</w:t>
            </w:r>
          </w:p>
        </w:tc>
        <w:tc>
          <w:tcPr>
            <w:tcW w:w="880"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1.39mg/L</w:t>
            </w:r>
          </w:p>
        </w:tc>
        <w:tc>
          <w:tcPr>
            <w:tcW w:w="953"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回填采坑</w:t>
            </w:r>
          </w:p>
        </w:tc>
        <w:tc>
          <w:tcPr>
            <w:tcW w:w="572"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876" w:type="pct"/>
            <w:vMerge w:val="restar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r>
              <w:rPr>
                <w:rFonts w:hint="eastAsia" w:ascii="Times New Roman" w:hAnsi="Times New Roman" w:eastAsia="宋体" w:cs="Times New Roman"/>
                <w:color w:val="auto"/>
                <w:kern w:val="0"/>
                <w:szCs w:val="21"/>
                <w:highlight w:val="none"/>
                <w:lang w:val="en-US" w:eastAsia="zh-CN"/>
              </w:rPr>
              <w:t>6</w:t>
            </w:r>
            <w:r>
              <w:rPr>
                <w:rFonts w:hint="default" w:ascii="Times New Roman" w:hAnsi="Times New Roman" w:eastAsia="宋体" w:cs="Times New Roman"/>
                <w:color w:val="auto"/>
                <w:kern w:val="0"/>
                <w:szCs w:val="21"/>
                <w:highlight w:val="none"/>
                <w:lang w:val="en-US" w:eastAsia="zh-CN"/>
              </w:rPr>
              <w:t>71米</w:t>
            </w:r>
          </w:p>
        </w:tc>
        <w:tc>
          <w:tcPr>
            <w:tcW w:w="1010"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706"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1000天</w:t>
            </w:r>
          </w:p>
        </w:tc>
        <w:tc>
          <w:tcPr>
            <w:tcW w:w="880" w:type="pct"/>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p>
        </w:tc>
        <w:tc>
          <w:tcPr>
            <w:tcW w:w="953"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回填采坑</w:t>
            </w:r>
          </w:p>
        </w:tc>
        <w:tc>
          <w:tcPr>
            <w:tcW w:w="572"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876" w:type="pct"/>
            <w:vMerge w:val="continue"/>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p>
        </w:tc>
        <w:tc>
          <w:tcPr>
            <w:tcW w:w="1010"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000000" w:sz="4" w:space="0"/>
            <w:insideV w:val="single" w:color="auto" w:sz="4" w:space="0"/>
          </w:tblBorders>
          <w:tblCellMar>
            <w:top w:w="0" w:type="dxa"/>
            <w:left w:w="108" w:type="dxa"/>
            <w:bottom w:w="0" w:type="dxa"/>
            <w:right w:w="108" w:type="dxa"/>
          </w:tblCellMar>
        </w:tblPrEx>
        <w:trPr>
          <w:trHeight w:val="490" w:hRule="atLeast"/>
        </w:trPr>
        <w:tc>
          <w:tcPr>
            <w:tcW w:w="706"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2160天</w:t>
            </w:r>
          </w:p>
        </w:tc>
        <w:tc>
          <w:tcPr>
            <w:tcW w:w="880"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0.52mg/L</w:t>
            </w:r>
          </w:p>
        </w:tc>
        <w:tc>
          <w:tcPr>
            <w:tcW w:w="953"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南侧厂界</w:t>
            </w:r>
          </w:p>
        </w:tc>
        <w:tc>
          <w:tcPr>
            <w:tcW w:w="572"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否</w:t>
            </w:r>
          </w:p>
        </w:tc>
        <w:tc>
          <w:tcPr>
            <w:tcW w:w="876"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1</w:t>
            </w:r>
            <w:r>
              <w:rPr>
                <w:rFonts w:hint="eastAsia" w:ascii="Times New Roman" w:hAnsi="Times New Roman" w:eastAsia="宋体" w:cs="Times New Roman"/>
                <w:color w:val="auto"/>
                <w:kern w:val="0"/>
                <w:szCs w:val="21"/>
                <w:highlight w:val="none"/>
                <w:lang w:val="en-US" w:eastAsia="zh-CN"/>
              </w:rPr>
              <w:t>5</w:t>
            </w:r>
            <w:r>
              <w:rPr>
                <w:rFonts w:hint="default" w:ascii="Times New Roman" w:hAnsi="Times New Roman" w:eastAsia="宋体" w:cs="Times New Roman"/>
                <w:color w:val="auto"/>
                <w:kern w:val="0"/>
                <w:szCs w:val="21"/>
                <w:highlight w:val="none"/>
                <w:lang w:val="en-US" w:eastAsia="zh-CN"/>
              </w:rPr>
              <w:t>56米</w:t>
            </w:r>
          </w:p>
        </w:tc>
        <w:tc>
          <w:tcPr>
            <w:tcW w:w="1010" w:type="pct"/>
            <w:tcBorders>
              <w:tl2br w:val="nil"/>
              <w:tr2bl w:val="nil"/>
            </w:tcBorders>
            <w:vAlign w:val="center"/>
          </w:tcPr>
          <w:p>
            <w:pPr>
              <w:widowControl/>
              <w:spacing w:line="240" w:lineRule="auto"/>
              <w:ind w:firstLine="0" w:firstLineChars="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w:t>
            </w:r>
          </w:p>
        </w:tc>
      </w:tr>
    </w:tbl>
    <w:p>
      <w:pPr>
        <w:pStyle w:val="37"/>
        <w:ind w:left="0" w:leftChars="0" w:firstLine="0" w:firstLineChars="0"/>
        <w:jc w:val="center"/>
        <w:rPr>
          <w:rFonts w:hint="default" w:ascii="Times New Roman" w:hAnsi="Times New Roman" w:eastAsia="宋体" w:cs="Times New Roman"/>
          <w:b/>
          <w:color w:val="auto"/>
          <w:highlight w:val="none"/>
        </w:rPr>
      </w:pPr>
      <w:r>
        <w:rPr>
          <w:color w:val="auto"/>
          <w:highlight w:val="none"/>
        </w:rPr>
        <w:drawing>
          <wp:inline distT="0" distB="0" distL="114300" distR="114300">
            <wp:extent cx="4055745" cy="4055745"/>
            <wp:effectExtent l="0" t="0" r="1905" b="1905"/>
            <wp:docPr id="31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60"/>
                    <pic:cNvPicPr>
                      <a:picLocks noChangeAspect="1"/>
                    </pic:cNvPicPr>
                  </pic:nvPicPr>
                  <pic:blipFill>
                    <a:blip r:embed="rId192"/>
                    <a:stretch>
                      <a:fillRect/>
                    </a:stretch>
                  </pic:blipFill>
                  <pic:spPr>
                    <a:xfrm>
                      <a:off x="0" y="0"/>
                      <a:ext cx="4055745" cy="405574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6.2-21</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w:t>
      </w:r>
      <w:r>
        <w:rPr>
          <w:rFonts w:hint="default" w:ascii="Times New Roman" w:hAnsi="Times New Roman" w:eastAsia="宋体" w:cs="Times New Roman"/>
          <w:b/>
          <w:color w:val="auto"/>
          <w:highlight w:val="none"/>
          <w:lang w:val="en-US" w:eastAsia="zh-CN"/>
        </w:rPr>
        <w:t>100</w:t>
      </w:r>
      <w:r>
        <w:rPr>
          <w:rFonts w:hint="default" w:ascii="Times New Roman" w:hAnsi="Times New Roman" w:eastAsia="宋体" w:cs="Times New Roman"/>
          <w:b/>
          <w:color w:val="auto"/>
          <w:highlight w:val="none"/>
        </w:rPr>
        <w:t>d</w:t>
      </w:r>
      <w:r>
        <w:rPr>
          <w:rFonts w:hint="default" w:ascii="Times New Roman" w:hAnsi="Times New Roman" w:eastAsia="宋体" w:cs="Times New Roman"/>
          <w:b/>
          <w:color w:val="auto"/>
          <w:highlight w:val="none"/>
          <w:lang w:val="en-US" w:eastAsia="zh-CN"/>
        </w:rPr>
        <w:t>氨氮</w:t>
      </w:r>
      <w:r>
        <w:rPr>
          <w:rFonts w:hint="default" w:ascii="Times New Roman" w:hAnsi="Times New Roman" w:eastAsia="宋体" w:cs="Times New Roman"/>
          <w:b/>
          <w:color w:val="auto"/>
          <w:highlight w:val="none"/>
        </w:rPr>
        <w:t>在地下水中浓度值及扩散面积</w:t>
      </w:r>
    </w:p>
    <w:p>
      <w:pPr>
        <w:ind w:left="0" w:leftChars="0" w:firstLine="0" w:firstLineChars="0"/>
        <w:jc w:val="center"/>
        <w:rPr>
          <w:rFonts w:hint="default" w:ascii="Times New Roman" w:hAnsi="Times New Roman" w:eastAsia="宋体" w:cs="Times New Roman"/>
          <w:color w:val="auto"/>
          <w:highlight w:val="none"/>
        </w:rPr>
      </w:pPr>
      <w:r>
        <w:rPr>
          <w:color w:val="auto"/>
          <w:highlight w:val="none"/>
        </w:rPr>
        <w:drawing>
          <wp:inline distT="0" distB="0" distL="114300" distR="114300">
            <wp:extent cx="3983990" cy="3958590"/>
            <wp:effectExtent l="0" t="0" r="16510" b="3810"/>
            <wp:docPr id="31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61"/>
                    <pic:cNvPicPr>
                      <a:picLocks noChangeAspect="1"/>
                    </pic:cNvPicPr>
                  </pic:nvPicPr>
                  <pic:blipFill>
                    <a:blip r:embed="rId193"/>
                    <a:stretch>
                      <a:fillRect/>
                    </a:stretch>
                  </pic:blipFill>
                  <pic:spPr>
                    <a:xfrm>
                      <a:off x="0" y="0"/>
                      <a:ext cx="3983990" cy="3958590"/>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6.2-22</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w:t>
      </w:r>
      <w:r>
        <w:rPr>
          <w:rFonts w:hint="default" w:ascii="Times New Roman" w:hAnsi="Times New Roman" w:eastAsia="宋体" w:cs="Times New Roman"/>
          <w:b/>
          <w:color w:val="auto"/>
          <w:highlight w:val="none"/>
          <w:lang w:val="en-US" w:eastAsia="zh-CN"/>
        </w:rPr>
        <w:t>1000</w:t>
      </w:r>
      <w:r>
        <w:rPr>
          <w:rFonts w:hint="default" w:ascii="Times New Roman" w:hAnsi="Times New Roman" w:eastAsia="宋体" w:cs="Times New Roman"/>
          <w:b/>
          <w:color w:val="auto"/>
          <w:highlight w:val="none"/>
        </w:rPr>
        <w:t>d</w:t>
      </w:r>
      <w:r>
        <w:rPr>
          <w:rFonts w:hint="default" w:ascii="Times New Roman" w:hAnsi="Times New Roman" w:eastAsia="宋体" w:cs="Times New Roman"/>
          <w:b/>
          <w:color w:val="auto"/>
          <w:highlight w:val="none"/>
          <w:lang w:val="en-US" w:eastAsia="zh-CN"/>
        </w:rPr>
        <w:t>氨氮</w:t>
      </w:r>
      <w:r>
        <w:rPr>
          <w:rFonts w:hint="default" w:ascii="Times New Roman" w:hAnsi="Times New Roman" w:eastAsia="宋体" w:cs="Times New Roman"/>
          <w:b/>
          <w:color w:val="auto"/>
          <w:highlight w:val="none"/>
        </w:rPr>
        <w:t>在地下水中浓度值及扩散面积</w:t>
      </w:r>
    </w:p>
    <w:p>
      <w:pPr>
        <w:pStyle w:val="37"/>
        <w:ind w:left="0" w:leftChars="0" w:firstLine="0" w:firstLineChars="0"/>
        <w:jc w:val="center"/>
        <w:rPr>
          <w:rFonts w:hint="default" w:ascii="Times New Roman" w:hAnsi="Times New Roman" w:eastAsia="宋体" w:cs="Times New Roman"/>
          <w:b/>
          <w:color w:val="auto"/>
          <w:highlight w:val="none"/>
        </w:rPr>
      </w:pPr>
      <w:r>
        <w:rPr>
          <w:color w:val="auto"/>
          <w:highlight w:val="none"/>
        </w:rPr>
        <w:drawing>
          <wp:inline distT="0" distB="0" distL="114300" distR="114300">
            <wp:extent cx="4015105" cy="4015105"/>
            <wp:effectExtent l="0" t="0" r="4445" b="4445"/>
            <wp:docPr id="31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62"/>
                    <pic:cNvPicPr>
                      <a:picLocks noChangeAspect="1"/>
                    </pic:cNvPicPr>
                  </pic:nvPicPr>
                  <pic:blipFill>
                    <a:blip r:embed="rId194"/>
                    <a:stretch>
                      <a:fillRect/>
                    </a:stretch>
                  </pic:blipFill>
                  <pic:spPr>
                    <a:xfrm>
                      <a:off x="0" y="0"/>
                      <a:ext cx="4015105" cy="4015105"/>
                    </a:xfrm>
                    <a:prstGeom prst="rect">
                      <a:avLst/>
                    </a:prstGeom>
                    <a:noFill/>
                    <a:ln>
                      <a:noFill/>
                    </a:ln>
                  </pic:spPr>
                </pic:pic>
              </a:graphicData>
            </a:graphic>
          </wp:inline>
        </w:drawing>
      </w:r>
    </w:p>
    <w:p>
      <w:pPr>
        <w:ind w:firstLine="482"/>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图</w:t>
      </w:r>
      <w:r>
        <w:rPr>
          <w:rFonts w:hint="default" w:ascii="Times New Roman" w:hAnsi="Times New Roman" w:eastAsia="宋体" w:cs="Times New Roman"/>
          <w:b/>
          <w:color w:val="auto"/>
          <w:highlight w:val="none"/>
          <w:lang w:val="en-US" w:eastAsia="zh-CN"/>
        </w:rPr>
        <w:t>6.2-23</w:t>
      </w:r>
      <w:r>
        <w:rPr>
          <w:rFonts w:hint="default" w:ascii="Times New Roman" w:hAnsi="Times New Roman" w:eastAsia="宋体" w:cs="Times New Roman"/>
          <w:b/>
          <w:color w:val="auto"/>
          <w:highlight w:val="none"/>
        </w:rPr>
        <w:t>废石</w:t>
      </w:r>
      <w:r>
        <w:rPr>
          <w:rFonts w:hint="default" w:ascii="Times New Roman" w:hAnsi="Times New Roman" w:eastAsia="宋体" w:cs="Times New Roman"/>
          <w:b/>
          <w:color w:val="auto"/>
          <w:highlight w:val="none"/>
          <w:lang w:val="en-US" w:eastAsia="zh-CN"/>
        </w:rPr>
        <w:t>堆场</w:t>
      </w:r>
      <w:r>
        <w:rPr>
          <w:rFonts w:hint="default" w:ascii="Times New Roman" w:hAnsi="Times New Roman" w:eastAsia="宋体" w:cs="Times New Roman"/>
          <w:b/>
          <w:color w:val="auto"/>
          <w:highlight w:val="none"/>
        </w:rPr>
        <w:t>泄漏</w:t>
      </w:r>
      <w:r>
        <w:rPr>
          <w:rFonts w:hint="default" w:ascii="Times New Roman" w:hAnsi="Times New Roman" w:eastAsia="宋体" w:cs="Times New Roman"/>
          <w:b/>
          <w:color w:val="auto"/>
          <w:highlight w:val="none"/>
          <w:lang w:val="en-US" w:eastAsia="zh-CN"/>
        </w:rPr>
        <w:t>2160</w:t>
      </w:r>
      <w:r>
        <w:rPr>
          <w:rFonts w:hint="default" w:ascii="Times New Roman" w:hAnsi="Times New Roman" w:eastAsia="宋体" w:cs="Times New Roman"/>
          <w:b/>
          <w:color w:val="auto"/>
          <w:highlight w:val="none"/>
        </w:rPr>
        <w:t>d</w:t>
      </w:r>
      <w:r>
        <w:rPr>
          <w:rFonts w:hint="default" w:ascii="Times New Roman" w:hAnsi="Times New Roman" w:eastAsia="宋体" w:cs="Times New Roman"/>
          <w:b/>
          <w:color w:val="auto"/>
          <w:highlight w:val="none"/>
          <w:lang w:val="en-US" w:eastAsia="zh-CN"/>
        </w:rPr>
        <w:t>氨氮</w:t>
      </w:r>
      <w:r>
        <w:rPr>
          <w:rFonts w:hint="default" w:ascii="Times New Roman" w:hAnsi="Times New Roman" w:eastAsia="宋体" w:cs="Times New Roman"/>
          <w:b/>
          <w:color w:val="auto"/>
          <w:highlight w:val="none"/>
        </w:rPr>
        <w:t>在地下水中浓度值及扩散面积</w:t>
      </w:r>
    </w:p>
    <w:p>
      <w:pPr>
        <w:pStyle w:val="7"/>
        <w:keepNext/>
        <w:keepLines/>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b/>
          <w:bCs w:val="0"/>
          <w:color w:val="auto"/>
          <w:highlight w:val="none"/>
          <w:lang w:val="en-US" w:eastAsia="zh-CN"/>
        </w:rPr>
      </w:pPr>
      <w:r>
        <w:rPr>
          <w:rFonts w:hint="eastAsia" w:ascii="Times New Roman" w:hAnsi="Times New Roman" w:eastAsia="宋体" w:cs="Times New Roman"/>
          <w:b/>
          <w:bCs w:val="0"/>
          <w:color w:val="auto"/>
          <w:highlight w:val="none"/>
          <w:lang w:val="en-US" w:eastAsia="zh-CN"/>
        </w:rPr>
        <w:t>3、地下水模拟预测结论</w:t>
      </w:r>
    </w:p>
    <w:p>
      <w:pPr>
        <w:spacing w:beforeLines="0" w:afterLines="0"/>
        <w:jc w:val="left"/>
        <w:rPr>
          <w:rFonts w:hint="default" w:ascii="Times New Roman" w:hAnsi="Times New Roman" w:eastAsia="宋体" w:cs="Times New Roman"/>
          <w:color w:val="auto"/>
          <w:highlight w:val="none"/>
        </w:rPr>
      </w:pPr>
      <w:r>
        <w:rPr>
          <w:rFonts w:hint="eastAsia" w:ascii="宋体" w:hAnsi="宋体" w:eastAsia="宋体"/>
          <w:color w:val="auto"/>
          <w:sz w:val="24"/>
          <w:szCs w:val="24"/>
          <w:highlight w:val="none"/>
        </w:rPr>
        <w:t>废石淋溶水可能会对下游地下水环境产生不良的影响，模拟预测结果可知，形成污染羽影响范围仅在矿区及周边区域产生，且在长期地下水径流稀释的作用下，不再对地下水环境造成影响，预测污染羽始终未达到下游保护目标及河流处，故对下游保护目标影响较小，且随着时间所产生的污染物浓度逐渐减少，在包气带介质的吸附、降解等作用的影响，污染物质会得到不同程度的净化因此本项目做好防渗及日常监管，减少淋溶水入渗发生，对下游地下水的影响较小，且本项目回填采坑回填后进行恢复治理，产生废石淋溶水的可能性较小，因此对下游居民造成威胁的可能性也较小。</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6.2.6.3矿体开采对地下水水资源的影响</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本项目运行过程中矿坑排水导致矿体周边地下水疏干，地下水水位下降，形成以采空区为最低点，近南-北向为长轴的半椭圆形的降落漏斗，地下水疏干影响半径计算公式：</w:t>
      </w:r>
    </w:p>
    <w:p>
      <w:pPr>
        <w:ind w:firstLine="48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304925" cy="436880"/>
            <wp:effectExtent l="0" t="0" r="9525" b="1270"/>
            <wp:docPr id="170"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95"/>
                    <pic:cNvPicPr>
                      <a:picLocks noChangeAspect="1"/>
                    </pic:cNvPicPr>
                  </pic:nvPicPr>
                  <pic:blipFill>
                    <a:blip r:embed="rId195"/>
                    <a:stretch>
                      <a:fillRect/>
                    </a:stretch>
                  </pic:blipFill>
                  <pic:spPr>
                    <a:xfrm>
                      <a:off x="0" y="0"/>
                      <a:ext cx="1304925" cy="436880"/>
                    </a:xfrm>
                    <a:prstGeom prst="rect">
                      <a:avLst/>
                    </a:prstGeom>
                    <a:noFill/>
                    <a:ln>
                      <a:noFill/>
                    </a:ln>
                  </pic:spPr>
                </pic:pic>
              </a:graphicData>
            </a:graphic>
          </wp:inline>
        </w:drawing>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其中：S为水位降深，m；</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H为含水层厚度，m；</w:t>
      </w:r>
    </w:p>
    <w:p>
      <w:pPr>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k为含水层渗透系数，m/d。</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含水层厚度H取最大风化裂隙深度30m；本次参考《区域水文地质普查报告岫岩县幅1:20万》中对区域内变粒岩含水层渗透系数K的统计计算，取0.045m/d；水位降深S取36m。经计算，地下水疏干影响半径R=83.65m。</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处于地下水水文地质单元的径流区，矿体主要赋存于辽河群里尔峪组二段变粒岩内，坑下开拓、开采工程处于辽河群里尔峪组二段中等富水岩溶裂隙含水层和导水性断层（西北向）破碎带中，随着矿山开采的进程，地下巷道延伸和采空区面积扩大，将使地下水沿岩溶裂隙及节理渗水坑道及采空区中。</w:t>
      </w:r>
    </w:p>
    <w:p>
      <w:pPr>
        <w:ind w:firstLine="480"/>
        <w:rPr>
          <w:rFonts w:hint="default" w:ascii="Times New Roman" w:hAnsi="Times New Roman" w:eastAsia="宋体" w:cs="Times New Roman"/>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rPr>
        <w:t>矿山地下开采后，矿山挖掘巷道和矿体开挖导致巷道顶、底板和围岩辽河群里尔峪组二段变粒岩（坚硬岩）的裂隙扩张，矿山开采疏排水导致地下水疏干影响半径为83.65m，矿山地下开采疏干影响半径范围内无饮用水泉点及深井分布，故矿山地下开采对地下水环境有一定影响。</w:t>
      </w:r>
    </w:p>
    <w:p>
      <w:pPr>
        <w:pStyle w:val="5"/>
        <w:bidi w:val="0"/>
        <w:rPr>
          <w:rFonts w:hint="default" w:ascii="Times New Roman" w:hAnsi="Times New Roman" w:eastAsia="宋体" w:cs="Times New Roman"/>
          <w:color w:val="auto"/>
          <w:highlight w:val="none"/>
          <w:lang w:val="en-US" w:eastAsia="zh-CN"/>
        </w:rPr>
      </w:pPr>
      <w:bookmarkStart w:id="554" w:name="_Toc15376205"/>
      <w:r>
        <w:rPr>
          <w:rFonts w:hint="default" w:ascii="Times New Roman" w:hAnsi="Times New Roman" w:eastAsia="宋体" w:cs="Times New Roman"/>
          <w:color w:val="auto"/>
          <w:highlight w:val="none"/>
          <w:lang w:val="en-US" w:eastAsia="zh-CN"/>
        </w:rPr>
        <w:t>声环境影响分析</w:t>
      </w:r>
      <w:bookmarkEnd w:id="554"/>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本项目噪声主要包括工业场地噪声及运输道路噪声。</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bookmarkStart w:id="555" w:name="_Toc450827062"/>
      <w:r>
        <w:rPr>
          <w:rFonts w:hint="default" w:ascii="Times New Roman" w:hAnsi="Times New Roman" w:eastAsia="宋体" w:cs="Times New Roman"/>
          <w:color w:val="auto"/>
          <w:sz w:val="24"/>
          <w:highlight w:val="none"/>
          <w:lang w:val="en-US" w:eastAsia="zh-CN"/>
        </w:rPr>
        <w:t>6.2.3.1工业场地噪声影响分析</w:t>
      </w:r>
      <w:bookmarkEnd w:id="555"/>
    </w:p>
    <w:p>
      <w:pPr>
        <w:pStyle w:val="14"/>
        <w:keepNext w:val="0"/>
        <w:keepLines w:val="0"/>
        <w:pageBreakBefore w:val="0"/>
        <w:widowControl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bookmarkStart w:id="556" w:name="_Toc503294156"/>
      <w:bookmarkStart w:id="557" w:name="_Toc69176354"/>
      <w:r>
        <w:rPr>
          <w:rFonts w:hint="default" w:ascii="Times New Roman" w:hAnsi="Times New Roman" w:eastAsia="宋体" w:cs="Times New Roman"/>
          <w:color w:val="auto"/>
          <w:kern w:val="2"/>
          <w:sz w:val="24"/>
          <w:szCs w:val="24"/>
          <w:highlight w:val="none"/>
          <w:lang w:val="en-US" w:eastAsia="zh-CN" w:bidi="ar-SA"/>
        </w:rPr>
        <w:t>本项目采场分为露天和地下，由于地下开采的凿岩、铲装等作业均在地下进行，对厂区周围的声环境影响</w:t>
      </w:r>
      <w:r>
        <w:rPr>
          <w:rFonts w:hint="eastAsia" w:cs="Times New Roman"/>
          <w:color w:val="auto"/>
          <w:kern w:val="2"/>
          <w:sz w:val="24"/>
          <w:szCs w:val="24"/>
          <w:highlight w:val="none"/>
          <w:lang w:val="en-US" w:eastAsia="zh-CN" w:bidi="ar-SA"/>
        </w:rPr>
        <w:t>较</w:t>
      </w:r>
      <w:r>
        <w:rPr>
          <w:rFonts w:hint="default" w:ascii="Times New Roman" w:hAnsi="Times New Roman" w:eastAsia="宋体" w:cs="Times New Roman"/>
          <w:color w:val="auto"/>
          <w:kern w:val="2"/>
          <w:sz w:val="24"/>
          <w:szCs w:val="24"/>
          <w:highlight w:val="none"/>
          <w:lang w:val="en-US" w:eastAsia="zh-CN" w:bidi="ar-SA"/>
        </w:rPr>
        <w:t>小，因此本项目生产的主要噪声污染源为露天凿岩、铲装等作业及其他辅助机械设备噪声。本项目露天开采主要噪声源源强见表6.2-</w:t>
      </w:r>
      <w:r>
        <w:rPr>
          <w:rFonts w:hint="eastAsia" w:ascii="Times New Roman" w:hAnsi="Times New Roman" w:eastAsia="宋体" w:cs="Times New Roman"/>
          <w:color w:val="auto"/>
          <w:kern w:val="2"/>
          <w:sz w:val="24"/>
          <w:szCs w:val="24"/>
          <w:highlight w:val="none"/>
          <w:lang w:val="en-US" w:eastAsia="zh-CN" w:bidi="ar-SA"/>
        </w:rPr>
        <w:t>8</w:t>
      </w:r>
      <w:r>
        <w:rPr>
          <w:rFonts w:hint="default" w:ascii="Times New Roman" w:hAnsi="Times New Roman" w:eastAsia="宋体" w:cs="Times New Roman"/>
          <w:color w:val="auto"/>
          <w:kern w:val="2"/>
          <w:sz w:val="24"/>
          <w:szCs w:val="24"/>
          <w:highlight w:val="none"/>
          <w:lang w:val="en-US" w:eastAsia="zh-CN" w:bidi="ar-SA"/>
        </w:rPr>
        <w:t>。</w:t>
      </w:r>
    </w:p>
    <w:p>
      <w:pPr>
        <w:pStyle w:val="78"/>
        <w:spacing w:line="240" w:lineRule="auto"/>
        <w:ind w:firstLine="430"/>
        <w:jc w:val="center"/>
        <w:rPr>
          <w:rFonts w:hint="default" w:ascii="Times New Roman" w:hAnsi="Times New Roman" w:eastAsia="宋体" w:cs="Times New Roman"/>
          <w:b/>
          <w:color w:val="auto"/>
          <w:spacing w:val="2"/>
          <w:kern w:val="0"/>
          <w:sz w:val="21"/>
          <w:szCs w:val="21"/>
          <w:highlight w:val="none"/>
          <w:lang w:val="en-US" w:eastAsia="zh-CN" w:bidi="ar-SA"/>
        </w:rPr>
      </w:pPr>
      <w:r>
        <w:rPr>
          <w:rFonts w:hint="default" w:ascii="Times New Roman" w:hAnsi="Times New Roman" w:eastAsia="宋体" w:cs="Times New Roman"/>
          <w:b/>
          <w:color w:val="auto"/>
          <w:sz w:val="21"/>
          <w:highlight w:val="none"/>
        </w:rPr>
        <w:t>表</w:t>
      </w:r>
      <w:r>
        <w:rPr>
          <w:rFonts w:hint="default" w:ascii="Times New Roman" w:hAnsi="Times New Roman" w:eastAsia="宋体" w:cs="Times New Roman"/>
          <w:b/>
          <w:color w:val="auto"/>
          <w:sz w:val="21"/>
          <w:highlight w:val="none"/>
          <w:lang w:val="en-US" w:eastAsia="zh-CN"/>
        </w:rPr>
        <w:t>6.2-</w:t>
      </w:r>
      <w:r>
        <w:rPr>
          <w:rFonts w:hint="eastAsia" w:ascii="Times New Roman" w:hAnsi="Times New Roman" w:eastAsia="宋体" w:cs="Times New Roman"/>
          <w:b/>
          <w:color w:val="auto"/>
          <w:sz w:val="21"/>
          <w:highlight w:val="none"/>
          <w:lang w:val="en-US" w:eastAsia="zh-CN"/>
        </w:rPr>
        <w:t>8</w:t>
      </w:r>
      <w:r>
        <w:rPr>
          <w:rFonts w:hint="default" w:ascii="Times New Roman" w:hAnsi="Times New Roman" w:eastAsia="宋体" w:cs="Times New Roman"/>
          <w:b/>
          <w:color w:val="auto"/>
          <w:sz w:val="21"/>
          <w:highlight w:val="none"/>
          <w:lang w:val="en-US" w:eastAsia="zh-CN"/>
        </w:rPr>
        <w:t>工业场地</w:t>
      </w:r>
      <w:r>
        <w:rPr>
          <w:rFonts w:hint="default" w:ascii="Times New Roman" w:hAnsi="Times New Roman" w:eastAsia="宋体" w:cs="Times New Roman"/>
          <w:b/>
          <w:color w:val="auto"/>
          <w:sz w:val="21"/>
          <w:highlight w:val="none"/>
        </w:rPr>
        <w:t>主要噪声源</w:t>
      </w:r>
      <w:r>
        <w:rPr>
          <w:rFonts w:hint="default" w:ascii="Times New Roman" w:hAnsi="Times New Roman" w:eastAsia="宋体" w:cs="Times New Roman"/>
          <w:b/>
          <w:color w:val="auto"/>
          <w:sz w:val="21"/>
          <w:highlight w:val="none"/>
          <w:lang w:val="en-US" w:eastAsia="zh-CN"/>
        </w:rPr>
        <w:t>源强一览表</w:t>
      </w:r>
    </w:p>
    <w:tbl>
      <w:tblPr>
        <w:tblStyle w:val="45"/>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8"/>
        <w:gridCol w:w="2352"/>
        <w:gridCol w:w="1360"/>
        <w:gridCol w:w="2450"/>
        <w:gridCol w:w="23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1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2352"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噪声源名称</w:t>
            </w:r>
          </w:p>
        </w:tc>
        <w:tc>
          <w:tcPr>
            <w:tcW w:w="1360"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数量</w:t>
            </w:r>
          </w:p>
        </w:tc>
        <w:tc>
          <w:tcPr>
            <w:tcW w:w="2450"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分布位置</w:t>
            </w:r>
          </w:p>
        </w:tc>
        <w:tc>
          <w:tcPr>
            <w:tcW w:w="2307"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源强dB(A)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1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23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潜孔钻机</w:t>
            </w:r>
          </w:p>
        </w:tc>
        <w:tc>
          <w:tcPr>
            <w:tcW w:w="1360"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2辆</w:t>
            </w:r>
          </w:p>
        </w:tc>
        <w:tc>
          <w:tcPr>
            <w:tcW w:w="245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露天采场</w:t>
            </w:r>
          </w:p>
        </w:tc>
        <w:tc>
          <w:tcPr>
            <w:tcW w:w="2307"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70~95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1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23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空压机</w:t>
            </w:r>
          </w:p>
        </w:tc>
        <w:tc>
          <w:tcPr>
            <w:tcW w:w="1360"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2台</w:t>
            </w:r>
          </w:p>
        </w:tc>
        <w:tc>
          <w:tcPr>
            <w:tcW w:w="2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露天采场</w:t>
            </w:r>
          </w:p>
        </w:tc>
        <w:tc>
          <w:tcPr>
            <w:tcW w:w="2307"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75~100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18"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23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挖掘机</w:t>
            </w:r>
          </w:p>
        </w:tc>
        <w:tc>
          <w:tcPr>
            <w:tcW w:w="1360"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2台</w:t>
            </w:r>
          </w:p>
        </w:tc>
        <w:tc>
          <w:tcPr>
            <w:tcW w:w="2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露天采场</w:t>
            </w:r>
          </w:p>
        </w:tc>
        <w:tc>
          <w:tcPr>
            <w:tcW w:w="2307"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75~100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18"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4</w:t>
            </w:r>
          </w:p>
        </w:tc>
        <w:tc>
          <w:tcPr>
            <w:tcW w:w="23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铲车</w:t>
            </w:r>
          </w:p>
        </w:tc>
        <w:tc>
          <w:tcPr>
            <w:tcW w:w="1360"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2台</w:t>
            </w:r>
          </w:p>
        </w:tc>
        <w:tc>
          <w:tcPr>
            <w:tcW w:w="2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露天采场</w:t>
            </w:r>
          </w:p>
        </w:tc>
        <w:tc>
          <w:tcPr>
            <w:tcW w:w="2307"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75~100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0" w:hRule="atLeast"/>
          <w:jc w:val="center"/>
        </w:trPr>
        <w:tc>
          <w:tcPr>
            <w:tcW w:w="818"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p>
        </w:tc>
        <w:tc>
          <w:tcPr>
            <w:tcW w:w="23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洒水车</w:t>
            </w:r>
          </w:p>
        </w:tc>
        <w:tc>
          <w:tcPr>
            <w:tcW w:w="1360"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1辆</w:t>
            </w:r>
          </w:p>
        </w:tc>
        <w:tc>
          <w:tcPr>
            <w:tcW w:w="2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运输道路</w:t>
            </w:r>
          </w:p>
        </w:tc>
        <w:tc>
          <w:tcPr>
            <w:tcW w:w="2307"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70~95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8" w:hRule="atLeast"/>
          <w:jc w:val="center"/>
        </w:trPr>
        <w:tc>
          <w:tcPr>
            <w:tcW w:w="818"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6</w:t>
            </w:r>
          </w:p>
        </w:tc>
        <w:tc>
          <w:tcPr>
            <w:tcW w:w="2352" w:type="dxa"/>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自卸汽车</w:t>
            </w:r>
          </w:p>
        </w:tc>
        <w:tc>
          <w:tcPr>
            <w:tcW w:w="1360"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8辆</w:t>
            </w:r>
          </w:p>
        </w:tc>
        <w:tc>
          <w:tcPr>
            <w:tcW w:w="245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运输道路</w:t>
            </w:r>
          </w:p>
        </w:tc>
        <w:tc>
          <w:tcPr>
            <w:tcW w:w="2307" w:type="dxa"/>
            <w:vAlign w:val="center"/>
          </w:tcPr>
          <w:p>
            <w:pPr>
              <w:pStyle w:val="104"/>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70~95</w:t>
            </w:r>
          </w:p>
        </w:tc>
      </w:tr>
    </w:tbl>
    <w:p>
      <w:pPr>
        <w:pStyle w:val="14"/>
        <w:keepNext w:val="0"/>
        <w:keepLines w:val="0"/>
        <w:pageBreakBefore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2）预测方法</w:t>
      </w:r>
    </w:p>
    <w:p>
      <w:pPr>
        <w:pStyle w:val="14"/>
        <w:keepNext w:val="0"/>
        <w:keepLines w:val="0"/>
        <w:pageBreakBefore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采用《环境影响评价技术导则（声环境）》（HJ2.4-2021）附录A推荐的噪声传播衰减方法进行预测，计算中考虑了距离衰减，建构筑物等围护结构的隔声和建筑物屏蔽效应，以及空气的吸收衰减。预测模式如下：</w:t>
      </w:r>
    </w:p>
    <w:p>
      <w:pPr>
        <w:keepNext w:val="0"/>
        <w:keepLines w:val="0"/>
        <w:pageBreakBefore w:val="0"/>
        <w:widowControl/>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kern w:val="0"/>
          <w:sz w:val="24"/>
          <w:szCs w:val="24"/>
          <w:highlight w:val="none"/>
          <w:lang w:val="pt-BR"/>
        </w:rPr>
      </w:pPr>
      <w:r>
        <w:rPr>
          <w:rFonts w:hint="default" w:ascii="Times New Roman" w:hAnsi="Times New Roman" w:eastAsia="宋体" w:cs="Times New Roman"/>
          <w:color w:val="auto"/>
          <w:kern w:val="0"/>
          <w:sz w:val="24"/>
          <w:szCs w:val="24"/>
          <w:highlight w:val="none"/>
          <w:lang w:val="pt-BR"/>
        </w:rPr>
        <w:t>LA(r)=L</w:t>
      </w:r>
      <w:r>
        <w:rPr>
          <w:rFonts w:hint="default" w:ascii="Times New Roman" w:hAnsi="Times New Roman" w:eastAsia="宋体" w:cs="Times New Roman"/>
          <w:color w:val="auto"/>
          <w:kern w:val="0"/>
          <w:sz w:val="24"/>
          <w:szCs w:val="24"/>
          <w:highlight w:val="none"/>
          <w:vertAlign w:val="subscript"/>
          <w:lang w:val="pt-BR"/>
        </w:rPr>
        <w:t>Aref</w:t>
      </w:r>
      <w:r>
        <w:rPr>
          <w:rFonts w:hint="default" w:ascii="Times New Roman" w:hAnsi="Times New Roman" w:eastAsia="宋体" w:cs="Times New Roman"/>
          <w:color w:val="auto"/>
          <w:kern w:val="0"/>
          <w:sz w:val="24"/>
          <w:szCs w:val="24"/>
          <w:highlight w:val="none"/>
          <w:lang w:val="pt-BR"/>
        </w:rPr>
        <w:t>(r</w:t>
      </w:r>
      <w:r>
        <w:rPr>
          <w:rFonts w:hint="default" w:ascii="Times New Roman" w:hAnsi="Times New Roman" w:eastAsia="宋体" w:cs="Times New Roman"/>
          <w:color w:val="auto"/>
          <w:kern w:val="0"/>
          <w:sz w:val="24"/>
          <w:szCs w:val="24"/>
          <w:highlight w:val="none"/>
          <w:vertAlign w:val="subscript"/>
          <w:lang w:val="pt-BR"/>
        </w:rPr>
        <w:t>0</w:t>
      </w:r>
      <w:r>
        <w:rPr>
          <w:rFonts w:hint="default" w:ascii="Times New Roman" w:hAnsi="Times New Roman" w:eastAsia="宋体" w:cs="Times New Roman"/>
          <w:color w:val="auto"/>
          <w:kern w:val="0"/>
          <w:sz w:val="24"/>
          <w:szCs w:val="24"/>
          <w:highlight w:val="none"/>
          <w:lang w:val="pt-BR"/>
        </w:rPr>
        <w:t>)-(A</w:t>
      </w:r>
      <w:r>
        <w:rPr>
          <w:rFonts w:hint="default" w:ascii="Times New Roman" w:hAnsi="Times New Roman" w:eastAsia="宋体" w:cs="Times New Roman"/>
          <w:color w:val="auto"/>
          <w:kern w:val="0"/>
          <w:sz w:val="24"/>
          <w:szCs w:val="24"/>
          <w:highlight w:val="none"/>
          <w:vertAlign w:val="subscript"/>
          <w:lang w:val="pt-BR"/>
        </w:rPr>
        <w:t>div</w:t>
      </w:r>
      <w:r>
        <w:rPr>
          <w:rFonts w:hint="default" w:ascii="Times New Roman" w:hAnsi="Times New Roman" w:eastAsia="宋体" w:cs="Times New Roman"/>
          <w:color w:val="auto"/>
          <w:kern w:val="0"/>
          <w:sz w:val="24"/>
          <w:szCs w:val="24"/>
          <w:highlight w:val="none"/>
          <w:lang w:val="pt-BR"/>
        </w:rPr>
        <w:t>+A</w:t>
      </w:r>
      <w:r>
        <w:rPr>
          <w:rFonts w:hint="default" w:ascii="Times New Roman" w:hAnsi="Times New Roman" w:eastAsia="宋体" w:cs="Times New Roman"/>
          <w:color w:val="auto"/>
          <w:kern w:val="0"/>
          <w:sz w:val="24"/>
          <w:szCs w:val="24"/>
          <w:highlight w:val="none"/>
          <w:vertAlign w:val="subscript"/>
          <w:lang w:val="pt-BR"/>
        </w:rPr>
        <w:t>bar</w:t>
      </w:r>
      <w:r>
        <w:rPr>
          <w:rFonts w:hint="default" w:ascii="Times New Roman" w:hAnsi="Times New Roman" w:eastAsia="宋体" w:cs="Times New Roman"/>
          <w:color w:val="auto"/>
          <w:kern w:val="0"/>
          <w:sz w:val="24"/>
          <w:szCs w:val="24"/>
          <w:highlight w:val="none"/>
          <w:lang w:val="pt-BR"/>
        </w:rPr>
        <w:t>+A</w:t>
      </w:r>
      <w:r>
        <w:rPr>
          <w:rFonts w:hint="default" w:ascii="Times New Roman" w:hAnsi="Times New Roman" w:eastAsia="宋体" w:cs="Times New Roman"/>
          <w:color w:val="auto"/>
          <w:kern w:val="0"/>
          <w:sz w:val="24"/>
          <w:szCs w:val="24"/>
          <w:highlight w:val="none"/>
          <w:vertAlign w:val="subscript"/>
          <w:lang w:val="pt-BR"/>
        </w:rPr>
        <w:t>atm</w:t>
      </w:r>
      <w:r>
        <w:rPr>
          <w:rFonts w:hint="default" w:ascii="Times New Roman" w:hAnsi="Times New Roman" w:eastAsia="宋体" w:cs="Times New Roman"/>
          <w:color w:val="auto"/>
          <w:kern w:val="0"/>
          <w:sz w:val="24"/>
          <w:szCs w:val="24"/>
          <w:highlight w:val="none"/>
          <w:lang w:val="pt-BR"/>
        </w:rPr>
        <w:t>)</w:t>
      </w:r>
    </w:p>
    <w:p>
      <w:pPr>
        <w:keepNext w:val="0"/>
        <w:keepLines w:val="0"/>
        <w:pageBreakBefore w:val="0"/>
        <w:widowControl/>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式中：LA(r)—距声源r处的A声级；</w:t>
      </w:r>
    </w:p>
    <w:p>
      <w:pPr>
        <w:keepNext w:val="0"/>
        <w:keepLines w:val="0"/>
        <w:pageBreakBefore w:val="0"/>
        <w:widowControl/>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lang w:val="pt-BR"/>
        </w:rPr>
        <w:t>L</w:t>
      </w:r>
      <w:r>
        <w:rPr>
          <w:rFonts w:hint="default" w:ascii="Times New Roman" w:hAnsi="Times New Roman" w:eastAsia="宋体" w:cs="Times New Roman"/>
          <w:color w:val="auto"/>
          <w:kern w:val="0"/>
          <w:sz w:val="24"/>
          <w:szCs w:val="24"/>
          <w:highlight w:val="none"/>
          <w:vertAlign w:val="subscript"/>
          <w:lang w:val="pt-BR"/>
        </w:rPr>
        <w:t>Aref</w:t>
      </w:r>
      <w:r>
        <w:rPr>
          <w:rFonts w:hint="default" w:ascii="Times New Roman" w:hAnsi="Times New Roman" w:eastAsia="宋体" w:cs="Times New Roman"/>
          <w:color w:val="auto"/>
          <w:kern w:val="0"/>
          <w:sz w:val="24"/>
          <w:szCs w:val="24"/>
          <w:highlight w:val="none"/>
          <w:lang w:val="pt-BR"/>
        </w:rPr>
        <w:t>(r</w:t>
      </w:r>
      <w:r>
        <w:rPr>
          <w:rFonts w:hint="default" w:ascii="Times New Roman" w:hAnsi="Times New Roman" w:eastAsia="宋体" w:cs="Times New Roman"/>
          <w:color w:val="auto"/>
          <w:kern w:val="0"/>
          <w:sz w:val="24"/>
          <w:szCs w:val="24"/>
          <w:highlight w:val="none"/>
          <w:vertAlign w:val="subscript"/>
          <w:lang w:val="pt-BR"/>
        </w:rPr>
        <w:t>0</w:t>
      </w:r>
      <w:r>
        <w:rPr>
          <w:rFonts w:hint="default" w:ascii="Times New Roman" w:hAnsi="Times New Roman" w:eastAsia="宋体" w:cs="Times New Roman"/>
          <w:color w:val="auto"/>
          <w:kern w:val="0"/>
          <w:sz w:val="24"/>
          <w:szCs w:val="24"/>
          <w:highlight w:val="none"/>
          <w:lang w:val="pt-BR"/>
        </w:rPr>
        <w:t>)</w:t>
      </w:r>
      <w:r>
        <w:rPr>
          <w:rFonts w:hint="default" w:ascii="Times New Roman" w:hAnsi="Times New Roman" w:eastAsia="宋体" w:cs="Times New Roman"/>
          <w:color w:val="auto"/>
          <w:kern w:val="0"/>
          <w:sz w:val="24"/>
          <w:szCs w:val="24"/>
          <w:highlight w:val="none"/>
        </w:rPr>
        <w:t>—参考位置r</w:t>
      </w:r>
      <w:r>
        <w:rPr>
          <w:rFonts w:hint="default" w:ascii="Times New Roman" w:hAnsi="Times New Roman" w:eastAsia="宋体" w:cs="Times New Roman"/>
          <w:color w:val="auto"/>
          <w:kern w:val="0"/>
          <w:sz w:val="24"/>
          <w:szCs w:val="24"/>
          <w:highlight w:val="none"/>
          <w:vertAlign w:val="subscript"/>
        </w:rPr>
        <w:t>0</w:t>
      </w:r>
      <w:r>
        <w:rPr>
          <w:rFonts w:hint="default" w:ascii="Times New Roman" w:hAnsi="Times New Roman" w:eastAsia="宋体" w:cs="Times New Roman"/>
          <w:color w:val="auto"/>
          <w:kern w:val="0"/>
          <w:sz w:val="24"/>
          <w:szCs w:val="24"/>
          <w:highlight w:val="none"/>
        </w:rPr>
        <w:t>处的A声级；</w:t>
      </w:r>
    </w:p>
    <w:p>
      <w:pPr>
        <w:keepNext w:val="0"/>
        <w:keepLines w:val="0"/>
        <w:pageBreakBefore w:val="0"/>
        <w:widowControl/>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A</w:t>
      </w:r>
      <w:r>
        <w:rPr>
          <w:rFonts w:hint="default" w:ascii="Times New Roman" w:hAnsi="Times New Roman" w:eastAsia="宋体" w:cs="Times New Roman"/>
          <w:color w:val="auto"/>
          <w:kern w:val="0"/>
          <w:sz w:val="24"/>
          <w:szCs w:val="24"/>
          <w:highlight w:val="none"/>
          <w:vertAlign w:val="subscript"/>
        </w:rPr>
        <w:t>div</w:t>
      </w:r>
      <w:r>
        <w:rPr>
          <w:rFonts w:hint="default" w:ascii="Times New Roman" w:hAnsi="Times New Roman" w:eastAsia="宋体" w:cs="Times New Roman"/>
          <w:color w:val="auto"/>
          <w:kern w:val="0"/>
          <w:sz w:val="24"/>
          <w:szCs w:val="24"/>
          <w:highlight w:val="none"/>
        </w:rPr>
        <w:t>—声波几何发散引起的A声级衰减量；</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点声源：</w:t>
      </w:r>
      <w:r>
        <w:rPr>
          <w:rFonts w:hint="default" w:ascii="Times New Roman" w:hAnsi="Times New Roman" w:eastAsia="宋体" w:cs="Times New Roman"/>
          <w:color w:val="auto"/>
          <w:sz w:val="24"/>
          <w:szCs w:val="24"/>
          <w:highlight w:val="none"/>
          <w:lang w:val="pt-BR"/>
        </w:rPr>
        <w:t>A</w:t>
      </w:r>
      <w:r>
        <w:rPr>
          <w:rFonts w:hint="default" w:ascii="Times New Roman" w:hAnsi="Times New Roman" w:eastAsia="宋体" w:cs="Times New Roman"/>
          <w:color w:val="auto"/>
          <w:sz w:val="24"/>
          <w:szCs w:val="24"/>
          <w:highlight w:val="none"/>
          <w:vertAlign w:val="subscript"/>
          <w:lang w:val="pt-BR"/>
        </w:rPr>
        <w:t>div</w:t>
      </w:r>
      <w:r>
        <w:rPr>
          <w:rFonts w:hint="default" w:ascii="Times New Roman" w:hAnsi="Times New Roman" w:eastAsia="宋体" w:cs="Times New Roman"/>
          <w:color w:val="auto"/>
          <w:sz w:val="24"/>
          <w:szCs w:val="24"/>
          <w:highlight w:val="none"/>
          <w:lang w:val="pt-BR"/>
        </w:rPr>
        <w:t>=20lg(r/r</w:t>
      </w:r>
      <w:r>
        <w:rPr>
          <w:rFonts w:hint="default" w:ascii="Times New Roman" w:hAnsi="Times New Roman" w:eastAsia="宋体" w:cs="Times New Roman"/>
          <w:color w:val="auto"/>
          <w:sz w:val="24"/>
          <w:szCs w:val="24"/>
          <w:highlight w:val="none"/>
          <w:vertAlign w:val="subscript"/>
          <w:lang w:val="pt-BR"/>
        </w:rPr>
        <w:t>0</w:t>
      </w:r>
      <w:r>
        <w:rPr>
          <w:rFonts w:hint="default" w:ascii="Times New Roman" w:hAnsi="Times New Roman" w:eastAsia="宋体" w:cs="Times New Roman"/>
          <w:color w:val="auto"/>
          <w:sz w:val="24"/>
          <w:szCs w:val="24"/>
          <w:highlight w:val="none"/>
          <w:lang w:val="pt-BR"/>
        </w:rPr>
        <w:t>)</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式中：r—预测点距声源的距离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r</w:t>
      </w:r>
      <w:r>
        <w:rPr>
          <w:rFonts w:hint="default" w:ascii="Times New Roman" w:hAnsi="Times New Roman" w:eastAsia="宋体" w:cs="Times New Roman"/>
          <w:color w:val="auto"/>
          <w:sz w:val="24"/>
          <w:szCs w:val="24"/>
          <w:highlight w:val="none"/>
          <w:vertAlign w:val="subscript"/>
        </w:rPr>
        <w:t>0</w:t>
      </w:r>
      <w:r>
        <w:rPr>
          <w:rFonts w:hint="default" w:ascii="Times New Roman" w:hAnsi="Times New Roman" w:eastAsia="宋体" w:cs="Times New Roman"/>
          <w:color w:val="auto"/>
          <w:sz w:val="24"/>
          <w:szCs w:val="24"/>
          <w:highlight w:val="none"/>
        </w:rPr>
        <w:t>—参考位置距声源的距离</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m；</w:t>
      </w:r>
    </w:p>
    <w:p>
      <w:pPr>
        <w:keepNext w:val="0"/>
        <w:keepLines w:val="0"/>
        <w:pageBreakBefore w:val="0"/>
        <w:widowControl/>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A</w:t>
      </w:r>
      <w:r>
        <w:rPr>
          <w:rFonts w:hint="default" w:ascii="Times New Roman" w:hAnsi="Times New Roman" w:eastAsia="宋体" w:cs="Times New Roman"/>
          <w:color w:val="auto"/>
          <w:kern w:val="0"/>
          <w:sz w:val="24"/>
          <w:szCs w:val="24"/>
          <w:highlight w:val="none"/>
          <w:vertAlign w:val="subscript"/>
        </w:rPr>
        <w:t>bar</w:t>
      </w:r>
      <w:r>
        <w:rPr>
          <w:rFonts w:hint="default" w:ascii="Times New Roman" w:hAnsi="Times New Roman" w:eastAsia="宋体" w:cs="Times New Roman"/>
          <w:color w:val="auto"/>
          <w:kern w:val="0"/>
          <w:sz w:val="24"/>
          <w:szCs w:val="24"/>
          <w:highlight w:val="none"/>
        </w:rPr>
        <w:t>—声屏障引起的A声级衰减量；</w:t>
      </w:r>
    </w:p>
    <w:p>
      <w:pPr>
        <w:keepNext w:val="0"/>
        <w:keepLines w:val="0"/>
        <w:pageBreakBefore w:val="0"/>
        <w:widowControl/>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A</w:t>
      </w:r>
      <w:r>
        <w:rPr>
          <w:rFonts w:hint="default" w:ascii="Times New Roman" w:hAnsi="Times New Roman" w:eastAsia="宋体" w:cs="Times New Roman"/>
          <w:color w:val="auto"/>
          <w:kern w:val="0"/>
          <w:sz w:val="24"/>
          <w:szCs w:val="24"/>
          <w:highlight w:val="none"/>
          <w:vertAlign w:val="subscript"/>
        </w:rPr>
        <w:t>atm</w:t>
      </w:r>
      <w:r>
        <w:rPr>
          <w:rFonts w:hint="default" w:ascii="Times New Roman" w:hAnsi="Times New Roman" w:eastAsia="宋体" w:cs="Times New Roman"/>
          <w:color w:val="auto"/>
          <w:kern w:val="0"/>
          <w:sz w:val="24"/>
          <w:szCs w:val="24"/>
          <w:highlight w:val="none"/>
        </w:rPr>
        <w:t>—空气吸收引起的A声级衰减量；</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atm</w:t>
      </w:r>
      <w:r>
        <w:rPr>
          <w:rFonts w:hint="default" w:ascii="Times New Roman" w:hAnsi="Times New Roman" w:eastAsia="宋体" w:cs="Times New Roman"/>
          <w:color w:val="auto"/>
          <w:sz w:val="24"/>
          <w:szCs w:val="24"/>
          <w:highlight w:val="none"/>
        </w:rPr>
        <w:t>=a(r-r</w:t>
      </w:r>
      <w:r>
        <w:rPr>
          <w:rFonts w:hint="default" w:ascii="Times New Roman" w:hAnsi="Times New Roman" w:eastAsia="宋体" w:cs="Times New Roman"/>
          <w:color w:val="auto"/>
          <w:sz w:val="24"/>
          <w:szCs w:val="24"/>
          <w:highlight w:val="none"/>
          <w:vertAlign w:val="subscript"/>
        </w:rPr>
        <w:t>0</w:t>
      </w:r>
      <w:r>
        <w:rPr>
          <w:rFonts w:hint="default" w:ascii="Times New Roman" w:hAnsi="Times New Roman" w:eastAsia="宋体" w:cs="Times New Roman"/>
          <w:color w:val="auto"/>
          <w:sz w:val="24"/>
          <w:szCs w:val="24"/>
          <w:highlight w:val="none"/>
        </w:rPr>
        <w:t>)/100</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式中：a—每100m空气吸收系数，dB（A）/100m；</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各测点声压级按下列公示进行叠加：</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m:oMathPara>
        <m:oMath>
          <m:sSub>
            <m:sSubPr>
              <m:ctrlPr>
                <w:rPr>
                  <w:rFonts w:hint="default" w:ascii="Cambria Math" w:hAnsi="Cambria Math" w:eastAsia="宋体" w:cs="Times New Roman"/>
                  <w:color w:val="auto"/>
                  <w:sz w:val="24"/>
                  <w:szCs w:val="24"/>
                  <w:highlight w:val="none"/>
                </w:rPr>
              </m:ctrlPr>
            </m:sSubPr>
            <m:e>
              <m:r>
                <m:rPr/>
                <w:rPr>
                  <w:rFonts w:hint="default" w:ascii="Cambria Math" w:hAnsi="Cambria Math" w:eastAsia="宋体" w:cs="Times New Roman"/>
                  <w:color w:val="auto"/>
                  <w:sz w:val="24"/>
                  <w:szCs w:val="24"/>
                  <w:highlight w:val="none"/>
                </w:rPr>
                <m:t>L</m:t>
              </m:r>
              <m:ctrlPr>
                <w:rPr>
                  <w:rFonts w:hint="default" w:ascii="Cambria Math" w:hAnsi="Cambria Math" w:eastAsia="宋体" w:cs="Times New Roman"/>
                  <w:color w:val="auto"/>
                  <w:sz w:val="24"/>
                  <w:szCs w:val="24"/>
                  <w:highlight w:val="none"/>
                </w:rPr>
              </m:ctrlPr>
            </m:e>
            <m:sub>
              <m:r>
                <m:rPr/>
                <w:rPr>
                  <w:rFonts w:hint="default" w:ascii="Cambria Math" w:hAnsi="Cambria Math" w:eastAsia="宋体" w:cs="Times New Roman"/>
                  <w:color w:val="auto"/>
                  <w:sz w:val="24"/>
                  <w:szCs w:val="24"/>
                  <w:highlight w:val="none"/>
                </w:rPr>
                <m:t>总</m:t>
              </m:r>
              <m:ctrlPr>
                <w:rPr>
                  <w:rFonts w:hint="default" w:ascii="Cambria Math" w:hAnsi="Cambria Math" w:eastAsia="宋体" w:cs="Times New Roman"/>
                  <w:color w:val="auto"/>
                  <w:sz w:val="24"/>
                  <w:szCs w:val="24"/>
                  <w:highlight w:val="none"/>
                </w:rPr>
              </m:ctrlPr>
            </m:sub>
          </m:sSub>
          <m:r>
            <m:rPr/>
            <w:rPr>
              <w:rFonts w:hint="default" w:ascii="Cambria Math" w:hAnsi="Cambria Math" w:eastAsia="宋体" w:cs="Times New Roman"/>
              <w:color w:val="auto"/>
              <w:sz w:val="24"/>
              <w:szCs w:val="24"/>
              <w:highlight w:val="none"/>
            </w:rPr>
            <m:t>=10</m:t>
          </m:r>
          <m:r>
            <m:rPr>
              <m:sty m:val="p"/>
            </m:rPr>
            <w:rPr>
              <w:rFonts w:hint="default" w:ascii="Cambria Math" w:hAnsi="Cambria Math" w:eastAsia="宋体" w:cs="Times New Roman"/>
              <w:color w:val="auto"/>
              <w:sz w:val="24"/>
              <w:szCs w:val="24"/>
              <w:highlight w:val="none"/>
            </w:rPr>
            <m:t>lg⁡</m:t>
          </m:r>
          <m:r>
            <m:rPr/>
            <w:rPr>
              <w:rFonts w:hint="default" w:ascii="Cambria Math" w:hAnsi="Cambria Math" w:eastAsia="宋体" w:cs="Times New Roman"/>
              <w:color w:val="auto"/>
              <w:sz w:val="24"/>
              <w:szCs w:val="24"/>
              <w:highlight w:val="none"/>
            </w:rPr>
            <m:t>(</m:t>
          </m:r>
          <m:sSup>
            <m:sSupPr>
              <m:ctrlPr>
                <w:rPr>
                  <w:rFonts w:hint="default" w:ascii="Cambria Math" w:hAnsi="Cambria Math" w:eastAsia="宋体" w:cs="Times New Roman"/>
                  <w:i/>
                  <w:color w:val="auto"/>
                  <w:sz w:val="24"/>
                  <w:szCs w:val="24"/>
                  <w:highlight w:val="none"/>
                </w:rPr>
              </m:ctrlPr>
            </m:sSupPr>
            <m:e>
              <m:r>
                <m:rPr/>
                <w:rPr>
                  <w:rFonts w:hint="default" w:ascii="Cambria Math" w:hAnsi="Cambria Math" w:eastAsia="宋体" w:cs="Times New Roman"/>
                  <w:color w:val="auto"/>
                  <w:sz w:val="24"/>
                  <w:szCs w:val="24"/>
                  <w:highlight w:val="none"/>
                </w:rPr>
                <m:t>10</m:t>
              </m:r>
              <m:ctrlPr>
                <w:rPr>
                  <w:rFonts w:hint="default" w:ascii="Cambria Math" w:hAnsi="Cambria Math" w:eastAsia="宋体" w:cs="Times New Roman"/>
                  <w:i/>
                  <w:color w:val="auto"/>
                  <w:sz w:val="24"/>
                  <w:szCs w:val="24"/>
                  <w:highlight w:val="none"/>
                </w:rPr>
              </m:ctrlPr>
            </m:e>
            <m:sup>
              <m:r>
                <m:rPr/>
                <w:rPr>
                  <w:rFonts w:hint="default" w:ascii="Cambria Math" w:hAnsi="Cambria Math" w:eastAsia="宋体" w:cs="Times New Roman"/>
                  <w:color w:val="auto"/>
                  <w:sz w:val="24"/>
                  <w:szCs w:val="24"/>
                  <w:highlight w:val="none"/>
                </w:rPr>
                <m:t>0.1</m:t>
              </m:r>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L</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Sub>
              <m:ctrlPr>
                <w:rPr>
                  <w:rFonts w:hint="default" w:ascii="Cambria Math" w:hAnsi="Cambria Math" w:eastAsia="宋体" w:cs="Times New Roman"/>
                  <w:i/>
                  <w:color w:val="auto"/>
                  <w:sz w:val="24"/>
                  <w:szCs w:val="24"/>
                  <w:highlight w:val="none"/>
                </w:rPr>
              </m:ctrlPr>
            </m:sup>
          </m:sSup>
          <m:r>
            <m:rPr/>
            <w:rPr>
              <w:rFonts w:hint="default" w:ascii="Cambria Math" w:hAnsi="Cambria Math" w:eastAsia="宋体" w:cs="Times New Roman"/>
              <w:color w:val="auto"/>
              <w:sz w:val="24"/>
              <w:szCs w:val="24"/>
              <w:highlight w:val="none"/>
            </w:rPr>
            <m:t>+</m:t>
          </m:r>
          <m:nary>
            <m:naryPr>
              <m:chr m:val="∑"/>
              <m:limLoc m:val="undOvr"/>
              <m:ctrlPr>
                <w:rPr>
                  <w:rFonts w:hint="default" w:ascii="Cambria Math" w:hAnsi="Cambria Math" w:eastAsia="宋体" w:cs="Times New Roman"/>
                  <w:i/>
                  <w:color w:val="auto"/>
                  <w:sz w:val="24"/>
                  <w:szCs w:val="24"/>
                  <w:highlight w:val="none"/>
                </w:rPr>
              </m:ctrlPr>
            </m:naryPr>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up>
              <m:r>
                <m:rPr/>
                <w:rPr>
                  <w:rFonts w:hint="default" w:ascii="Cambria Math" w:hAnsi="Cambria Math" w:eastAsia="宋体" w:cs="Times New Roman"/>
                  <w:color w:val="auto"/>
                  <w:sz w:val="24"/>
                  <w:szCs w:val="24"/>
                  <w:highlight w:val="none"/>
                </w:rPr>
                <m:t>n</m:t>
              </m:r>
              <m:ctrlPr>
                <w:rPr>
                  <w:rFonts w:hint="default" w:ascii="Cambria Math" w:hAnsi="Cambria Math" w:eastAsia="宋体" w:cs="Times New Roman"/>
                  <w:i/>
                  <w:color w:val="auto"/>
                  <w:sz w:val="24"/>
                  <w:szCs w:val="24"/>
                  <w:highlight w:val="none"/>
                </w:rPr>
              </m:ctrlPr>
            </m:sup>
            <m:e>
              <m:sSup>
                <m:sSupPr>
                  <m:ctrlPr>
                    <w:rPr>
                      <w:rFonts w:hint="default" w:ascii="Cambria Math" w:hAnsi="Cambria Math" w:eastAsia="宋体" w:cs="Times New Roman"/>
                      <w:i/>
                      <w:color w:val="auto"/>
                      <w:sz w:val="24"/>
                      <w:szCs w:val="24"/>
                      <w:highlight w:val="none"/>
                    </w:rPr>
                  </m:ctrlPr>
                </m:sSupPr>
                <m:e>
                  <m:r>
                    <m:rPr/>
                    <w:rPr>
                      <w:rFonts w:hint="default" w:ascii="Cambria Math" w:hAnsi="Cambria Math" w:eastAsia="宋体" w:cs="Times New Roman"/>
                      <w:color w:val="auto"/>
                      <w:sz w:val="24"/>
                      <w:szCs w:val="24"/>
                      <w:highlight w:val="none"/>
                    </w:rPr>
                    <m:t>10</m:t>
                  </m:r>
                  <m:ctrlPr>
                    <w:rPr>
                      <w:rFonts w:hint="default" w:ascii="Cambria Math" w:hAnsi="Cambria Math" w:eastAsia="宋体" w:cs="Times New Roman"/>
                      <w:i/>
                      <w:color w:val="auto"/>
                      <w:sz w:val="24"/>
                      <w:szCs w:val="24"/>
                      <w:highlight w:val="none"/>
                    </w:rPr>
                  </m:ctrlPr>
                </m:e>
                <m:sup>
                  <m:r>
                    <m:rPr/>
                    <w:rPr>
                      <w:rFonts w:hint="default" w:ascii="Cambria Math" w:hAnsi="Cambria Math" w:eastAsia="宋体" w:cs="Times New Roman"/>
                      <w:color w:val="auto"/>
                      <w:sz w:val="24"/>
                      <w:szCs w:val="24"/>
                      <w:highlight w:val="none"/>
                    </w:rPr>
                    <m:t>0.1</m:t>
                  </m:r>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L</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Sub>
                  <m:ctrlPr>
                    <w:rPr>
                      <w:rFonts w:hint="default" w:ascii="Cambria Math" w:hAnsi="Cambria Math" w:eastAsia="宋体" w:cs="Times New Roman"/>
                      <w:i/>
                      <w:color w:val="auto"/>
                      <w:sz w:val="24"/>
                      <w:szCs w:val="24"/>
                      <w:highlight w:val="none"/>
                    </w:rPr>
                  </m:ctrlPr>
                </m:sup>
              </m:sSup>
              <m:ctrlPr>
                <w:rPr>
                  <w:rFonts w:hint="default" w:ascii="Cambria Math" w:hAnsi="Cambria Math" w:eastAsia="宋体" w:cs="Times New Roman"/>
                  <w:i/>
                  <w:color w:val="auto"/>
                  <w:sz w:val="24"/>
                  <w:szCs w:val="24"/>
                  <w:highlight w:val="none"/>
                </w:rPr>
              </m:ctrlPr>
            </m:e>
          </m:nary>
          <m:r>
            <m:rPr/>
            <w:rPr>
              <w:rFonts w:hint="default" w:ascii="Cambria Math" w:hAnsi="Cambria Math" w:eastAsia="宋体" w:cs="Times New Roman"/>
              <w:color w:val="auto"/>
              <w:sz w:val="24"/>
              <w:szCs w:val="24"/>
              <w:highlight w:val="none"/>
            </w:rPr>
            <m:t>)</m:t>
          </m:r>
        </m:oMath>
      </m:oMathPara>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式中：L</w:t>
      </w:r>
      <w:r>
        <w:rPr>
          <w:rFonts w:hint="default" w:ascii="Times New Roman" w:hAnsi="Times New Roman" w:eastAsia="宋体" w:cs="Times New Roman"/>
          <w:color w:val="auto"/>
          <w:sz w:val="24"/>
          <w:szCs w:val="24"/>
          <w:highlight w:val="none"/>
          <w:vertAlign w:val="subscript"/>
        </w:rPr>
        <w:t>总</w:t>
      </w:r>
      <w:r>
        <w:rPr>
          <w:rFonts w:hint="default" w:ascii="Times New Roman" w:hAnsi="Times New Roman" w:eastAsia="宋体" w:cs="Times New Roman"/>
          <w:color w:val="auto"/>
          <w:sz w:val="24"/>
          <w:szCs w:val="24"/>
          <w:highlight w:val="none"/>
        </w:rPr>
        <w:t>—测点总的A声级，dB（A）；</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L</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—第i个声源到预测点处的声压级，dB（A）；</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L</w:t>
      </w:r>
      <w:r>
        <w:rPr>
          <w:rFonts w:hint="default" w:ascii="Times New Roman" w:hAnsi="Times New Roman" w:eastAsia="宋体" w:cs="Times New Roman"/>
          <w:color w:val="auto"/>
          <w:sz w:val="24"/>
          <w:szCs w:val="24"/>
          <w:highlight w:val="none"/>
          <w:vertAlign w:val="subscript"/>
        </w:rPr>
        <w:t>b</w:t>
      </w:r>
      <w:r>
        <w:rPr>
          <w:rFonts w:hint="default" w:ascii="Times New Roman" w:hAnsi="Times New Roman" w:eastAsia="宋体" w:cs="Times New Roman"/>
          <w:color w:val="auto"/>
          <w:sz w:val="24"/>
          <w:szCs w:val="24"/>
          <w:highlight w:val="none"/>
        </w:rPr>
        <w:t>—环境噪声本底值；</w:t>
      </w:r>
    </w:p>
    <w:p>
      <w:pPr>
        <w:pStyle w:val="78"/>
        <w:keepNext w:val="0"/>
        <w:keepLines w:val="0"/>
        <w:pageBreakBefore w:val="0"/>
        <w:kinsoku/>
        <w:wordWrap/>
        <w:overflowPunct/>
        <w:topLinePunct w:val="0"/>
        <w:autoSpaceDE/>
        <w:autoSpaceDN/>
        <w:bidi w:val="0"/>
        <w:adjustRightInd w:val="0"/>
        <w:snapToGrid w:val="0"/>
        <w:ind w:firstLine="488"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n—声源个数。</w:t>
      </w:r>
    </w:p>
    <w:p>
      <w:pPr>
        <w:pStyle w:val="14"/>
        <w:keepNext w:val="0"/>
        <w:keepLines w:val="0"/>
        <w:pageBreakBefore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3）预测结果及影响分析</w:t>
      </w:r>
    </w:p>
    <w:p>
      <w:pPr>
        <w:keepNext w:val="0"/>
        <w:keepLines w:val="0"/>
        <w:pageBreakBefore w:val="0"/>
        <w:kinsoku/>
        <w:wordWrap/>
        <w:overflowPunct/>
        <w:topLinePunct w:val="0"/>
        <w:autoSpaceDE/>
        <w:autoSpaceDN/>
        <w:bidi w:val="0"/>
        <w:adjustRightInd w:val="0"/>
        <w:snapToGrid w:val="0"/>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本次评价采用《环境影响评价技术导则（声环境）》（HJ2.4-2021）工业噪声室外声源预测模式和多源噪声叠加公式进行预测。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w:t>
      </w:r>
      <w:r>
        <w:rPr>
          <w:rFonts w:hint="default" w:ascii="Times New Roman" w:hAnsi="Times New Roman" w:eastAsia="宋体" w:cs="Times New Roman"/>
          <w:color w:val="auto"/>
          <w:highlight w:val="none"/>
          <w:lang w:val="en-US" w:eastAsia="zh-CN"/>
        </w:rPr>
        <w:t>露天采场</w:t>
      </w:r>
      <w:r>
        <w:rPr>
          <w:rFonts w:hint="default" w:ascii="Times New Roman" w:hAnsi="Times New Roman" w:eastAsia="宋体" w:cs="Times New Roman"/>
          <w:color w:val="auto"/>
          <w:highlight w:val="none"/>
        </w:rPr>
        <w:t>总平布置图中所确定的各个高噪声源及其与各个厂界的相对位置，利用上述预测模式和确定的各噪声源经消声、设备减震等措施后的的声级值，对各场界和声敏感点的噪声级进行预测计算，预测结果见表</w:t>
      </w:r>
      <w:r>
        <w:rPr>
          <w:rFonts w:hint="default" w:ascii="Times New Roman" w:hAnsi="Times New Roman" w:eastAsia="宋体" w:cs="Times New Roman"/>
          <w:color w:val="auto"/>
          <w:highlight w:val="none"/>
          <w:lang w:val="en-US" w:eastAsia="zh-CN"/>
        </w:rPr>
        <w:t>6.2-</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w:t>
      </w:r>
    </w:p>
    <w:p>
      <w:pPr>
        <w:spacing w:line="240" w:lineRule="auto"/>
        <w:ind w:firstLine="0" w:firstLineChars="0"/>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6.2-</w:t>
      </w:r>
      <w:r>
        <w:rPr>
          <w:rFonts w:hint="eastAsia" w:ascii="Times New Roman" w:hAnsi="Times New Roman" w:eastAsia="宋体" w:cs="Times New Roman"/>
          <w:b/>
          <w:color w:val="auto"/>
          <w:sz w:val="21"/>
          <w:szCs w:val="21"/>
          <w:highlight w:val="none"/>
          <w:lang w:val="en-US" w:eastAsia="zh-CN"/>
        </w:rPr>
        <w:t>9</w:t>
      </w:r>
      <w:r>
        <w:rPr>
          <w:rFonts w:hint="default" w:ascii="Times New Roman" w:hAnsi="Times New Roman" w:eastAsia="宋体" w:cs="Times New Roman"/>
          <w:b/>
          <w:color w:val="auto"/>
          <w:sz w:val="21"/>
          <w:szCs w:val="21"/>
          <w:highlight w:val="none"/>
          <w:lang w:val="en-US" w:eastAsia="zh-CN"/>
        </w:rPr>
        <w:t>矿界</w:t>
      </w:r>
      <w:r>
        <w:rPr>
          <w:rFonts w:hint="default" w:ascii="Times New Roman" w:hAnsi="Times New Roman" w:eastAsia="宋体" w:cs="Times New Roman"/>
          <w:b/>
          <w:color w:val="auto"/>
          <w:sz w:val="21"/>
          <w:szCs w:val="21"/>
          <w:highlight w:val="none"/>
        </w:rPr>
        <w:t>噪声预测结果单位：</w:t>
      </w:r>
      <w:r>
        <w:rPr>
          <w:rFonts w:hint="default" w:ascii="Times New Roman" w:hAnsi="Times New Roman" w:eastAsia="宋体" w:cs="Times New Roman"/>
          <w:b/>
          <w:color w:val="auto"/>
          <w:kern w:val="0"/>
          <w:sz w:val="21"/>
          <w:szCs w:val="21"/>
          <w:highlight w:val="none"/>
        </w:rPr>
        <w:t>dB(A)</w:t>
      </w:r>
    </w:p>
    <w:tbl>
      <w:tblPr>
        <w:tblStyle w:val="45"/>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066"/>
        <w:gridCol w:w="1443"/>
        <w:gridCol w:w="1320"/>
        <w:gridCol w:w="1320"/>
        <w:gridCol w:w="1320"/>
        <w:gridCol w:w="1331"/>
        <w:gridCol w:w="148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574"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噪声源</w:t>
            </w:r>
          </w:p>
        </w:tc>
        <w:tc>
          <w:tcPr>
            <w:tcW w:w="777"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源强dB(A)</w:t>
            </w:r>
          </w:p>
        </w:tc>
        <w:tc>
          <w:tcPr>
            <w:tcW w:w="2850" w:type="pct"/>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噪声贡献值/dB（A）</w:t>
            </w:r>
          </w:p>
        </w:tc>
        <w:tc>
          <w:tcPr>
            <w:tcW w:w="798"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保护目标dB（A）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74"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东</w:t>
            </w:r>
          </w:p>
        </w:tc>
        <w:tc>
          <w:tcPr>
            <w:tcW w:w="711"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南</w:t>
            </w:r>
          </w:p>
        </w:tc>
        <w:tc>
          <w:tcPr>
            <w:tcW w:w="711"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西</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北</w:t>
            </w:r>
          </w:p>
        </w:tc>
        <w:tc>
          <w:tcPr>
            <w:tcW w:w="798"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000" w:type="pct"/>
            <w:gridSpan w:val="7"/>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露天一采场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74"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潜孔钻机</w:t>
            </w:r>
          </w:p>
        </w:tc>
        <w:tc>
          <w:tcPr>
            <w:tcW w:w="777"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691m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872m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147m</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131m</w:t>
            </w:r>
          </w:p>
        </w:tc>
        <w:tc>
          <w:tcPr>
            <w:tcW w:w="798"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王家堡1334m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74"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23.2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21.2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36.7 </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37.7 </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17.5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74"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空压机</w:t>
            </w:r>
          </w:p>
        </w:tc>
        <w:tc>
          <w:tcPr>
            <w:tcW w:w="777"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635m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860m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91m</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157m</w:t>
            </w:r>
          </w:p>
        </w:tc>
        <w:tc>
          <w:tcPr>
            <w:tcW w:w="798"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王家堡1358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PrEx>
        <w:trPr>
          <w:trHeight w:val="270" w:hRule="atLeast"/>
        </w:trPr>
        <w:tc>
          <w:tcPr>
            <w:tcW w:w="574"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13.9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11.3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30.8 </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26.1 </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7.3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74"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挖掘机</w:t>
            </w:r>
          </w:p>
        </w:tc>
        <w:tc>
          <w:tcPr>
            <w:tcW w:w="777"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596m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823m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137m</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174m</w:t>
            </w:r>
          </w:p>
        </w:tc>
        <w:tc>
          <w:tcPr>
            <w:tcW w:w="798"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王家堡1367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74"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24.5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21.7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37.3 </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35.2 </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17.3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74"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铲车</w:t>
            </w:r>
          </w:p>
        </w:tc>
        <w:tc>
          <w:tcPr>
            <w:tcW w:w="777"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575m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838m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114m</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185m</w:t>
            </w:r>
          </w:p>
        </w:tc>
        <w:tc>
          <w:tcPr>
            <w:tcW w:w="798"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王家堡1254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74"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24.8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21.5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38.9 </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34.7 </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18.0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000" w:type="pct"/>
            <w:gridSpan w:val="7"/>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露天二采场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74"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潜孔钻机</w:t>
            </w:r>
          </w:p>
        </w:tc>
        <w:tc>
          <w:tcPr>
            <w:tcW w:w="777"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400m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484m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109m</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487m</w:t>
            </w:r>
          </w:p>
        </w:tc>
        <w:tc>
          <w:tcPr>
            <w:tcW w:w="798"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王家堡1650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574"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28.0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26.3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39.3 </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26.2 </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15.7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574"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空压机</w:t>
            </w:r>
          </w:p>
        </w:tc>
        <w:tc>
          <w:tcPr>
            <w:tcW w:w="777"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70</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406m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448m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78</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536m</w:t>
            </w:r>
          </w:p>
        </w:tc>
        <w:tc>
          <w:tcPr>
            <w:tcW w:w="798"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王家堡1680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74"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17.8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17.0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32.2m </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15.4 </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5.5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74"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挖掘机</w:t>
            </w:r>
          </w:p>
        </w:tc>
        <w:tc>
          <w:tcPr>
            <w:tcW w:w="777"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377m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485m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125</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474m</w:t>
            </w:r>
          </w:p>
        </w:tc>
        <w:tc>
          <w:tcPr>
            <w:tcW w:w="798"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王家堡1611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74"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28.5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26.3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38.1m </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26.5 </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15.9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574"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铲车</w:t>
            </w:r>
          </w:p>
        </w:tc>
        <w:tc>
          <w:tcPr>
            <w:tcW w:w="777" w:type="pct"/>
            <w:vMerge w:val="restar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80</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400m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453m</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73m</w:t>
            </w:r>
          </w:p>
        </w:tc>
        <w:tc>
          <w:tcPr>
            <w:tcW w:w="714"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520m</w:t>
            </w:r>
          </w:p>
        </w:tc>
        <w:tc>
          <w:tcPr>
            <w:tcW w:w="798" w:type="pct"/>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王家堡1568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574"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777" w:type="pct"/>
            <w:vMerge w:val="continue"/>
            <w:tcBorders>
              <w:tl2br w:val="nil"/>
              <w:tr2bl w:val="nil"/>
            </w:tcBorders>
            <w:shd w:val="clear" w:color="auto" w:fill="auto"/>
            <w:noWrap/>
            <w:vAlign w:val="center"/>
          </w:tcPr>
          <w:p>
            <w:pPr>
              <w:pStyle w:val="104"/>
              <w:jc w:val="center"/>
              <w:rPr>
                <w:rFonts w:hint="default" w:ascii="Times New Roman" w:hAnsi="Times New Roman" w:eastAsia="宋体" w:cs="Times New Roman"/>
                <w:color w:val="auto"/>
                <w:highlight w:val="none"/>
                <w:lang w:val="en-US" w:eastAsia="zh-CN"/>
              </w:rPr>
            </w:pP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28.0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26.9 </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42.7 </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25.7 </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16.1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1351" w:type="pct"/>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bookmarkStart w:id="558" w:name="_Toc450827063"/>
            <w:r>
              <w:rPr>
                <w:rFonts w:hint="default" w:ascii="Times New Roman" w:hAnsi="Times New Roman" w:eastAsia="宋体" w:cs="Times New Roman"/>
                <w:color w:val="auto"/>
                <w:highlight w:val="none"/>
                <w:lang w:val="en-US" w:eastAsia="zh-CN"/>
              </w:rPr>
              <w:t>超标达标情况</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达标</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达标</w:t>
            </w:r>
          </w:p>
        </w:tc>
        <w:tc>
          <w:tcPr>
            <w:tcW w:w="71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达标</w:t>
            </w:r>
          </w:p>
        </w:tc>
        <w:tc>
          <w:tcPr>
            <w:tcW w:w="714"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达标</w:t>
            </w:r>
          </w:p>
        </w:tc>
        <w:tc>
          <w:tcPr>
            <w:tcW w:w="798"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r>
    </w:tbl>
    <w:p>
      <w:pPr>
        <w:pStyle w:val="62"/>
        <w:spacing w:line="360" w:lineRule="auto"/>
        <w:ind w:firstLine="488"/>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snapToGrid w:val="0"/>
          <w:color w:val="auto"/>
          <w:spacing w:val="2"/>
          <w:kern w:val="0"/>
          <w:highlight w:val="none"/>
        </w:rPr>
        <w:t>由预测结果可见：本项目运营期</w:t>
      </w:r>
      <w:r>
        <w:rPr>
          <w:rFonts w:hint="eastAsia" w:ascii="Times New Roman" w:hAnsi="Times New Roman" w:cs="Times New Roman"/>
          <w:snapToGrid w:val="0"/>
          <w:color w:val="auto"/>
          <w:spacing w:val="2"/>
          <w:kern w:val="0"/>
          <w:highlight w:val="none"/>
          <w:lang w:val="en-US" w:eastAsia="zh-CN"/>
        </w:rPr>
        <w:t>矿界</w:t>
      </w:r>
      <w:r>
        <w:rPr>
          <w:rFonts w:hint="default" w:ascii="Times New Roman" w:hAnsi="Times New Roman" w:eastAsia="宋体" w:cs="Times New Roman"/>
          <w:snapToGrid w:val="0"/>
          <w:color w:val="auto"/>
          <w:spacing w:val="2"/>
          <w:kern w:val="0"/>
          <w:highlight w:val="none"/>
          <w:lang w:val="en-US" w:eastAsia="zh-CN"/>
        </w:rPr>
        <w:t>噪声</w:t>
      </w:r>
      <w:r>
        <w:rPr>
          <w:rFonts w:hint="default" w:ascii="Times New Roman" w:hAnsi="Times New Roman" w:eastAsia="宋体" w:cs="Times New Roman"/>
          <w:snapToGrid w:val="0"/>
          <w:color w:val="auto"/>
          <w:spacing w:val="2"/>
          <w:kern w:val="0"/>
          <w:highlight w:val="none"/>
        </w:rPr>
        <w:t>贡献值满足《工业企业厂界环境噪声排放标准》（GB12348-2008）中的</w:t>
      </w:r>
      <w:r>
        <w:rPr>
          <w:rFonts w:hint="eastAsia" w:ascii="Times New Roman" w:hAnsi="Times New Roman" w:cs="Times New Roman"/>
          <w:snapToGrid w:val="0"/>
          <w:color w:val="auto"/>
          <w:spacing w:val="2"/>
          <w:kern w:val="0"/>
          <w:highlight w:val="none"/>
          <w:lang w:val="en-US" w:eastAsia="zh-CN"/>
        </w:rPr>
        <w:t>1</w:t>
      </w:r>
      <w:r>
        <w:rPr>
          <w:rFonts w:hint="default" w:ascii="Times New Roman" w:hAnsi="Times New Roman" w:eastAsia="宋体" w:cs="Times New Roman"/>
          <w:snapToGrid w:val="0"/>
          <w:color w:val="auto"/>
          <w:spacing w:val="2"/>
          <w:kern w:val="0"/>
          <w:highlight w:val="none"/>
        </w:rPr>
        <w:t>类标准</w:t>
      </w:r>
      <w:r>
        <w:rPr>
          <w:rFonts w:hint="default" w:ascii="Times New Roman" w:hAnsi="Times New Roman" w:eastAsia="宋体" w:cs="Times New Roman"/>
          <w:color w:val="auto"/>
          <w:highlight w:val="none"/>
        </w:rPr>
        <w:t>（即昼间≤</w:t>
      </w:r>
      <w:r>
        <w:rPr>
          <w:rFonts w:hint="eastAsia" w:ascii="Times New Roman" w:hAnsi="Times New Roman" w:cs="Times New Roman"/>
          <w:color w:val="auto"/>
          <w:highlight w:val="none"/>
          <w:lang w:val="en-US" w:eastAsia="zh-CN"/>
        </w:rPr>
        <w:t>55</w:t>
      </w:r>
      <w:r>
        <w:rPr>
          <w:rFonts w:hint="default" w:ascii="Times New Roman" w:hAnsi="Times New Roman" w:eastAsia="宋体" w:cs="Times New Roman"/>
          <w:color w:val="auto"/>
          <w:highlight w:val="none"/>
        </w:rPr>
        <w:t>dB(A)，夜间≤</w:t>
      </w:r>
      <w:r>
        <w:rPr>
          <w:rFonts w:hint="eastAsia" w:ascii="Times New Roman" w:hAnsi="Times New Roman" w:cs="Times New Roman"/>
          <w:color w:val="auto"/>
          <w:highlight w:val="none"/>
          <w:lang w:val="en-US" w:eastAsia="zh-CN"/>
        </w:rPr>
        <w:t>45</w:t>
      </w:r>
      <w:r>
        <w:rPr>
          <w:rFonts w:hint="default" w:ascii="Times New Roman" w:hAnsi="Times New Roman" w:eastAsia="宋体" w:cs="Times New Roman"/>
          <w:color w:val="auto"/>
          <w:highlight w:val="none"/>
        </w:rPr>
        <w:t>dB(A)）的限值要求</w:t>
      </w:r>
      <w:r>
        <w:rPr>
          <w:rFonts w:hint="default" w:ascii="Times New Roman" w:hAnsi="Times New Roman" w:eastAsia="宋体" w:cs="Times New Roman"/>
          <w:color w:val="auto"/>
          <w:highlight w:val="none"/>
          <w:lang w:eastAsia="zh-CN"/>
        </w:rPr>
        <w:t>。</w:t>
      </w:r>
    </w:p>
    <w:p>
      <w:pPr>
        <w:spacing w:line="240" w:lineRule="auto"/>
        <w:ind w:firstLine="0" w:firstLineChars="0"/>
        <w:jc w:val="center"/>
        <w:rPr>
          <w:rFonts w:hint="default" w:ascii="Times New Roman" w:hAnsi="Times New Roman" w:eastAsia="宋体" w:cs="Times New Roman"/>
          <w:b/>
          <w:color w:val="auto"/>
          <w:sz w:val="21"/>
          <w:szCs w:val="21"/>
          <w:highlight w:val="none"/>
          <w:lang w:eastAsia="zh-CN"/>
        </w:rPr>
      </w:pPr>
    </w:p>
    <w:p>
      <w:pPr>
        <w:spacing w:line="240" w:lineRule="auto"/>
        <w:ind w:firstLine="0" w:firstLineChars="0"/>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表</w:t>
      </w:r>
      <w:r>
        <w:rPr>
          <w:rFonts w:hint="default" w:ascii="Times New Roman" w:hAnsi="Times New Roman" w:eastAsia="宋体" w:cs="Times New Roman"/>
          <w:b/>
          <w:color w:val="auto"/>
          <w:sz w:val="21"/>
          <w:szCs w:val="21"/>
          <w:highlight w:val="none"/>
          <w:lang w:val="en-US" w:eastAsia="zh-CN"/>
        </w:rPr>
        <w:t>6</w:t>
      </w:r>
      <w:r>
        <w:rPr>
          <w:rFonts w:hint="default" w:ascii="Times New Roman" w:hAnsi="Times New Roman" w:eastAsia="宋体" w:cs="Times New Roman"/>
          <w:b/>
          <w:color w:val="auto"/>
          <w:sz w:val="21"/>
          <w:szCs w:val="21"/>
          <w:highlight w:val="none"/>
          <w:lang w:eastAsia="zh-CN"/>
        </w:rPr>
        <w:t>.2-</w:t>
      </w:r>
      <w:r>
        <w:rPr>
          <w:rFonts w:hint="eastAsia" w:ascii="Times New Roman" w:hAnsi="Times New Roman" w:eastAsia="宋体" w:cs="Times New Roman"/>
          <w:b/>
          <w:color w:val="auto"/>
          <w:sz w:val="21"/>
          <w:szCs w:val="21"/>
          <w:highlight w:val="none"/>
          <w:lang w:val="en-US" w:eastAsia="zh-CN"/>
        </w:rPr>
        <w:t>10</w:t>
      </w:r>
      <w:r>
        <w:rPr>
          <w:rFonts w:hint="default" w:ascii="Times New Roman" w:hAnsi="Times New Roman" w:eastAsia="宋体" w:cs="Times New Roman"/>
          <w:b/>
          <w:color w:val="auto"/>
          <w:sz w:val="21"/>
          <w:szCs w:val="21"/>
          <w:highlight w:val="none"/>
          <w:lang w:eastAsia="zh-CN"/>
        </w:rPr>
        <w:t>敏感点噪声预测结果 单位：dB(A)</w:t>
      </w:r>
    </w:p>
    <w:tbl>
      <w:tblPr>
        <w:tblStyle w:val="45"/>
        <w:tblW w:w="4996"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678"/>
        <w:gridCol w:w="1582"/>
        <w:gridCol w:w="904"/>
        <w:gridCol w:w="904"/>
        <w:gridCol w:w="911"/>
        <w:gridCol w:w="904"/>
        <w:gridCol w:w="904"/>
        <w:gridCol w:w="911"/>
        <w:gridCol w:w="789"/>
        <w:gridCol w:w="793"/>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00" w:hRule="atLeast"/>
        </w:trPr>
        <w:tc>
          <w:tcPr>
            <w:tcW w:w="365"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序号</w:t>
            </w:r>
          </w:p>
        </w:tc>
        <w:tc>
          <w:tcPr>
            <w:tcW w:w="851" w:type="pct"/>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环境保护目标</w:t>
            </w:r>
          </w:p>
        </w:tc>
        <w:tc>
          <w:tcPr>
            <w:tcW w:w="1465" w:type="pct"/>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昼间噪声/dB（A）</w:t>
            </w:r>
          </w:p>
        </w:tc>
        <w:tc>
          <w:tcPr>
            <w:tcW w:w="1465" w:type="pct"/>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夜间噪声/dB（A）</w:t>
            </w:r>
          </w:p>
        </w:tc>
        <w:tc>
          <w:tcPr>
            <w:tcW w:w="852" w:type="pct"/>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超标达标情况</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70" w:hRule="atLeast"/>
        </w:trPr>
        <w:tc>
          <w:tcPr>
            <w:tcW w:w="365"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851" w:type="pct"/>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p>
        </w:tc>
        <w:tc>
          <w:tcPr>
            <w:tcW w:w="48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背景值</w:t>
            </w:r>
          </w:p>
        </w:tc>
        <w:tc>
          <w:tcPr>
            <w:tcW w:w="48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贡献值</w:t>
            </w:r>
          </w:p>
        </w:tc>
        <w:tc>
          <w:tcPr>
            <w:tcW w:w="49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预测值</w:t>
            </w:r>
          </w:p>
        </w:tc>
        <w:tc>
          <w:tcPr>
            <w:tcW w:w="48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背景值</w:t>
            </w:r>
          </w:p>
        </w:tc>
        <w:tc>
          <w:tcPr>
            <w:tcW w:w="48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贡献值</w:t>
            </w:r>
          </w:p>
        </w:tc>
        <w:tc>
          <w:tcPr>
            <w:tcW w:w="49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预测值</w:t>
            </w:r>
          </w:p>
        </w:tc>
        <w:tc>
          <w:tcPr>
            <w:tcW w:w="425"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昼间</w:t>
            </w:r>
          </w:p>
        </w:tc>
        <w:tc>
          <w:tcPr>
            <w:tcW w:w="42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夜间</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365"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85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王家堡</w:t>
            </w:r>
          </w:p>
        </w:tc>
        <w:tc>
          <w:tcPr>
            <w:tcW w:w="48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w:t>
            </w:r>
          </w:p>
        </w:tc>
        <w:tc>
          <w:tcPr>
            <w:tcW w:w="48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w:t>
            </w:r>
          </w:p>
        </w:tc>
        <w:tc>
          <w:tcPr>
            <w:tcW w:w="49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51.1</w:t>
            </w:r>
          </w:p>
        </w:tc>
        <w:tc>
          <w:tcPr>
            <w:tcW w:w="48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w:t>
            </w:r>
          </w:p>
        </w:tc>
        <w:tc>
          <w:tcPr>
            <w:tcW w:w="48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18</w:t>
            </w:r>
          </w:p>
        </w:tc>
        <w:tc>
          <w:tcPr>
            <w:tcW w:w="491"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40.1</w:t>
            </w:r>
          </w:p>
        </w:tc>
        <w:tc>
          <w:tcPr>
            <w:tcW w:w="425"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达标</w:t>
            </w:r>
          </w:p>
        </w:tc>
        <w:tc>
          <w:tcPr>
            <w:tcW w:w="427" w:type="pct"/>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达标</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285" w:hRule="atLeast"/>
        </w:trPr>
        <w:tc>
          <w:tcPr>
            <w:tcW w:w="1217" w:type="pct"/>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标准</w:t>
            </w:r>
          </w:p>
        </w:tc>
        <w:tc>
          <w:tcPr>
            <w:tcW w:w="3782" w:type="pct"/>
            <w:gridSpan w:val="8"/>
            <w:tcBorders>
              <w:tl2br w:val="nil"/>
              <w:tr2bl w:val="nil"/>
            </w:tcBorders>
            <w:shd w:val="clear" w:color="auto" w:fill="auto"/>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snapToGrid w:val="0"/>
                <w:color w:val="auto"/>
                <w:spacing w:val="2"/>
                <w:kern w:val="0"/>
                <w:highlight w:val="none"/>
              </w:rPr>
              <w:t>（GB12348-2008）中的</w:t>
            </w:r>
            <w:r>
              <w:rPr>
                <w:rFonts w:hint="default" w:ascii="Times New Roman" w:hAnsi="Times New Roman" w:eastAsia="宋体" w:cs="Times New Roman"/>
                <w:snapToGrid w:val="0"/>
                <w:color w:val="auto"/>
                <w:spacing w:val="2"/>
                <w:kern w:val="0"/>
                <w:highlight w:val="none"/>
                <w:lang w:val="en-US" w:eastAsia="zh-CN"/>
              </w:rPr>
              <w:t>1</w:t>
            </w:r>
            <w:r>
              <w:rPr>
                <w:rFonts w:hint="default" w:ascii="Times New Roman" w:hAnsi="Times New Roman" w:eastAsia="宋体" w:cs="Times New Roman"/>
                <w:snapToGrid w:val="0"/>
                <w:color w:val="auto"/>
                <w:spacing w:val="2"/>
                <w:kern w:val="0"/>
                <w:highlight w:val="none"/>
              </w:rPr>
              <w:t>类标准</w:t>
            </w:r>
            <w:r>
              <w:rPr>
                <w:rFonts w:hint="default" w:ascii="Times New Roman" w:hAnsi="Times New Roman" w:eastAsia="宋体" w:cs="Times New Roman"/>
                <w:color w:val="auto"/>
                <w:highlight w:val="none"/>
              </w:rPr>
              <w:t>（即昼间≤55dB(A)，夜间≤45dB(A)）</w:t>
            </w:r>
          </w:p>
        </w:tc>
      </w:tr>
    </w:tbl>
    <w:p>
      <w:pPr>
        <w:pStyle w:val="62"/>
        <w:spacing w:line="360" w:lineRule="auto"/>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矿区周围500米范围内无居民点，距离最近居民点为北侧850m王家堡，居民点噪声预测值满足</w:t>
      </w:r>
      <w:r>
        <w:rPr>
          <w:rFonts w:hint="default" w:ascii="Times New Roman" w:hAnsi="Times New Roman" w:eastAsia="宋体" w:cs="Times New Roman"/>
          <w:snapToGrid w:val="0"/>
          <w:color w:val="auto"/>
          <w:spacing w:val="2"/>
          <w:kern w:val="0"/>
          <w:highlight w:val="none"/>
        </w:rPr>
        <w:t>《工业企业厂界环境噪声排放标准》（GB12348-2008）中的</w:t>
      </w:r>
      <w:r>
        <w:rPr>
          <w:rFonts w:hint="default" w:ascii="Times New Roman" w:hAnsi="Times New Roman" w:eastAsia="宋体" w:cs="Times New Roman"/>
          <w:snapToGrid w:val="0"/>
          <w:color w:val="auto"/>
          <w:spacing w:val="2"/>
          <w:kern w:val="0"/>
          <w:highlight w:val="none"/>
          <w:lang w:val="en-US" w:eastAsia="zh-CN"/>
        </w:rPr>
        <w:t>1</w:t>
      </w:r>
      <w:r>
        <w:rPr>
          <w:rFonts w:hint="default" w:ascii="Times New Roman" w:hAnsi="Times New Roman" w:eastAsia="宋体" w:cs="Times New Roman"/>
          <w:snapToGrid w:val="0"/>
          <w:color w:val="auto"/>
          <w:spacing w:val="2"/>
          <w:kern w:val="0"/>
          <w:highlight w:val="none"/>
        </w:rPr>
        <w:t>类标准</w:t>
      </w:r>
      <w:r>
        <w:rPr>
          <w:rFonts w:hint="default" w:ascii="Times New Roman" w:hAnsi="Times New Roman" w:eastAsia="宋体" w:cs="Times New Roman"/>
          <w:color w:val="auto"/>
          <w:highlight w:val="none"/>
        </w:rPr>
        <w:t>（即昼间≤55dB(A)，夜间≤45dB(A)）的限值要求。</w:t>
      </w:r>
    </w:p>
    <w:p>
      <w:pPr>
        <w:ind w:left="0" w:leftChars="0" w:firstLine="0" w:firstLineChars="0"/>
        <w:rPr>
          <w:color w:val="auto"/>
        </w:rPr>
      </w:pPr>
      <w:r>
        <w:rPr>
          <w:color w:val="auto"/>
        </w:rPr>
        <w:drawing>
          <wp:inline distT="0" distB="0" distL="114300" distR="114300">
            <wp:extent cx="5753735" cy="3684270"/>
            <wp:effectExtent l="0" t="0" r="18415" b="11430"/>
            <wp:docPr id="3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8"/>
                    <pic:cNvPicPr>
                      <a:picLocks noChangeAspect="1"/>
                    </pic:cNvPicPr>
                  </pic:nvPicPr>
                  <pic:blipFill>
                    <a:blip r:embed="rId196"/>
                    <a:stretch>
                      <a:fillRect/>
                    </a:stretch>
                  </pic:blipFill>
                  <pic:spPr>
                    <a:xfrm>
                      <a:off x="0" y="0"/>
                      <a:ext cx="5753735" cy="3684270"/>
                    </a:xfrm>
                    <a:prstGeom prst="rect">
                      <a:avLst/>
                    </a:prstGeom>
                    <a:noFill/>
                    <a:ln>
                      <a:noFill/>
                    </a:ln>
                  </pic:spPr>
                </pic:pic>
              </a:graphicData>
            </a:graphic>
          </wp:inline>
        </w:drawing>
      </w:r>
    </w:p>
    <w:p>
      <w:pPr>
        <w:pStyle w:val="2"/>
        <w:jc w:val="center"/>
        <w:rPr>
          <w:rFonts w:hint="default"/>
          <w:b/>
          <w:bCs/>
          <w:color w:val="auto"/>
        </w:rPr>
      </w:pPr>
      <w:r>
        <w:rPr>
          <w:rFonts w:hint="eastAsia" w:ascii="宋体" w:hAnsi="宋体" w:eastAsia="宋体"/>
          <w:b/>
          <w:bCs/>
          <w:color w:val="auto"/>
          <w:sz w:val="21"/>
          <w:szCs w:val="24"/>
        </w:rPr>
        <w:t>图</w:t>
      </w:r>
      <w:r>
        <w:rPr>
          <w:rFonts w:hint="eastAsia" w:ascii="Times New Roman" w:hAnsi="Times New Roman" w:eastAsia="宋体"/>
          <w:b/>
          <w:bCs/>
          <w:color w:val="auto"/>
          <w:sz w:val="21"/>
          <w:szCs w:val="24"/>
          <w:lang w:val="en-US" w:eastAsia="zh-CN"/>
        </w:rPr>
        <w:t>6</w:t>
      </w:r>
      <w:r>
        <w:rPr>
          <w:rFonts w:hint="default" w:ascii="Times New Roman" w:hAnsi="Times New Roman" w:eastAsia="Times New Roman"/>
          <w:b/>
          <w:bCs/>
          <w:color w:val="auto"/>
          <w:sz w:val="21"/>
          <w:szCs w:val="24"/>
        </w:rPr>
        <w:t>.2-</w:t>
      </w:r>
      <w:r>
        <w:rPr>
          <w:rFonts w:hint="eastAsia" w:ascii="Times New Roman" w:hAnsi="Times New Roman" w:eastAsia="宋体"/>
          <w:b/>
          <w:bCs/>
          <w:color w:val="auto"/>
          <w:sz w:val="21"/>
          <w:szCs w:val="24"/>
          <w:lang w:val="en-US" w:eastAsia="zh-CN"/>
        </w:rPr>
        <w:t>24工业场地</w:t>
      </w:r>
      <w:r>
        <w:rPr>
          <w:rFonts w:hint="eastAsia" w:ascii="宋体" w:hAnsi="宋体" w:eastAsia="宋体"/>
          <w:b/>
          <w:bCs/>
          <w:color w:val="auto"/>
          <w:sz w:val="21"/>
          <w:szCs w:val="24"/>
        </w:rPr>
        <w:t>昼间噪声</w:t>
      </w:r>
      <w:r>
        <w:rPr>
          <w:rFonts w:hint="eastAsia" w:ascii="宋体" w:hAnsi="宋体" w:eastAsia="宋体"/>
          <w:b/>
          <w:bCs/>
          <w:color w:val="auto"/>
          <w:sz w:val="21"/>
          <w:szCs w:val="24"/>
          <w:lang w:val="en-US" w:eastAsia="zh-CN"/>
        </w:rPr>
        <w:t>贡献值</w:t>
      </w:r>
      <w:r>
        <w:rPr>
          <w:rFonts w:hint="eastAsia" w:ascii="宋体" w:hAnsi="宋体" w:eastAsia="宋体"/>
          <w:b/>
          <w:bCs/>
          <w:color w:val="auto"/>
          <w:sz w:val="21"/>
          <w:szCs w:val="24"/>
        </w:rPr>
        <w:t>等值线图</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6.2.3.2运输道路噪声影响分析</w:t>
      </w:r>
      <w:bookmarkEnd w:id="558"/>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①设计道路运量</w: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本项目矿石外售，运输路线经过矿区南侧的</w:t>
      </w:r>
      <w:r>
        <w:rPr>
          <w:rFonts w:hint="default" w:ascii="Times New Roman" w:hAnsi="Times New Roman" w:eastAsia="宋体" w:cs="Times New Roman"/>
          <w:color w:val="auto"/>
          <w:highlight w:val="none"/>
          <w:lang w:eastAsia="zh-CN"/>
        </w:rPr>
        <w:t>贾家堡子</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矿石运输依</w:t>
      </w:r>
      <w:r>
        <w:rPr>
          <w:rFonts w:hint="default" w:ascii="Times New Roman" w:hAnsi="Times New Roman" w:eastAsia="宋体" w:cs="Times New Roman"/>
          <w:color w:val="auto"/>
          <w:sz w:val="24"/>
          <w:szCs w:val="24"/>
          <w:highlight w:val="none"/>
        </w:rPr>
        <w:t>靠</w:t>
      </w:r>
      <w:r>
        <w:rPr>
          <w:rFonts w:hint="default" w:ascii="Times New Roman" w:hAnsi="Times New Roman" w:eastAsia="宋体" w:cs="Times New Roman"/>
          <w:color w:val="auto"/>
          <w:sz w:val="24"/>
          <w:szCs w:val="24"/>
          <w:highlight w:val="none"/>
          <w:lang w:val="en-US" w:eastAsia="zh-CN"/>
        </w:rPr>
        <w:t>现有村路运输</w:t>
      </w:r>
      <w:r>
        <w:rPr>
          <w:rFonts w:hint="default" w:ascii="Times New Roman" w:hAnsi="Times New Roman" w:eastAsia="宋体" w:cs="Times New Roman"/>
          <w:color w:val="auto"/>
          <w:sz w:val="24"/>
          <w:szCs w:val="24"/>
          <w:highlight w:val="none"/>
        </w:rPr>
        <w:t>，其中</w:t>
      </w:r>
      <w:r>
        <w:rPr>
          <w:rFonts w:hint="default" w:ascii="Times New Roman" w:hAnsi="Times New Roman" w:eastAsia="宋体" w:cs="Times New Roman"/>
          <w:color w:val="auto"/>
          <w:sz w:val="24"/>
          <w:szCs w:val="24"/>
          <w:highlight w:val="none"/>
          <w:lang w:val="en-US" w:eastAsia="zh-CN"/>
        </w:rPr>
        <w:t>噪声主要影响对象为矿区</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szCs w:val="24"/>
          <w:highlight w:val="none"/>
          <w:lang w:val="en-US" w:eastAsia="zh-CN"/>
        </w:rPr>
        <w:t>苏大线</w:t>
      </w:r>
      <w:r>
        <w:rPr>
          <w:rFonts w:hint="default" w:ascii="Times New Roman" w:hAnsi="Times New Roman" w:eastAsia="宋体" w:cs="Times New Roman"/>
          <w:color w:val="auto"/>
          <w:sz w:val="24"/>
          <w:szCs w:val="24"/>
          <w:highlight w:val="none"/>
        </w:rPr>
        <w:t>路段</w:t>
      </w:r>
      <w:r>
        <w:rPr>
          <w:rFonts w:hint="default" w:ascii="Times New Roman" w:hAnsi="Times New Roman" w:eastAsia="宋体" w:cs="Times New Roman"/>
          <w:color w:val="auto"/>
          <w:sz w:val="24"/>
          <w:szCs w:val="24"/>
          <w:highlight w:val="none"/>
          <w:lang w:val="en-US" w:eastAsia="zh-CN"/>
        </w:rPr>
        <w:t>2600</w:t>
      </w:r>
      <w:r>
        <w:rPr>
          <w:rFonts w:hint="default" w:ascii="Times New Roman" w:hAnsi="Times New Roman" w:eastAsia="宋体" w:cs="Times New Roman"/>
          <w:color w:val="auto"/>
          <w:sz w:val="24"/>
          <w:szCs w:val="24"/>
          <w:highlight w:val="none"/>
        </w:rPr>
        <w:t>m的乡村公路，因此本节重点对</w:t>
      </w:r>
      <w:r>
        <w:rPr>
          <w:rFonts w:hint="default" w:ascii="Times New Roman" w:hAnsi="Times New Roman" w:eastAsia="宋体" w:cs="Times New Roman"/>
          <w:color w:val="auto"/>
          <w:sz w:val="24"/>
          <w:szCs w:val="24"/>
          <w:highlight w:val="none"/>
          <w:lang w:val="en-US" w:eastAsia="zh-CN"/>
        </w:rPr>
        <w:t>矿区</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szCs w:val="24"/>
          <w:highlight w:val="none"/>
          <w:lang w:val="en-US" w:eastAsia="zh-CN"/>
        </w:rPr>
        <w:t>李新线</w:t>
      </w:r>
      <w:r>
        <w:rPr>
          <w:rFonts w:hint="default" w:ascii="Times New Roman" w:hAnsi="Times New Roman" w:eastAsia="宋体" w:cs="Times New Roman"/>
          <w:color w:val="auto"/>
          <w:sz w:val="24"/>
          <w:szCs w:val="24"/>
          <w:highlight w:val="none"/>
        </w:rPr>
        <w:t>路段运输道路噪声对</w:t>
      </w:r>
      <w:r>
        <w:rPr>
          <w:rFonts w:hint="default" w:ascii="Times New Roman" w:hAnsi="Times New Roman" w:eastAsia="宋体" w:cs="Times New Roman"/>
          <w:color w:val="auto"/>
          <w:sz w:val="24"/>
          <w:szCs w:val="24"/>
          <w:highlight w:val="none"/>
          <w:lang w:val="en-US" w:eastAsia="zh-CN"/>
        </w:rPr>
        <w:t>贾家堡子</w:t>
      </w:r>
      <w:r>
        <w:rPr>
          <w:rFonts w:hint="default" w:ascii="Times New Roman" w:hAnsi="Times New Roman" w:eastAsia="宋体" w:cs="Times New Roman"/>
          <w:color w:val="auto"/>
          <w:sz w:val="24"/>
          <w:szCs w:val="24"/>
          <w:highlight w:val="none"/>
        </w:rPr>
        <w:t>的影响进行预测。</w: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项目矿石运输</w:t>
      </w:r>
      <w:r>
        <w:rPr>
          <w:rFonts w:hint="default" w:ascii="Times New Roman" w:hAnsi="Times New Roman" w:eastAsia="宋体" w:cs="Times New Roman"/>
          <w:color w:val="auto"/>
          <w:sz w:val="24"/>
          <w:szCs w:val="24"/>
          <w:highlight w:val="none"/>
        </w:rPr>
        <w:t>物料的车型选择载重为10~20t/辆的汽车，根据项目矿石运量估算，则日运矿石最大辆次为</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辆，道路日双向最大交通量为</w:t>
      </w:r>
      <w:r>
        <w:rPr>
          <w:rFonts w:hint="default" w:ascii="Times New Roman" w:hAnsi="Times New Roman" w:eastAsia="宋体"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rPr>
        <w:t>辆，设计每日工作时间按</w:t>
      </w:r>
      <w:r>
        <w:rPr>
          <w:rFonts w:hint="default"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rPr>
        <w:t>h计，时间段为早</w:t>
      </w:r>
      <w:r>
        <w:rPr>
          <w:rFonts w:hint="default" w:ascii="Times New Roman" w:hAnsi="Times New Roman" w:eastAsia="宋体" w:cs="Times New Roman"/>
          <w:color w:val="auto"/>
          <w:sz w:val="24"/>
          <w:szCs w:val="24"/>
          <w:highlight w:val="none"/>
          <w:lang w:val="en-US" w:eastAsia="zh-CN"/>
        </w:rPr>
        <w:t>9</w:t>
      </w:r>
      <w:r>
        <w:rPr>
          <w:rFonts w:hint="default" w:ascii="Times New Roman" w:hAnsi="Times New Roman" w:eastAsia="宋体" w:cs="Times New Roman"/>
          <w:color w:val="auto"/>
          <w:sz w:val="24"/>
          <w:szCs w:val="24"/>
          <w:highlight w:val="none"/>
        </w:rPr>
        <w:t>:00——晚</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:00，每小时</w:t>
      </w:r>
      <w:r>
        <w:rPr>
          <w:rFonts w:hint="default" w:ascii="Times New Roman" w:hAnsi="Times New Roman" w:eastAsia="宋体" w:cs="Times New Roman"/>
          <w:color w:val="auto"/>
          <w:sz w:val="24"/>
          <w:szCs w:val="24"/>
          <w:highlight w:val="none"/>
          <w:lang w:val="en-US" w:eastAsia="zh-CN"/>
        </w:rPr>
        <w:t>最大</w:t>
      </w:r>
      <w:r>
        <w:rPr>
          <w:rFonts w:hint="default" w:ascii="Times New Roman" w:hAnsi="Times New Roman" w:eastAsia="宋体" w:cs="Times New Roman"/>
          <w:color w:val="auto"/>
          <w:sz w:val="24"/>
          <w:szCs w:val="24"/>
          <w:highlight w:val="none"/>
        </w:rPr>
        <w:t>车流量按3辆次。</w: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②场外道路噪声预测</w: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1）预测模式</w: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采用《</w:t>
      </w:r>
      <w:r>
        <w:rPr>
          <w:rFonts w:hint="eastAsia" w:cs="Times New Roman"/>
          <w:color w:val="auto"/>
          <w:sz w:val="24"/>
          <w:szCs w:val="24"/>
          <w:highlight w:val="none"/>
          <w:lang w:eastAsia="zh-CN"/>
        </w:rPr>
        <w:t>环境影响评价技术导则—声环境</w:t>
      </w:r>
      <w:r>
        <w:rPr>
          <w:rFonts w:hint="default" w:ascii="Times New Roman" w:hAnsi="Times New Roman" w:eastAsia="宋体" w:cs="Times New Roman"/>
          <w:color w:val="auto"/>
          <w:sz w:val="24"/>
          <w:szCs w:val="24"/>
          <w:highlight w:val="none"/>
        </w:rPr>
        <w:t>》（HJ2.4-2009）中推荐的噪声预测模式进行预测，预测模式如下：</w: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snapToGrid w:val="0"/>
          <w:color w:val="auto"/>
          <w:spacing w:val="6"/>
          <w:kern w:val="0"/>
          <w:sz w:val="24"/>
          <w:szCs w:val="24"/>
          <w:highlight w:val="none"/>
        </w:rPr>
      </w:pPr>
      <w:r>
        <w:rPr>
          <w:rFonts w:hint="default" w:ascii="Times New Roman" w:hAnsi="Times New Roman" w:eastAsia="宋体" w:cs="Times New Roman"/>
          <w:snapToGrid w:val="0"/>
          <w:color w:val="auto"/>
          <w:spacing w:val="6"/>
          <w:kern w:val="0"/>
          <w:position w:val="-32"/>
          <w:sz w:val="24"/>
          <w:szCs w:val="24"/>
          <w:highlight w:val="none"/>
        </w:rPr>
        <w:object>
          <v:shape id="_x0000_i1061" o:spt="75" type="#_x0000_t75" style="height:44.6pt;width:387.3pt;" o:ole="t" filled="f" o:preferrelative="t" stroked="f" coordsize="21600,21600">
            <v:path/>
            <v:fill on="f" focussize="0,0"/>
            <v:stroke on="f" joinstyle="miter"/>
            <v:imagedata r:id="rId198" o:title=""/>
            <o:lock v:ext="edit" aspectratio="t"/>
            <w10:wrap type="none"/>
            <w10:anchorlock/>
          </v:shape>
          <o:OLEObject Type="Embed" ProgID="Equation.3" ShapeID="_x0000_i1061" DrawAspect="Content" ObjectID="_1468075761" r:id="rId197">
            <o:LockedField>false</o:LockedField>
          </o:OLEObject>
        </w:object>
      </w:r>
    </w:p>
    <w:p>
      <w:pPr>
        <w:pStyle w:val="14"/>
        <w:keepNext w:val="0"/>
        <w:keepLines w:val="0"/>
        <w:pageBreakBefore w:val="0"/>
        <w:widowControl w:val="0"/>
        <w:kinsoku/>
        <w:wordWrap/>
        <w:topLinePunct w:val="0"/>
        <w:bidi w:val="0"/>
        <w:adjustRightInd w:val="0"/>
        <w:snapToGrid/>
        <w:spacing w:line="360" w:lineRule="auto"/>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式中：</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14"/>
          <w:sz w:val="24"/>
          <w:szCs w:val="24"/>
          <w:highlight w:val="none"/>
        </w:rPr>
        <w:object>
          <v:shape id="_x0000_i1062" o:spt="75" type="#_x0000_t75" style="height:18.35pt;width:34.75pt;" o:ole="t" filled="f" o:preferrelative="t" stroked="f" coordsize="21600,21600">
            <v:path/>
            <v:fill on="f" focussize="0,0"/>
            <v:stroke on="f" joinstyle="miter"/>
            <v:imagedata r:id="rId200" o:title=""/>
            <o:lock v:ext="edit" aspectratio="t"/>
            <w10:wrap type="none"/>
            <w10:anchorlock/>
          </v:shape>
          <o:OLEObject Type="Embed" ProgID="Equation.3" ShapeID="_x0000_i1062" DrawAspect="Content" ObjectID="_1468075762" r:id="rId199">
            <o:LockedField>false</o:LockedField>
          </o:OLEObject>
        </w:objec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——第I类车的小时等效声级，dB(A)；</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12"/>
          <w:sz w:val="24"/>
          <w:szCs w:val="24"/>
          <w:highlight w:val="none"/>
        </w:rPr>
        <w:object>
          <v:shape id="_x0000_i1063" o:spt="75" type="#_x0000_t75" style="height:20pt;width:31.95pt;" o:ole="t" filled="f" o:preferrelative="t" stroked="f" coordsize="21600,21600">
            <v:path/>
            <v:fill on="f" focussize="0,0"/>
            <v:stroke on="f" joinstyle="miter"/>
            <v:imagedata r:id="rId202" o:title=""/>
            <o:lock v:ext="edit" aspectratio="t"/>
            <w10:wrap type="none"/>
            <w10:anchorlock/>
          </v:shape>
          <o:OLEObject Type="Embed" ProgID="Equation.3" ShapeID="_x0000_i1063" DrawAspect="Content" ObjectID="_1468075763" r:id="rId201">
            <o:LockedField>false</o:LockedField>
          </o:OLEObject>
        </w:objec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——第I类车在速度为V</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t>(km/h)；水平距离为7.5m处的能量平均A声级，dB(A)；</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N</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——昼间、夜间通过某个预测点的第I类车平均小时车流量，辆/h；</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r</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——从车道中心线到预测点的距离，m；r&gt;7.5m；</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V</w:t>
      </w:r>
      <w:r>
        <w:rPr>
          <w:rFonts w:hint="default" w:ascii="Times New Roman" w:hAnsi="Times New Roman" w:eastAsia="宋体" w:cs="Times New Roman"/>
          <w:color w:val="auto"/>
          <w:sz w:val="24"/>
          <w:szCs w:val="24"/>
          <w:highlight w:val="none"/>
          <w:vertAlign w:val="subscript"/>
        </w:rPr>
        <w:t>i</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——第I类车平均车速，km/h；</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T</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——计算等效声级的时间，1h；</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ψ</w: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、ψ</w: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——预测点到有限长路段两端的张角（弧度），考虑200m外噪声影响已</w:t>
      </w:r>
      <w:r>
        <w:rPr>
          <w:rFonts w:hint="eastAsia" w:cs="Times New Roman"/>
          <w:color w:val="auto"/>
          <w:sz w:val="24"/>
          <w:szCs w:val="24"/>
          <w:highlight w:val="none"/>
          <w:lang w:val="en-US" w:eastAsia="zh-CN"/>
        </w:rPr>
        <w:t>较</w:t>
      </w:r>
      <w:r>
        <w:rPr>
          <w:rFonts w:hint="default" w:ascii="Times New Roman" w:hAnsi="Times New Roman" w:eastAsia="宋体" w:cs="Times New Roman"/>
          <w:color w:val="auto"/>
          <w:sz w:val="24"/>
          <w:szCs w:val="24"/>
          <w:highlight w:val="none"/>
        </w:rPr>
        <w:t>小，评价选取路段长度为预测点两端各200m，共400m。</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64"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64" DrawAspect="Content" ObjectID="_1468075764" r:id="rId203">
            <o:LockedField>false</o:LockedField>
          </o:OLEObject>
        </w:objec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——由其它因素引起的修正量，dB(A)，</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65"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65" DrawAspect="Content" ObjectID="_1468075765" r:id="rId205">
            <o:LockedField>false</o:LockedField>
          </o:OLEObject>
        </w:objec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position w:val="-4"/>
          <w:sz w:val="24"/>
          <w:szCs w:val="24"/>
          <w:highlight w:val="none"/>
        </w:rPr>
        <w:object>
          <v:shape id="_x0000_i1066"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66" DrawAspect="Content" ObjectID="_1468075766" r:id="rId206">
            <o:LockedField>false</o:LockedField>
          </o:OLEObject>
        </w:objec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position w:val="-4"/>
          <w:sz w:val="24"/>
          <w:szCs w:val="24"/>
          <w:highlight w:val="none"/>
        </w:rPr>
        <w:object>
          <v:shape id="_x0000_i1067"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67" DrawAspect="Content" ObjectID="_1468075767" r:id="rId207">
            <o:LockedField>false</o:LockedField>
          </o:OLEObject>
        </w:objec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position w:val="-4"/>
          <w:sz w:val="24"/>
          <w:szCs w:val="24"/>
          <w:highlight w:val="none"/>
        </w:rPr>
        <w:object>
          <v:shape id="_x0000_i1068"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68" DrawAspect="Content" ObjectID="_1468075768" r:id="rId208">
            <o:LockedField>false</o:LockedField>
          </o:OLEObject>
        </w:object>
      </w:r>
      <w:r>
        <w:rPr>
          <w:rFonts w:hint="default" w:ascii="Times New Roman" w:hAnsi="Times New Roman" w:eastAsia="宋体" w:cs="Times New Roman"/>
          <w:color w:val="auto"/>
          <w:sz w:val="24"/>
          <w:szCs w:val="24"/>
          <w:highlight w:val="none"/>
          <w:vertAlign w:val="subscript"/>
        </w:rPr>
        <w:t>3</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69"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69" DrawAspect="Content" ObjectID="_1468075769" r:id="rId209">
            <o:LockedField>false</o:LockedField>
          </o:OLEObject>
        </w:objec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position w:val="-4"/>
          <w:sz w:val="24"/>
          <w:szCs w:val="24"/>
          <w:highlight w:val="none"/>
        </w:rPr>
        <w:object>
          <v:shape id="_x0000_i1070"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0" DrawAspect="Content" ObjectID="_1468075770" r:id="rId210">
            <o:LockedField>false</o:LockedField>
          </o:OLEObject>
        </w:object>
      </w:r>
      <w:r>
        <w:rPr>
          <w:rFonts w:hint="default" w:ascii="Times New Roman" w:hAnsi="Times New Roman" w:eastAsia="宋体" w:cs="Times New Roman"/>
          <w:color w:val="auto"/>
          <w:sz w:val="24"/>
          <w:szCs w:val="24"/>
          <w:highlight w:val="none"/>
          <w:vertAlign w:val="subscript"/>
        </w:rPr>
        <w:t>坡度</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position w:val="-4"/>
          <w:sz w:val="24"/>
          <w:szCs w:val="24"/>
          <w:highlight w:val="none"/>
        </w:rPr>
        <w:object>
          <v:shape id="_x0000_i1071"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1" DrawAspect="Content" ObjectID="_1468075771" r:id="rId211">
            <o:LockedField>false</o:LockedField>
          </o:OLEObject>
        </w:object>
      </w:r>
      <w:r>
        <w:rPr>
          <w:rFonts w:hint="default" w:ascii="Times New Roman" w:hAnsi="Times New Roman" w:eastAsia="宋体" w:cs="Times New Roman"/>
          <w:color w:val="auto"/>
          <w:sz w:val="24"/>
          <w:szCs w:val="24"/>
          <w:highlight w:val="none"/>
          <w:vertAlign w:val="subscript"/>
        </w:rPr>
        <w:t>路面</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72"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2" DrawAspect="Content" ObjectID="_1468075772" r:id="rId212">
            <o:LockedField>false</o:LockedField>
          </o:OLEObject>
        </w:objec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atm</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gr</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bar</w:t>
      </w:r>
      <w:r>
        <w:rPr>
          <w:rFonts w:hint="default" w:ascii="Times New Roman" w:hAnsi="Times New Roman" w:eastAsia="宋体" w:cs="Times New Roman"/>
          <w:color w:val="auto"/>
          <w:sz w:val="24"/>
          <w:szCs w:val="24"/>
          <w:highlight w:val="none"/>
        </w:rPr>
        <w:t>+A</w:t>
      </w:r>
      <w:r>
        <w:rPr>
          <w:rFonts w:hint="default" w:ascii="Times New Roman" w:hAnsi="Times New Roman" w:eastAsia="宋体" w:cs="Times New Roman"/>
          <w:color w:val="auto"/>
          <w:sz w:val="24"/>
          <w:szCs w:val="24"/>
          <w:highlight w:val="none"/>
          <w:vertAlign w:val="subscript"/>
        </w:rPr>
        <w:t>misc</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73"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3" DrawAspect="Content" ObjectID="_1468075773" r:id="rId213">
            <o:LockedField>false</o:LockedField>
          </o:OLEObject>
        </w:object>
      </w:r>
      <w:r>
        <w:rPr>
          <w:rFonts w:hint="default" w:ascii="Times New Roman" w:hAnsi="Times New Roman" w:eastAsia="宋体" w:cs="Times New Roman"/>
          <w:color w:val="auto"/>
          <w:sz w:val="24"/>
          <w:szCs w:val="24"/>
          <w:highlight w:val="none"/>
          <w:vertAlign w:val="subscript"/>
        </w:rPr>
        <w:t>1</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——线路因素引起的修正量，dB(A)；</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74"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4" DrawAspect="Content" ObjectID="_1468075774" r:id="rId214">
            <o:LockedField>false</o:LockedField>
          </o:OLEObject>
        </w:object>
      </w:r>
      <w:r>
        <w:rPr>
          <w:rFonts w:hint="default" w:ascii="Times New Roman" w:hAnsi="Times New Roman" w:eastAsia="宋体" w:cs="Times New Roman"/>
          <w:color w:val="auto"/>
          <w:sz w:val="24"/>
          <w:szCs w:val="24"/>
          <w:highlight w:val="none"/>
          <w:vertAlign w:val="subscript"/>
        </w:rPr>
        <w:t>坡度</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——公路纵坡修正量，dB(A)；</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75"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5" DrawAspect="Content" ObjectID="_1468075775" r:id="rId215">
            <o:LockedField>false</o:LockedField>
          </o:OLEObject>
        </w:object>
      </w:r>
      <w:r>
        <w:rPr>
          <w:rFonts w:hint="default" w:ascii="Times New Roman" w:hAnsi="Times New Roman" w:eastAsia="宋体" w:cs="Times New Roman"/>
          <w:color w:val="auto"/>
          <w:sz w:val="24"/>
          <w:szCs w:val="24"/>
          <w:highlight w:val="none"/>
          <w:vertAlign w:val="subscript"/>
        </w:rPr>
        <w:t>路面</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——公路路面材料引起的修正量，dB(A)；</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76"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6" DrawAspect="Content" ObjectID="_1468075776" r:id="rId216">
            <o:LockedField>false</o:LockedField>
          </o:OLEObject>
        </w:object>
      </w:r>
      <w:r>
        <w:rPr>
          <w:rFonts w:hint="default" w:ascii="Times New Roman" w:hAnsi="Times New Roman" w:eastAsia="宋体" w:cs="Times New Roman"/>
          <w:color w:val="auto"/>
          <w:sz w:val="24"/>
          <w:szCs w:val="24"/>
          <w:highlight w:val="none"/>
          <w:vertAlign w:val="subscript"/>
        </w:rPr>
        <w:t>2</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——声波传播途径引起的衰减量，dB(A)；</w:t>
      </w:r>
    </w:p>
    <w:p>
      <w:pPr>
        <w:pStyle w:val="14"/>
        <w:keepNext w:val="0"/>
        <w:keepLines w:val="0"/>
        <w:pageBreakBefore w:val="0"/>
        <w:widowControl w:val="0"/>
        <w:tabs>
          <w:tab w:val="left" w:pos="720"/>
        </w:tabs>
        <w:kinsoku/>
        <w:wordWrap/>
        <w:overflowPunct/>
        <w:topLinePunct w:val="0"/>
        <w:autoSpaceDE/>
        <w:autoSpaceDN/>
        <w:bidi w:val="0"/>
        <w:adjustRightInd w:val="0"/>
        <w:snapToGrid/>
        <w:spacing w:line="360" w:lineRule="auto"/>
        <w:ind w:left="0" w:firstLine="960" w:firstLineChars="4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position w:val="-4"/>
          <w:sz w:val="24"/>
          <w:szCs w:val="24"/>
          <w:highlight w:val="none"/>
        </w:rPr>
        <w:object>
          <v:shape id="_x0000_i1077"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7" DrawAspect="Content" ObjectID="_1468075777" r:id="rId217">
            <o:LockedField>false</o:LockedField>
          </o:OLEObject>
        </w:objec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softHyphen/>
      </w:r>
      <w:r>
        <w:rPr>
          <w:rFonts w:hint="default" w:ascii="Times New Roman" w:hAnsi="Times New Roman" w:eastAsia="宋体" w:cs="Times New Roman"/>
          <w:color w:val="auto"/>
          <w:sz w:val="24"/>
          <w:szCs w:val="24"/>
          <w:highlight w:val="none"/>
        </w:rPr>
        <w:t>——由反射等引起的修正量，dB(A)。</w: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评价路段平坦，</w:t>
      </w:r>
      <w:r>
        <w:rPr>
          <w:rFonts w:hint="default" w:ascii="Times New Roman" w:hAnsi="Times New Roman" w:eastAsia="宋体" w:cs="Times New Roman"/>
          <w:color w:val="auto"/>
          <w:position w:val="-4"/>
          <w:sz w:val="24"/>
          <w:szCs w:val="24"/>
          <w:highlight w:val="none"/>
        </w:rPr>
        <w:object>
          <v:shape id="_x0000_i1078"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8" DrawAspect="Content" ObjectID="_1468075778" r:id="rId218">
            <o:LockedField>false</o:LockedField>
          </o:OLEObject>
        </w:object>
      </w:r>
      <w:r>
        <w:rPr>
          <w:rFonts w:hint="default" w:ascii="Times New Roman" w:hAnsi="Times New Roman" w:eastAsia="宋体" w:cs="Times New Roman"/>
          <w:color w:val="auto"/>
          <w:sz w:val="24"/>
          <w:szCs w:val="24"/>
          <w:highlight w:val="none"/>
          <w:vertAlign w:val="subscript"/>
        </w:rPr>
        <w:t>坡度</w:t>
      </w:r>
      <w:r>
        <w:rPr>
          <w:rFonts w:hint="default" w:ascii="Times New Roman" w:hAnsi="Times New Roman" w:eastAsia="宋体" w:cs="Times New Roman"/>
          <w:color w:val="auto"/>
          <w:sz w:val="24"/>
          <w:szCs w:val="24"/>
          <w:highlight w:val="none"/>
        </w:rPr>
        <w:t>=0；评价路段为沥青混凝土路面，车辆的平均行驶速度取40km/h，</w:t>
      </w:r>
      <w:r>
        <w:rPr>
          <w:rFonts w:hint="default" w:ascii="Times New Roman" w:hAnsi="Times New Roman" w:eastAsia="宋体" w:cs="Times New Roman"/>
          <w:color w:val="auto"/>
          <w:position w:val="-4"/>
          <w:sz w:val="24"/>
          <w:szCs w:val="24"/>
          <w:highlight w:val="none"/>
        </w:rPr>
        <w:object>
          <v:shape id="_x0000_i1079" o:spt="75" type="#_x0000_t75" style="height:13pt;width:18pt;" o:ole="t" filled="f" o:preferrelative="t" stroked="f" coordsize="21600,21600">
            <v:path/>
            <v:fill on="f" focussize="0,0"/>
            <v:stroke on="f" joinstyle="miter"/>
            <v:imagedata r:id="rId204" o:title=""/>
            <o:lock v:ext="edit" aspectratio="t"/>
            <w10:wrap type="none"/>
            <w10:anchorlock/>
          </v:shape>
          <o:OLEObject Type="Embed" ProgID="Equation.3" ShapeID="_x0000_i1079" DrawAspect="Content" ObjectID="_1468075779" r:id="rId219">
            <o:LockedField>false</o:LockedField>
          </o:OLEObject>
        </w:object>
      </w:r>
      <w:r>
        <w:rPr>
          <w:rFonts w:hint="default" w:ascii="Times New Roman" w:hAnsi="Times New Roman" w:eastAsia="宋体" w:cs="Times New Roman"/>
          <w:color w:val="auto"/>
          <w:sz w:val="24"/>
          <w:szCs w:val="24"/>
          <w:highlight w:val="none"/>
          <w:vertAlign w:val="subscript"/>
        </w:rPr>
        <w:t>路面</w:t>
      </w:r>
      <w:r>
        <w:rPr>
          <w:rFonts w:hint="default" w:ascii="Times New Roman" w:hAnsi="Times New Roman" w:eastAsia="宋体" w:cs="Times New Roman"/>
          <w:color w:val="auto"/>
          <w:sz w:val="24"/>
          <w:szCs w:val="24"/>
          <w:highlight w:val="none"/>
        </w:rPr>
        <w:t>=0；不考虑声波传播途径中空气吸收、声屏障及其它引起的衰减量和由反射等引起的修正。道路两侧为荒草地，按疏松地面考虑。</w:t>
      </w:r>
    </w:p>
    <w:p>
      <w:pPr>
        <w:keepNext w:val="0"/>
        <w:keepLines w:val="0"/>
        <w:pageBreakBefore w:val="0"/>
        <w:widowControl w:val="0"/>
        <w:kinsoku/>
        <w:wordWrap/>
        <w:topLinePunct w:val="0"/>
        <w:bidi w:val="0"/>
        <w:adjustRightInd w:val="0"/>
        <w:snapToGrid/>
        <w:spacing w:line="360" w:lineRule="auto"/>
        <w:ind w:firstLine="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则预测点r接收到的交通噪声为：</w:t>
      </w:r>
    </w:p>
    <w:p>
      <w:pPr>
        <w:pStyle w:val="14"/>
        <w:keepNext w:val="0"/>
        <w:keepLines w:val="0"/>
        <w:pageBreakBefore w:val="0"/>
        <w:widowControl w:val="0"/>
        <w:kinsoku/>
        <w:wordWrap/>
        <w:topLinePunct w:val="0"/>
        <w:bidi w:val="0"/>
        <w:adjustRightInd w:val="0"/>
        <w:snapToGrid/>
        <w:spacing w:line="360" w:lineRule="auto"/>
        <w:ind w:firstLine="420"/>
        <w:rPr>
          <w:rFonts w:hint="default" w:ascii="Times New Roman" w:hAnsi="Times New Roman" w:eastAsia="宋体" w:cs="Times New Roman"/>
          <w:snapToGrid w:val="0"/>
          <w:color w:val="auto"/>
          <w:spacing w:val="6"/>
          <w:sz w:val="24"/>
          <w:szCs w:val="24"/>
          <w:highlight w:val="none"/>
        </w:rPr>
      </w:pPr>
      <w:r>
        <w:rPr>
          <w:rFonts w:hint="default" w:ascii="Times New Roman" w:hAnsi="Times New Roman" w:eastAsia="宋体" w:cs="Times New Roman"/>
          <w:color w:val="auto"/>
          <w:position w:val="-10"/>
          <w:sz w:val="24"/>
          <w:szCs w:val="24"/>
          <w:highlight w:val="none"/>
        </w:rPr>
        <w:object>
          <v:shape id="_x0000_i1080" o:spt="75" type="#_x0000_t75" style="height:23.2pt;width:301.35pt;" o:ole="t" filled="f" o:preferrelative="t" stroked="f" coordsize="21600,21600">
            <v:path/>
            <v:fill on="f" focussize="0,0"/>
            <v:stroke on="f" joinstyle="miter"/>
            <v:imagedata r:id="rId221" o:title=""/>
            <o:lock v:ext="edit" aspectratio="t"/>
            <w10:wrap type="none"/>
            <w10:anchorlock/>
          </v:shape>
          <o:OLEObject Type="Embed" ProgID="Equation.3" ShapeID="_x0000_i1080" DrawAspect="Content" ObjectID="_1468075780" r:id="rId220">
            <o:LockedField>false</o:LockedField>
          </o:OLEObject>
        </w:objec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③预测结果</w:t>
      </w:r>
    </w:p>
    <w:p>
      <w:pPr>
        <w:keepNext w:val="0"/>
        <w:keepLines w:val="0"/>
        <w:pageBreakBefore w:val="0"/>
        <w:widowControl w:val="0"/>
        <w:kinsoku/>
        <w:wordWrap/>
        <w:topLinePunct w:val="0"/>
        <w:bidi w:val="0"/>
        <w:adjustRightInd w:val="0"/>
        <w:snapToGrid/>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车辆距路面中心7.5m处的平均辐射声级取80dB(A)，车流量为3辆/h，车辆的平均行驶速度取40km/h，则进场公路中心线外侧15m、30m、50m、75m及100m处昼间等效声级分别为：56.6dB（A）、49.9dB（A）、46.6dB（A）、44.4dB（A）及42.2dB（A），由于夜间不运行，因此夜间等效声级为0dB（A）。由此可见进场道路中心线外侧30m处即可达到《声环境质量标准》（GB3096-2008）1类标准要求。</w:t>
      </w:r>
    </w:p>
    <w:p>
      <w:pPr>
        <w:autoSpaceDE w:val="0"/>
        <w:autoSpaceDN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根据现场调查，</w:t>
      </w:r>
      <w:r>
        <w:rPr>
          <w:rFonts w:hint="default" w:ascii="Times New Roman" w:hAnsi="Times New Roman" w:eastAsia="宋体" w:cs="Times New Roman"/>
          <w:color w:val="auto"/>
          <w:sz w:val="24"/>
          <w:szCs w:val="24"/>
          <w:highlight w:val="none"/>
          <w:lang w:val="en-US" w:eastAsia="zh-CN"/>
        </w:rPr>
        <w:t>矿区</w:t>
      </w:r>
      <w:r>
        <w:rPr>
          <w:rFonts w:hint="default" w:ascii="Times New Roman" w:hAnsi="Times New Roman" w:eastAsia="宋体" w:cs="Times New Roman"/>
          <w:color w:val="auto"/>
          <w:sz w:val="24"/>
          <w:szCs w:val="24"/>
          <w:highlight w:val="none"/>
        </w:rPr>
        <w:t>至</w:t>
      </w:r>
      <w:r>
        <w:rPr>
          <w:rFonts w:hint="default" w:ascii="Times New Roman" w:hAnsi="Times New Roman" w:eastAsia="宋体" w:cs="Times New Roman"/>
          <w:color w:val="auto"/>
          <w:sz w:val="24"/>
          <w:szCs w:val="24"/>
          <w:highlight w:val="none"/>
          <w:lang w:val="en-US" w:eastAsia="zh-CN"/>
        </w:rPr>
        <w:t>苏大线</w:t>
      </w:r>
      <w:r>
        <w:rPr>
          <w:rFonts w:hint="default" w:ascii="Times New Roman" w:hAnsi="Times New Roman" w:eastAsia="宋体" w:cs="Times New Roman"/>
          <w:color w:val="auto"/>
          <w:sz w:val="24"/>
          <w:szCs w:val="24"/>
          <w:highlight w:val="none"/>
        </w:rPr>
        <w:t>路段</w:t>
      </w:r>
      <w:r>
        <w:rPr>
          <w:rFonts w:hint="default" w:ascii="Times New Roman" w:hAnsi="Times New Roman" w:eastAsia="宋体" w:cs="Times New Roman"/>
          <w:color w:val="auto"/>
          <w:sz w:val="24"/>
          <w:szCs w:val="24"/>
          <w:highlight w:val="none"/>
          <w:lang w:val="en-US" w:eastAsia="zh-CN"/>
        </w:rPr>
        <w:t>2600</w:t>
      </w:r>
      <w:r>
        <w:rPr>
          <w:rFonts w:hint="default" w:ascii="Times New Roman" w:hAnsi="Times New Roman" w:eastAsia="宋体" w:cs="Times New Roman"/>
          <w:color w:val="auto"/>
          <w:sz w:val="24"/>
          <w:szCs w:val="24"/>
          <w:highlight w:val="none"/>
        </w:rPr>
        <w:t>m的乡村公路中心线外侧30m</w:t>
      </w:r>
      <w:r>
        <w:rPr>
          <w:rFonts w:hint="default" w:ascii="Times New Roman" w:hAnsi="Times New Roman" w:eastAsia="宋体" w:cs="Times New Roman"/>
          <w:color w:val="auto"/>
          <w:sz w:val="24"/>
          <w:szCs w:val="24"/>
          <w:highlight w:val="none"/>
          <w:lang w:val="en-US" w:eastAsia="zh-CN"/>
        </w:rPr>
        <w:t>内居民约11户</w:t>
      </w:r>
      <w:r>
        <w:rPr>
          <w:rFonts w:hint="default" w:ascii="Times New Roman" w:hAnsi="Times New Roman" w:eastAsia="宋体" w:cs="Times New Roman"/>
          <w:color w:val="auto"/>
          <w:sz w:val="24"/>
          <w:szCs w:val="24"/>
          <w:highlight w:val="none"/>
        </w:rPr>
        <w:t>，公路噪声对</w:t>
      </w:r>
      <w:r>
        <w:rPr>
          <w:rFonts w:hint="default" w:ascii="Times New Roman" w:hAnsi="Times New Roman" w:eastAsia="宋体" w:cs="Times New Roman"/>
          <w:color w:val="auto"/>
          <w:sz w:val="24"/>
          <w:szCs w:val="24"/>
          <w:highlight w:val="none"/>
          <w:lang w:val="en-US" w:eastAsia="zh-CN"/>
        </w:rPr>
        <w:t>贾家堡</w:t>
      </w:r>
      <w:r>
        <w:rPr>
          <w:rFonts w:hint="default" w:ascii="Times New Roman" w:hAnsi="Times New Roman" w:eastAsia="宋体" w:cs="Times New Roman"/>
          <w:color w:val="auto"/>
          <w:sz w:val="24"/>
          <w:szCs w:val="24"/>
          <w:highlight w:val="none"/>
        </w:rPr>
        <w:t>居民会产生影响，因此本项目矿石外运时禁止夜间运输，运输车辆禁止鸣笛并且减速慢行；运输车辆必须按照规定进行日常维护、维修和大修，保证车况符合要求。</w:t>
      </w:r>
      <w:r>
        <w:rPr>
          <w:rFonts w:hint="default" w:ascii="Times New Roman" w:hAnsi="Times New Roman" w:eastAsia="宋体" w:cs="Times New Roman"/>
          <w:color w:val="auto"/>
          <w:highlight w:val="none"/>
        </w:rPr>
        <w:t>经过以上措施可以减轻交通噪声对</w:t>
      </w:r>
      <w:r>
        <w:rPr>
          <w:rFonts w:hint="default" w:ascii="Times New Roman" w:hAnsi="Times New Roman" w:eastAsia="宋体" w:cs="Times New Roman"/>
          <w:color w:val="auto"/>
          <w:sz w:val="24"/>
          <w:szCs w:val="24"/>
          <w:highlight w:val="none"/>
          <w:lang w:val="en-US" w:eastAsia="zh-CN"/>
        </w:rPr>
        <w:t>贾家堡的</w:t>
      </w:r>
      <w:r>
        <w:rPr>
          <w:rFonts w:hint="default" w:ascii="Times New Roman" w:hAnsi="Times New Roman" w:eastAsia="宋体" w:cs="Times New Roman"/>
          <w:color w:val="auto"/>
          <w:highlight w:val="none"/>
        </w:rPr>
        <w:t>影响。</w:t>
      </w:r>
    </w:p>
    <w:p>
      <w:pPr>
        <w:autoSpaceDE w:val="0"/>
        <w:autoSpaceDN w:val="0"/>
        <w:ind w:left="0" w:leftChars="0" w:firstLine="0" w:firstLineChars="0"/>
        <w:rPr>
          <w:rFonts w:hint="eastAsia" w:ascii="Times New Roman" w:hAnsi="Times New Roman" w:eastAsia="宋体" w:cs="Times New Roman"/>
          <w:color w:val="auto"/>
          <w:highlight w:val="none"/>
          <w:lang w:eastAsia="zh-CN"/>
        </w:rPr>
      </w:pPr>
      <w:r>
        <w:rPr>
          <w:color w:val="auto"/>
          <w:sz w:val="24"/>
        </w:rPr>
        <mc:AlternateContent>
          <mc:Choice Requires="wps">
            <w:drawing>
              <wp:anchor distT="0" distB="0" distL="114300" distR="114300" simplePos="0" relativeHeight="251758592" behindDoc="0" locked="0" layoutInCell="1" allowOverlap="1">
                <wp:simplePos x="0" y="0"/>
                <wp:positionH relativeFrom="column">
                  <wp:posOffset>4621530</wp:posOffset>
                </wp:positionH>
                <wp:positionV relativeFrom="paragraph">
                  <wp:posOffset>3497580</wp:posOffset>
                </wp:positionV>
                <wp:extent cx="87630" cy="76200"/>
                <wp:effectExtent l="10795" t="12700" r="15875" b="6350"/>
                <wp:wrapNone/>
                <wp:docPr id="41" name="等腰三角形 41"/>
                <wp:cNvGraphicFramePr/>
                <a:graphic xmlns:a="http://schemas.openxmlformats.org/drawingml/2006/main">
                  <a:graphicData uri="http://schemas.microsoft.com/office/word/2010/wordprocessingShape">
                    <wps:wsp>
                      <wps:cNvSpPr/>
                      <wps:spPr>
                        <a:xfrm>
                          <a:off x="5529580" y="7433310"/>
                          <a:ext cx="87630" cy="7620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63.9pt;margin-top:275.4pt;height:6pt;width:6.9pt;z-index:251758592;v-text-anchor:middle;mso-width-relative:page;mso-height-relative:page;" fillcolor="#FF0000" filled="t" stroked="t" coordsize="21600,21600" o:gfxdata="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zE0v9sAAAALAQAA&#10;DwAAAAAAAAABACAAAAAiAAAAZHJzL2Rvd25yZXYueG1sUEsBAhQAFAAAAAgAh07iQBLFFMeIAgAA&#10;DAUAAA4AAAAAAAAAAQAgAAAAKgEAAGRycy9lMm9Eb2MueG1sUEsFBgAAAAAGAAYAWQEAACQGAAAA&#10;AA==&#10;" adj="10800">
                <v:fill on="t" focussize="0,0"/>
                <v:stroke weight="1pt" color="#FF0000 [3204]" miterlimit="8" joinstyle="miter"/>
                <v:imagedata o:title=""/>
                <o:lock v:ext="edit" aspectratio="f"/>
              </v:shape>
            </w:pict>
          </mc:Fallback>
        </mc:AlternateContent>
      </w:r>
      <w:r>
        <w:rPr>
          <w:color w:val="auto"/>
          <w:sz w:val="24"/>
        </w:rPr>
        <mc:AlternateContent>
          <mc:Choice Requires="wps">
            <w:drawing>
              <wp:anchor distT="0" distB="0" distL="114300" distR="114300" simplePos="0" relativeHeight="251757568" behindDoc="0" locked="0" layoutInCell="1" allowOverlap="1">
                <wp:simplePos x="0" y="0"/>
                <wp:positionH relativeFrom="column">
                  <wp:posOffset>4599940</wp:posOffset>
                </wp:positionH>
                <wp:positionV relativeFrom="paragraph">
                  <wp:posOffset>3468370</wp:posOffset>
                </wp:positionV>
                <wp:extent cx="131445" cy="124460"/>
                <wp:effectExtent l="0" t="0" r="1905" b="8890"/>
                <wp:wrapNone/>
                <wp:docPr id="42" name="矩形 42"/>
                <wp:cNvGraphicFramePr/>
                <a:graphic xmlns:a="http://schemas.openxmlformats.org/drawingml/2006/main">
                  <a:graphicData uri="http://schemas.microsoft.com/office/word/2010/wordprocessingShape">
                    <wps:wsp>
                      <wps:cNvSpPr/>
                      <wps:spPr>
                        <a:xfrm>
                          <a:off x="5500370" y="7440930"/>
                          <a:ext cx="131445" cy="124460"/>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2.2pt;margin-top:273.1pt;height:9.8pt;width:10.35pt;z-index:251757568;v-text-anchor:middle;mso-width-relative:page;mso-height-relative:page;" fillcolor="#FFFFFF" filled="t" stroked="f" coordsize="21600,21600" o:gfxdata="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U/lS9dsAAAALAQAADwAAAAAAAAABACAAAAAiAAAA&#10;ZHJzL2Rvd25yZXYueG1sUEsBAhQAFAAAAAgAh07iQFy3rc12AgAA2AQAAA4AAAAAAAAAAQAgAAAA&#10;KgEAAGRycy9lMm9Eb2MueG1sUEsFBgAAAAAGAAYAWQEAABIGAAAAAA==&#10;">
                <v:fill on="t" focussize="0,0"/>
                <v:stroke on="f" weight="1pt" miterlimit="8" joinstyle="miter"/>
                <v:imagedata o:title=""/>
                <o:lock v:ext="edit" aspectratio="f"/>
              </v:rect>
            </w:pict>
          </mc:Fallback>
        </mc:AlternateContent>
      </w:r>
      <w:r>
        <w:rPr>
          <w:color w:val="auto"/>
        </w:rPr>
        <w:drawing>
          <wp:inline distT="0" distB="0" distL="114300" distR="114300">
            <wp:extent cx="5752465" cy="4526280"/>
            <wp:effectExtent l="0" t="0" r="635" b="7620"/>
            <wp:docPr id="4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1"/>
                    <pic:cNvPicPr>
                      <a:picLocks noChangeAspect="1"/>
                    </pic:cNvPicPr>
                  </pic:nvPicPr>
                  <pic:blipFill>
                    <a:blip r:embed="rId222"/>
                    <a:stretch>
                      <a:fillRect/>
                    </a:stretch>
                  </pic:blipFill>
                  <pic:spPr>
                    <a:xfrm>
                      <a:off x="0" y="0"/>
                      <a:ext cx="5752465" cy="4526280"/>
                    </a:xfrm>
                    <a:prstGeom prst="rect">
                      <a:avLst/>
                    </a:prstGeom>
                    <a:noFill/>
                    <a:ln>
                      <a:noFill/>
                    </a:ln>
                  </pic:spPr>
                </pic:pic>
              </a:graphicData>
            </a:graphic>
          </wp:inline>
        </w:drawing>
      </w:r>
    </w:p>
    <w:p>
      <w:pPr>
        <w:pStyle w:val="2"/>
        <w:jc w:val="center"/>
        <w:rPr>
          <w:rFonts w:hint="default"/>
          <w:b/>
          <w:bCs/>
          <w:color w:val="auto"/>
        </w:rPr>
      </w:pPr>
      <w:r>
        <w:rPr>
          <w:rFonts w:hint="eastAsia" w:ascii="宋体" w:hAnsi="宋体" w:eastAsia="宋体"/>
          <w:b/>
          <w:bCs/>
          <w:color w:val="auto"/>
          <w:sz w:val="21"/>
          <w:szCs w:val="24"/>
        </w:rPr>
        <w:t>图</w:t>
      </w:r>
      <w:r>
        <w:rPr>
          <w:rFonts w:hint="eastAsia" w:ascii="Times New Roman" w:hAnsi="Times New Roman" w:eastAsia="宋体"/>
          <w:b/>
          <w:bCs/>
          <w:color w:val="auto"/>
          <w:sz w:val="21"/>
          <w:szCs w:val="24"/>
          <w:lang w:val="en-US" w:eastAsia="zh-CN"/>
        </w:rPr>
        <w:t>6</w:t>
      </w:r>
      <w:r>
        <w:rPr>
          <w:rFonts w:hint="default" w:ascii="Times New Roman" w:hAnsi="Times New Roman" w:eastAsia="Times New Roman"/>
          <w:b/>
          <w:bCs/>
          <w:color w:val="auto"/>
          <w:sz w:val="21"/>
          <w:szCs w:val="24"/>
        </w:rPr>
        <w:t>.2-</w:t>
      </w:r>
      <w:r>
        <w:rPr>
          <w:rFonts w:hint="eastAsia" w:ascii="Times New Roman" w:hAnsi="Times New Roman" w:eastAsia="宋体"/>
          <w:b/>
          <w:bCs/>
          <w:color w:val="auto"/>
          <w:sz w:val="21"/>
          <w:szCs w:val="24"/>
          <w:lang w:val="en-US" w:eastAsia="zh-CN"/>
        </w:rPr>
        <w:t>2</w:t>
      </w:r>
      <w:r>
        <w:rPr>
          <w:rFonts w:hint="eastAsia"/>
          <w:b/>
          <w:bCs/>
          <w:color w:val="auto"/>
          <w:sz w:val="21"/>
          <w:szCs w:val="24"/>
          <w:lang w:val="en-US" w:eastAsia="zh-CN"/>
        </w:rPr>
        <w:t>5</w:t>
      </w:r>
      <w:r>
        <w:rPr>
          <w:rFonts w:hint="eastAsia" w:ascii="宋体" w:hAnsi="宋体"/>
          <w:b/>
          <w:bCs/>
          <w:color w:val="auto"/>
          <w:sz w:val="21"/>
          <w:szCs w:val="24"/>
          <w:lang w:val="en-US" w:eastAsia="zh-CN"/>
        </w:rPr>
        <w:t>公路昼间</w:t>
      </w:r>
      <w:r>
        <w:rPr>
          <w:rFonts w:hint="eastAsia" w:ascii="宋体" w:hAnsi="宋体" w:eastAsia="宋体"/>
          <w:b/>
          <w:bCs/>
          <w:color w:val="auto"/>
          <w:sz w:val="21"/>
          <w:szCs w:val="24"/>
        </w:rPr>
        <w:t>噪声</w:t>
      </w:r>
      <w:r>
        <w:rPr>
          <w:rFonts w:hint="eastAsia" w:ascii="宋体" w:hAnsi="宋体"/>
          <w:b/>
          <w:bCs/>
          <w:color w:val="auto"/>
          <w:sz w:val="21"/>
          <w:szCs w:val="24"/>
          <w:lang w:val="en-US" w:eastAsia="zh-CN"/>
        </w:rPr>
        <w:t>叠加</w:t>
      </w:r>
      <w:r>
        <w:rPr>
          <w:rFonts w:hint="eastAsia" w:ascii="宋体" w:hAnsi="宋体" w:eastAsia="宋体"/>
          <w:b/>
          <w:bCs/>
          <w:color w:val="auto"/>
          <w:sz w:val="21"/>
          <w:szCs w:val="24"/>
          <w:lang w:val="en-US" w:eastAsia="zh-CN"/>
        </w:rPr>
        <w:t>值</w:t>
      </w:r>
      <w:r>
        <w:rPr>
          <w:rFonts w:hint="eastAsia" w:ascii="宋体" w:hAnsi="宋体" w:eastAsia="宋体"/>
          <w:b/>
          <w:bCs/>
          <w:color w:val="auto"/>
          <w:sz w:val="21"/>
          <w:szCs w:val="24"/>
        </w:rPr>
        <w:t>等值线图</w:t>
      </w:r>
    </w:p>
    <w:p>
      <w:pPr>
        <w:autoSpaceDE w:val="0"/>
        <w:autoSpaceDN w:val="0"/>
        <w:ind w:firstLine="480"/>
        <w:rPr>
          <w:rFonts w:hint="default" w:ascii="Times New Roman" w:hAnsi="Times New Roman" w:eastAsia="宋体" w:cs="Times New Roman"/>
          <w:color w:val="auto"/>
          <w:highlight w:val="none"/>
        </w:rPr>
      </w:pPr>
    </w:p>
    <w:p>
      <w:pPr>
        <w:autoSpaceDE w:val="0"/>
        <w:autoSpaceDN w:val="0"/>
        <w:ind w:firstLine="480"/>
        <w:rPr>
          <w:rFonts w:hint="default" w:ascii="Times New Roman" w:hAnsi="Times New Roman" w:eastAsia="宋体" w:cs="Times New Roman"/>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ind w:left="0" w:leftChars="0"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anchor distT="0" distB="0" distL="114300" distR="114300" simplePos="0" relativeHeight="251742208" behindDoc="0" locked="0" layoutInCell="1" allowOverlap="1">
            <wp:simplePos x="0" y="0"/>
            <wp:positionH relativeFrom="column">
              <wp:posOffset>6821805</wp:posOffset>
            </wp:positionH>
            <wp:positionV relativeFrom="paragraph">
              <wp:posOffset>-1905</wp:posOffset>
            </wp:positionV>
            <wp:extent cx="531495" cy="696595"/>
            <wp:effectExtent l="0" t="0" r="1905" b="8255"/>
            <wp:wrapNone/>
            <wp:docPr id="29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60"/>
                    <pic:cNvPicPr>
                      <a:picLocks noChangeAspect="1"/>
                    </pic:cNvPicPr>
                  </pic:nvPicPr>
                  <pic:blipFill>
                    <a:blip r:embed="rId223"/>
                    <a:stretch>
                      <a:fillRect/>
                    </a:stretch>
                  </pic:blipFill>
                  <pic:spPr>
                    <a:xfrm>
                      <a:off x="0" y="0"/>
                      <a:ext cx="531495" cy="696595"/>
                    </a:xfrm>
                    <a:prstGeom prst="rect">
                      <a:avLst/>
                    </a:prstGeom>
                    <a:noFill/>
                    <a:ln>
                      <a:noFill/>
                    </a:ln>
                  </pic:spPr>
                </pic:pic>
              </a:graphicData>
            </a:graphic>
          </wp:anchor>
        </w:drawing>
      </w:r>
      <w:r>
        <w:rPr>
          <w:rFonts w:hint="default" w:ascii="Times New Roman" w:hAnsi="Times New Roman" w:eastAsia="宋体" w:cs="Times New Roman"/>
          <w:color w:val="auto"/>
          <w:highlight w:val="none"/>
        </w:rPr>
        <w:drawing>
          <wp:anchor distT="0" distB="0" distL="114300" distR="114300" simplePos="0" relativeHeight="251743232" behindDoc="0" locked="0" layoutInCell="1" allowOverlap="1">
            <wp:simplePos x="0" y="0"/>
            <wp:positionH relativeFrom="column">
              <wp:posOffset>6703060</wp:posOffset>
            </wp:positionH>
            <wp:positionV relativeFrom="paragraph">
              <wp:posOffset>4686935</wp:posOffset>
            </wp:positionV>
            <wp:extent cx="675005" cy="643890"/>
            <wp:effectExtent l="0" t="0" r="10795" b="3810"/>
            <wp:wrapNone/>
            <wp:docPr id="30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58"/>
                    <pic:cNvPicPr>
                      <a:picLocks noChangeAspect="1"/>
                    </pic:cNvPicPr>
                  </pic:nvPicPr>
                  <pic:blipFill>
                    <a:blip r:embed="rId224"/>
                    <a:stretch>
                      <a:fillRect/>
                    </a:stretch>
                  </pic:blipFill>
                  <pic:spPr>
                    <a:xfrm>
                      <a:off x="0" y="0"/>
                      <a:ext cx="675005" cy="643890"/>
                    </a:xfrm>
                    <a:prstGeom prst="rect">
                      <a:avLst/>
                    </a:prstGeom>
                    <a:noFill/>
                    <a:ln>
                      <a:noFill/>
                    </a:ln>
                  </pic:spPr>
                </pic:pic>
              </a:graphicData>
            </a:graphic>
          </wp:anchor>
        </w:drawing>
      </w:r>
      <w:r>
        <w:rPr>
          <w:rFonts w:hint="default" w:ascii="Times New Roman" w:hAnsi="Times New Roman" w:eastAsia="宋体" w:cs="Times New Roman"/>
          <w:color w:val="auto"/>
          <w:highlight w:val="none"/>
        </w:rPr>
        <w:drawing>
          <wp:inline distT="0" distB="0" distL="114300" distR="114300">
            <wp:extent cx="5963285" cy="5341620"/>
            <wp:effectExtent l="9525" t="9525" r="27940" b="20955"/>
            <wp:docPr id="13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7"/>
                    <pic:cNvPicPr>
                      <a:picLocks noChangeAspect="1"/>
                    </pic:cNvPicPr>
                  </pic:nvPicPr>
                  <pic:blipFill>
                    <a:blip r:embed="rId225"/>
                    <a:stretch>
                      <a:fillRect/>
                    </a:stretch>
                  </pic:blipFill>
                  <pic:spPr>
                    <a:xfrm>
                      <a:off x="0" y="0"/>
                      <a:ext cx="5963285" cy="5341620"/>
                    </a:xfrm>
                    <a:prstGeom prst="rect">
                      <a:avLst/>
                    </a:prstGeom>
                    <a:noFill/>
                    <a:ln>
                      <a:solidFill>
                        <a:schemeClr val="tx1"/>
                      </a:solidFill>
                    </a:ln>
                  </pic:spPr>
                </pic:pic>
              </a:graphicData>
            </a:graphic>
          </wp:inline>
        </w:drawing>
      </w:r>
    </w:p>
    <w:p>
      <w:pPr>
        <w:pStyle w:val="37"/>
        <w:ind w:left="0" w:leftChars="0" w:firstLine="0" w:firstLineChars="0"/>
        <w:jc w:val="center"/>
        <w:rPr>
          <w:rFonts w:hint="default" w:ascii="Times New Roman" w:hAnsi="Times New Roman" w:eastAsia="宋体" w:cs="Times New Roman"/>
          <w:b/>
          <w:bCs/>
          <w:color w:val="auto"/>
          <w:sz w:val="24"/>
          <w:szCs w:val="24"/>
          <w:highlight w:val="none"/>
          <w:lang w:val="en-US" w:eastAsia="zh-CN"/>
        </w:rPr>
        <w:sectPr>
          <w:pgSz w:w="16840" w:h="11907"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b/>
          <w:bCs/>
          <w:color w:val="auto"/>
          <w:highlight w:val="none"/>
          <w:lang w:val="en-US" w:eastAsia="zh-CN"/>
        </w:rPr>
        <w:t>图6.2-2</w:t>
      </w:r>
      <w:r>
        <w:rPr>
          <w:rFonts w:hint="eastAsia"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项目</w:t>
      </w:r>
      <w:r>
        <w:rPr>
          <w:rFonts w:hint="default" w:ascii="Times New Roman" w:hAnsi="Times New Roman" w:eastAsia="宋体" w:cs="Times New Roman"/>
          <w:b/>
          <w:bCs/>
          <w:color w:val="auto"/>
          <w:sz w:val="24"/>
          <w:szCs w:val="24"/>
          <w:highlight w:val="none"/>
          <w:lang w:val="en-US" w:eastAsia="zh-CN"/>
        </w:rPr>
        <w:t>矿区</w:t>
      </w:r>
      <w:r>
        <w:rPr>
          <w:rFonts w:hint="default" w:ascii="Times New Roman" w:hAnsi="Times New Roman" w:eastAsia="宋体" w:cs="Times New Roman"/>
          <w:b/>
          <w:bCs/>
          <w:color w:val="auto"/>
          <w:sz w:val="24"/>
          <w:szCs w:val="24"/>
          <w:highlight w:val="none"/>
        </w:rPr>
        <w:t>至</w:t>
      </w:r>
      <w:r>
        <w:rPr>
          <w:rFonts w:hint="default" w:ascii="Times New Roman" w:hAnsi="Times New Roman" w:eastAsia="宋体" w:cs="Times New Roman"/>
          <w:b/>
          <w:bCs/>
          <w:color w:val="auto"/>
          <w:sz w:val="24"/>
          <w:szCs w:val="24"/>
          <w:highlight w:val="none"/>
          <w:lang w:val="en-US" w:eastAsia="zh-CN"/>
        </w:rPr>
        <w:t>苏大线</w:t>
      </w:r>
      <w:r>
        <w:rPr>
          <w:rFonts w:hint="default" w:ascii="Times New Roman" w:hAnsi="Times New Roman" w:eastAsia="宋体" w:cs="Times New Roman"/>
          <w:b/>
          <w:bCs/>
          <w:color w:val="auto"/>
          <w:sz w:val="24"/>
          <w:szCs w:val="24"/>
          <w:highlight w:val="none"/>
        </w:rPr>
        <w:t>路段</w:t>
      </w:r>
      <w:r>
        <w:rPr>
          <w:rFonts w:hint="default" w:ascii="Times New Roman" w:hAnsi="Times New Roman" w:eastAsia="宋体" w:cs="Times New Roman"/>
          <w:b/>
          <w:bCs/>
          <w:color w:val="auto"/>
          <w:sz w:val="24"/>
          <w:szCs w:val="24"/>
          <w:highlight w:val="none"/>
          <w:lang w:val="en-US" w:eastAsia="zh-CN"/>
        </w:rPr>
        <w:t>运输线路图</w:t>
      </w:r>
    </w:p>
    <w:bookmarkEnd w:id="556"/>
    <w:bookmarkEnd w:id="557"/>
    <w:p>
      <w:pPr>
        <w:pStyle w:val="5"/>
        <w:bidi w:val="0"/>
        <w:rPr>
          <w:rFonts w:hint="default" w:ascii="Times New Roman" w:hAnsi="Times New Roman" w:eastAsia="宋体" w:cs="Times New Roman"/>
          <w:color w:val="auto"/>
          <w:highlight w:val="none"/>
          <w:lang w:val="en-US" w:eastAsia="zh-CN"/>
        </w:rPr>
      </w:pPr>
      <w:bookmarkStart w:id="559" w:name="_Toc15376206"/>
      <w:bookmarkStart w:id="560" w:name="_Toc515537855"/>
      <w:bookmarkStart w:id="561" w:name="_Toc377022562"/>
      <w:bookmarkStart w:id="562" w:name="_Toc395187025"/>
      <w:bookmarkStart w:id="563" w:name="_Toc450827058"/>
      <w:r>
        <w:rPr>
          <w:rFonts w:hint="default" w:ascii="Times New Roman" w:hAnsi="Times New Roman" w:eastAsia="宋体" w:cs="Times New Roman"/>
          <w:color w:val="auto"/>
          <w:highlight w:val="none"/>
          <w:lang w:val="en-US" w:eastAsia="zh-CN"/>
        </w:rPr>
        <w:t>固体废物环境影响分析</w:t>
      </w:r>
      <w:bookmarkEnd w:id="559"/>
      <w:bookmarkEnd w:id="560"/>
      <w:bookmarkEnd w:id="561"/>
      <w:bookmarkEnd w:id="562"/>
      <w:bookmarkEnd w:id="563"/>
    </w:p>
    <w:p>
      <w:pPr>
        <w:ind w:firstLine="480"/>
        <w:rPr>
          <w:rFonts w:hint="default" w:ascii="Times New Roman" w:hAnsi="Times New Roman" w:eastAsia="宋体" w:cs="Times New Roman"/>
          <w:color w:val="auto"/>
          <w:highlight w:val="none"/>
        </w:rPr>
      </w:pPr>
      <w:bookmarkStart w:id="564" w:name="_Toc450827059"/>
      <w:r>
        <w:rPr>
          <w:rFonts w:hint="default"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项目固体废物主要</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开采过程产生的</w:t>
      </w:r>
      <w:r>
        <w:rPr>
          <w:rFonts w:hint="default" w:ascii="Times New Roman" w:hAnsi="Times New Roman" w:eastAsia="宋体" w:cs="Times New Roman"/>
          <w:color w:val="auto"/>
          <w:highlight w:val="none"/>
          <w:lang w:val="en-US" w:eastAsia="zh-CN"/>
        </w:rPr>
        <w:t>废石、废机油</w:t>
      </w:r>
      <w:r>
        <w:rPr>
          <w:rFonts w:hint="default" w:ascii="Times New Roman" w:hAnsi="Times New Roman" w:eastAsia="宋体" w:cs="Times New Roman"/>
          <w:color w:val="auto"/>
          <w:highlight w:val="none"/>
        </w:rPr>
        <w:t>以及生活垃圾等。</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废石</w:t>
      </w:r>
    </w:p>
    <w:p>
      <w:pPr>
        <w:spacing w:beforeLines="0" w:afterLines="0"/>
        <w:jc w:val="left"/>
        <w:rPr>
          <w:rFonts w:hint="eastAsia" w:ascii="宋体" w:hAnsi="宋体" w:eastAsia="宋体"/>
          <w:color w:val="auto"/>
          <w:sz w:val="24"/>
          <w:szCs w:val="24"/>
          <w:highlight w:val="none"/>
        </w:rPr>
      </w:pPr>
      <w:r>
        <w:rPr>
          <w:rFonts w:hint="eastAsia" w:cs="Times New Roman"/>
          <w:color w:val="auto"/>
          <w:highlight w:val="none"/>
          <w:lang w:val="en-US" w:eastAsia="zh-CN"/>
        </w:rPr>
        <w:t>本项目为</w:t>
      </w:r>
      <w:r>
        <w:rPr>
          <w:rFonts w:hint="default" w:ascii="Times New Roman" w:hAnsi="Times New Roman" w:eastAsia="宋体" w:cs="Times New Roman"/>
          <w:color w:val="auto"/>
          <w:highlight w:val="none"/>
        </w:rPr>
        <w:t>钾长石</w:t>
      </w:r>
      <w:r>
        <w:rPr>
          <w:rFonts w:hint="eastAsia" w:cs="Times New Roman"/>
          <w:color w:val="auto"/>
          <w:highlight w:val="none"/>
          <w:lang w:val="en-US" w:eastAsia="zh-CN"/>
        </w:rPr>
        <w:t>矿</w:t>
      </w:r>
      <w:r>
        <w:rPr>
          <w:rFonts w:hint="default" w:ascii="Times New Roman" w:hAnsi="Times New Roman" w:eastAsia="宋体" w:cs="Times New Roman"/>
          <w:color w:val="auto"/>
          <w:highlight w:val="none"/>
        </w:rPr>
        <w:t>，钾长石（K</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O·Al</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·6SiO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）通常也称</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"http://baike.baidu.com/view/132124.htm" \t "_blank"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正长石</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根据《辽宁省岫岩县苏子沟镇大何家堡村钾长石矿资源储量核实报告》，</w:t>
      </w:r>
      <w:r>
        <w:rPr>
          <w:rFonts w:hint="default" w:ascii="Times New Roman" w:hAnsi="Times New Roman" w:eastAsia="宋体" w:cs="Times New Roman"/>
          <w:color w:val="auto"/>
          <w:highlight w:val="none"/>
          <w:lang w:eastAsia="zh-CN"/>
        </w:rPr>
        <w:t>本区矿石主要用途为陶瓷用长石，其化学成分主要为K</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O、Na</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O、SiO</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、Fe</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O</w:t>
      </w:r>
      <w:r>
        <w:rPr>
          <w:rFonts w:hint="default" w:ascii="Times New Roman" w:hAnsi="Times New Roman" w:eastAsia="宋体" w:cs="Times New Roman"/>
          <w:color w:val="auto"/>
          <w:highlight w:val="none"/>
          <w:vertAlign w:val="subscript"/>
          <w:lang w:eastAsia="zh-CN"/>
        </w:rPr>
        <w:t>3</w:t>
      </w:r>
      <w:r>
        <w:rPr>
          <w:rFonts w:hint="default" w:ascii="Times New Roman" w:hAnsi="Times New Roman" w:eastAsia="宋体" w:cs="Times New Roman"/>
          <w:color w:val="auto"/>
          <w:highlight w:val="none"/>
          <w:lang w:eastAsia="zh-CN"/>
        </w:rPr>
        <w:t>、Al</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O</w:t>
      </w:r>
      <w:r>
        <w:rPr>
          <w:rFonts w:hint="default" w:ascii="Times New Roman" w:hAnsi="Times New Roman" w:eastAsia="宋体" w:cs="Times New Roman"/>
          <w:color w:val="auto"/>
          <w:highlight w:val="none"/>
          <w:vertAlign w:val="subscript"/>
          <w:lang w:eastAsia="zh-CN"/>
        </w:rPr>
        <w:t>3</w:t>
      </w:r>
      <w:r>
        <w:rPr>
          <w:rFonts w:hint="default" w:ascii="Times New Roman" w:hAnsi="Times New Roman" w:eastAsia="宋体" w:cs="Times New Roman"/>
          <w:color w:val="auto"/>
          <w:highlight w:val="none"/>
          <w:lang w:eastAsia="zh-CN"/>
        </w:rPr>
        <w:t>。经储量核实报告中172基本分析样品统计，K</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O含量一般在8.92%～12.10%，平均10.65%；Na</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O含量一般在1.18%～2.92%，平均2.34%；SiO</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含量一般在61.88%～69.14%，平均66.11%；Fe</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O</w:t>
      </w:r>
      <w:r>
        <w:rPr>
          <w:rFonts w:hint="default" w:ascii="Times New Roman" w:hAnsi="Times New Roman" w:eastAsia="宋体" w:cs="Times New Roman"/>
          <w:color w:val="auto"/>
          <w:highlight w:val="none"/>
          <w:vertAlign w:val="subscript"/>
          <w:lang w:eastAsia="zh-CN"/>
        </w:rPr>
        <w:t>3</w:t>
      </w:r>
      <w:r>
        <w:rPr>
          <w:rFonts w:hint="default" w:ascii="Times New Roman" w:hAnsi="Times New Roman" w:eastAsia="宋体" w:cs="Times New Roman"/>
          <w:color w:val="auto"/>
          <w:highlight w:val="none"/>
          <w:lang w:eastAsia="zh-CN"/>
        </w:rPr>
        <w:t>含量一般在0.01%～0.20%，平均0.07%；Al</w:t>
      </w:r>
      <w:r>
        <w:rPr>
          <w:rFonts w:hint="default" w:ascii="Times New Roman" w:hAnsi="Times New Roman" w:eastAsia="宋体" w:cs="Times New Roman"/>
          <w:color w:val="auto"/>
          <w:highlight w:val="none"/>
          <w:vertAlign w:val="subscript"/>
          <w:lang w:eastAsia="zh-CN"/>
        </w:rPr>
        <w:t>2</w:t>
      </w:r>
      <w:r>
        <w:rPr>
          <w:rFonts w:hint="default" w:ascii="Times New Roman" w:hAnsi="Times New Roman" w:eastAsia="宋体" w:cs="Times New Roman"/>
          <w:color w:val="auto"/>
          <w:highlight w:val="none"/>
          <w:lang w:eastAsia="zh-CN"/>
        </w:rPr>
        <w:t>O</w:t>
      </w:r>
      <w:r>
        <w:rPr>
          <w:rFonts w:hint="default" w:ascii="Times New Roman" w:hAnsi="Times New Roman" w:eastAsia="宋体" w:cs="Times New Roman"/>
          <w:color w:val="auto"/>
          <w:highlight w:val="none"/>
          <w:vertAlign w:val="subscript"/>
          <w:lang w:eastAsia="zh-CN"/>
        </w:rPr>
        <w:t>3</w:t>
      </w:r>
      <w:r>
        <w:rPr>
          <w:rFonts w:hint="default" w:ascii="Times New Roman" w:hAnsi="Times New Roman" w:eastAsia="宋体" w:cs="Times New Roman"/>
          <w:color w:val="auto"/>
          <w:highlight w:val="none"/>
          <w:lang w:eastAsia="zh-CN"/>
        </w:rPr>
        <w:t>含量一般在11.19%～18.73%，平均14.62%。</w:t>
      </w:r>
      <w:r>
        <w:rPr>
          <w:rFonts w:hint="default" w:ascii="Times New Roman" w:hAnsi="Times New Roman" w:eastAsia="宋体" w:cs="Times New Roman"/>
          <w:color w:val="auto"/>
          <w:highlight w:val="none"/>
        </w:rPr>
        <w:t>矿山开采过程中产生的废石，</w:t>
      </w:r>
      <w:r>
        <w:rPr>
          <w:rFonts w:hint="eastAsia" w:ascii="宋体" w:hAnsi="宋体" w:eastAsia="宋体"/>
          <w:color w:val="auto"/>
          <w:sz w:val="24"/>
          <w:szCs w:val="24"/>
          <w:highlight w:val="none"/>
        </w:rPr>
        <w:t>属于第</w:t>
      </w:r>
      <w:r>
        <w:rPr>
          <w:rFonts w:hint="eastAsia" w:ascii="TimesNewRomanPSMT" w:hAnsi="TimesNewRomanPSMT" w:eastAsia="TimesNewRomanPSMT"/>
          <w:color w:val="auto"/>
          <w:sz w:val="24"/>
          <w:szCs w:val="24"/>
          <w:highlight w:val="none"/>
        </w:rPr>
        <w:t>I</w:t>
      </w:r>
      <w:r>
        <w:rPr>
          <w:rFonts w:hint="eastAsia" w:ascii="宋体" w:hAnsi="宋体" w:eastAsia="宋体"/>
          <w:color w:val="auto"/>
          <w:sz w:val="24"/>
          <w:szCs w:val="24"/>
          <w:highlight w:val="none"/>
        </w:rPr>
        <w:t>类一般工业固体废物。根据《一般工业固体废物贮存和填埋污染控制标准》（</w:t>
      </w:r>
      <w:r>
        <w:rPr>
          <w:rFonts w:hint="eastAsia" w:ascii="TimesNewRomanPSMT" w:hAnsi="TimesNewRomanPSMT" w:eastAsia="TimesNewRomanPSMT"/>
          <w:color w:val="auto"/>
          <w:sz w:val="24"/>
          <w:szCs w:val="24"/>
          <w:highlight w:val="none"/>
        </w:rPr>
        <w:t>GB18599-2020</w:t>
      </w:r>
      <w:r>
        <w:rPr>
          <w:rFonts w:hint="eastAsia" w:ascii="宋体" w:hAnsi="宋体" w:eastAsia="宋体"/>
          <w:color w:val="auto"/>
          <w:sz w:val="24"/>
          <w:szCs w:val="24"/>
          <w:highlight w:val="none"/>
        </w:rPr>
        <w:t>）中第</w:t>
      </w:r>
      <w:r>
        <w:rPr>
          <w:rFonts w:hint="eastAsia" w:ascii="TimesNewRomanPSMT" w:hAnsi="TimesNewRomanPSMT" w:eastAsia="TimesNewRomanPSMT"/>
          <w:color w:val="auto"/>
          <w:sz w:val="24"/>
          <w:szCs w:val="24"/>
          <w:highlight w:val="none"/>
        </w:rPr>
        <w:t>Ⅰ</w:t>
      </w:r>
      <w:r>
        <w:rPr>
          <w:rFonts w:hint="eastAsia" w:ascii="宋体" w:hAnsi="宋体" w:eastAsia="宋体"/>
          <w:color w:val="auto"/>
          <w:sz w:val="24"/>
          <w:szCs w:val="24"/>
          <w:highlight w:val="none"/>
        </w:rPr>
        <w:t>类工业固体废物可按下列途径（矿山废石可在原矿开采区的矿井、矿坑等采空区中充填或回填）进行充填或回填作业。</w:t>
      </w:r>
    </w:p>
    <w:p>
      <w:pPr>
        <w:spacing w:beforeLines="0" w:afterLines="0"/>
        <w:jc w:val="left"/>
        <w:rPr>
          <w:rFonts w:hint="eastAsia" w:ascii="宋体" w:hAnsi="宋体" w:eastAsia="宋体"/>
          <w:color w:val="auto"/>
          <w:sz w:val="24"/>
          <w:szCs w:val="24"/>
          <w:highlight w:val="none"/>
        </w:rPr>
      </w:pPr>
      <w:r>
        <w:rPr>
          <w:rFonts w:hint="eastAsia" w:ascii="宋体" w:hAnsi="宋体" w:eastAsia="宋体"/>
          <w:color w:val="auto"/>
          <w:sz w:val="24"/>
          <w:szCs w:val="24"/>
          <w:highlight w:val="none"/>
        </w:rPr>
        <w:t>矿山基建期废石进行</w:t>
      </w:r>
      <w:r>
        <w:rPr>
          <w:rFonts w:hint="eastAsia" w:ascii="宋体" w:hAnsi="宋体" w:eastAsia="宋体"/>
          <w:color w:val="auto"/>
          <w:sz w:val="24"/>
          <w:szCs w:val="24"/>
          <w:highlight w:val="none"/>
          <w:lang w:val="en-US" w:eastAsia="zh-CN"/>
        </w:rPr>
        <w:t>全部</w:t>
      </w:r>
      <w:r>
        <w:rPr>
          <w:rFonts w:hint="eastAsia" w:ascii="宋体" w:hAnsi="宋体" w:eastAsia="宋体"/>
          <w:color w:val="auto"/>
          <w:sz w:val="24"/>
          <w:szCs w:val="24"/>
          <w:highlight w:val="none"/>
        </w:rPr>
        <w:t>回填</w:t>
      </w:r>
      <w:r>
        <w:rPr>
          <w:rFonts w:hint="eastAsia" w:ascii="宋体" w:hAnsi="宋体" w:eastAsia="宋体"/>
          <w:color w:val="auto"/>
          <w:sz w:val="24"/>
          <w:szCs w:val="24"/>
          <w:highlight w:val="none"/>
          <w:lang w:val="en-US" w:eastAsia="zh-CN"/>
        </w:rPr>
        <w:t>历史</w:t>
      </w:r>
      <w:r>
        <w:rPr>
          <w:rFonts w:hint="eastAsia" w:ascii="宋体" w:hAnsi="宋体" w:eastAsia="宋体"/>
          <w:color w:val="auto"/>
          <w:sz w:val="24"/>
          <w:szCs w:val="24"/>
          <w:highlight w:val="none"/>
        </w:rPr>
        <w:t>采坑</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lang w:val="en-US" w:eastAsia="zh-CN"/>
        </w:rPr>
        <w:t>运营期</w:t>
      </w:r>
      <w:r>
        <w:rPr>
          <w:rFonts w:hint="default" w:ascii="Times New Roman" w:hAnsi="Times New Roman" w:eastAsia="宋体" w:cs="Times New Roman"/>
          <w:color w:val="auto"/>
          <w:highlight w:val="none"/>
          <w:lang w:val="en-US" w:eastAsia="zh-CN"/>
        </w:rPr>
        <w:t>井下开采废石全部回填不升井</w:t>
      </w:r>
      <w:r>
        <w:rPr>
          <w:rFonts w:hint="eastAsia" w:cs="Times New Roman"/>
          <w:color w:val="auto"/>
          <w:highlight w:val="none"/>
          <w:lang w:val="en-US" w:eastAsia="zh-CN"/>
        </w:rPr>
        <w:t>；</w:t>
      </w:r>
      <w:r>
        <w:rPr>
          <w:rFonts w:hint="eastAsia" w:ascii="宋体" w:hAnsi="宋体" w:eastAsia="宋体"/>
          <w:color w:val="auto"/>
          <w:sz w:val="24"/>
          <w:szCs w:val="24"/>
          <w:highlight w:val="none"/>
          <w:lang w:val="en-US" w:eastAsia="zh-CN"/>
        </w:rPr>
        <w:t>露天开采</w:t>
      </w:r>
      <w:r>
        <w:rPr>
          <w:rFonts w:hint="eastAsia" w:ascii="宋体" w:hAnsi="宋体" w:eastAsia="宋体"/>
          <w:color w:val="auto"/>
          <w:sz w:val="24"/>
          <w:szCs w:val="24"/>
          <w:highlight w:val="none"/>
        </w:rPr>
        <w:t>产生的废石</w:t>
      </w:r>
      <w:r>
        <w:rPr>
          <w:rFonts w:hint="default" w:ascii="Times New Roman" w:hAnsi="Times New Roman" w:eastAsia="宋体" w:cs="Times New Roman"/>
          <w:color w:val="auto"/>
          <w:highlight w:val="none"/>
        </w:rPr>
        <w:t>除部分用来修筑道路及平整工业场地外，绝大部分废石采取外售方式处理</w:t>
      </w:r>
      <w:r>
        <w:rPr>
          <w:rFonts w:hint="eastAsia" w:ascii="宋体" w:hAnsi="宋体" w:eastAsia="宋体"/>
          <w:color w:val="auto"/>
          <w:sz w:val="24"/>
          <w:szCs w:val="24"/>
          <w:highlight w:val="none"/>
        </w:rPr>
        <w:t>，</w:t>
      </w:r>
      <w:r>
        <w:rPr>
          <w:rFonts w:hint="default" w:ascii="Times New Roman" w:hAnsi="Times New Roman" w:eastAsia="宋体" w:cs="Times New Roman"/>
          <w:color w:val="auto"/>
          <w:highlight w:val="none"/>
          <w:lang w:val="en-US" w:eastAsia="zh-CN"/>
        </w:rPr>
        <w:t>依据本公司与</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岫岩满族自治县鑫祥通运输有限公司</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签订的废石销售协议，该矿山开采过程中产生的废石全部外运加工综合利用</w:t>
      </w:r>
      <w:r>
        <w:rPr>
          <w:rFonts w:hint="eastAsia" w:cs="Times New Roman"/>
          <w:color w:val="auto"/>
          <w:highlight w:val="none"/>
          <w:lang w:val="en-US" w:eastAsia="zh-CN"/>
        </w:rPr>
        <w:t>；</w:t>
      </w:r>
      <w:r>
        <w:rPr>
          <w:rFonts w:hint="eastAsia" w:ascii="宋体" w:hAnsi="宋体" w:eastAsia="宋体"/>
          <w:color w:val="auto"/>
          <w:sz w:val="24"/>
          <w:szCs w:val="24"/>
          <w:highlight w:val="none"/>
        </w:rPr>
        <w:t>本项目产生废石对环境影响较小。</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废机油</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项目设置危废暂存间，废矿物油暂存于危废暂存间，定期交由资质单位处置。</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eastAsia" w:cs="Times New Roman"/>
          <w:color w:val="auto"/>
          <w:highlight w:val="none"/>
          <w:lang w:val="en-US" w:eastAsia="zh-CN"/>
        </w:rPr>
        <w:t>生活垃圾</w:t>
      </w:r>
    </w:p>
    <w:p>
      <w:pPr>
        <w:ind w:firstLine="480"/>
        <w:rPr>
          <w:rFonts w:hint="default" w:ascii="Times New Roman" w:hAnsi="Times New Roman" w:eastAsia="宋体" w:cs="Times New Roman"/>
          <w:color w:val="auto"/>
          <w:highlight w:val="none"/>
        </w:rPr>
      </w:pPr>
      <w:r>
        <w:rPr>
          <w:rFonts w:hint="eastAsia" w:ascii="宋体" w:hAnsi="宋体" w:eastAsia="宋体"/>
          <w:color w:val="auto"/>
          <w:sz w:val="24"/>
          <w:szCs w:val="24"/>
          <w:highlight w:val="none"/>
        </w:rPr>
        <w:t>生活垃圾在厂区内集中收集，定期由环卫部门清运处理，不得随意排放。</w:t>
      </w:r>
    </w:p>
    <w:p>
      <w:pPr>
        <w:spacing w:beforeLines="0" w:afterLines="0"/>
        <w:jc w:val="left"/>
        <w:rPr>
          <w:rFonts w:hint="default" w:ascii="Times New Roman" w:hAnsi="Times New Roman" w:eastAsia="宋体" w:cs="Times New Roman"/>
          <w:color w:val="auto"/>
          <w:highlight w:val="none"/>
        </w:rPr>
      </w:pPr>
      <w:r>
        <w:rPr>
          <w:rFonts w:hint="eastAsia" w:ascii="宋体" w:hAnsi="宋体" w:eastAsia="宋体"/>
          <w:color w:val="auto"/>
          <w:sz w:val="24"/>
          <w:szCs w:val="24"/>
          <w:highlight w:val="none"/>
          <w:lang w:val="en-US" w:eastAsia="zh-CN"/>
        </w:rPr>
        <w:t>综上，</w:t>
      </w:r>
      <w:r>
        <w:rPr>
          <w:rFonts w:hint="eastAsia" w:ascii="宋体" w:hAnsi="宋体" w:eastAsia="宋体"/>
          <w:color w:val="auto"/>
          <w:sz w:val="24"/>
          <w:szCs w:val="24"/>
          <w:highlight w:val="none"/>
        </w:rPr>
        <w:t>本项目产生的固体废物均得到有效的利用及妥善的处理，不向外界环境排放，因此对周边环境影响</w:t>
      </w:r>
      <w:r>
        <w:rPr>
          <w:rFonts w:hint="eastAsia" w:ascii="宋体" w:hAnsi="宋体"/>
          <w:color w:val="auto"/>
          <w:sz w:val="24"/>
          <w:szCs w:val="24"/>
          <w:highlight w:val="none"/>
          <w:lang w:val="en-US" w:eastAsia="zh-CN"/>
        </w:rPr>
        <w:t>较</w:t>
      </w:r>
      <w:r>
        <w:rPr>
          <w:rFonts w:hint="eastAsia" w:ascii="宋体" w:hAnsi="宋体" w:eastAsia="宋体"/>
          <w:color w:val="auto"/>
          <w:sz w:val="24"/>
          <w:szCs w:val="24"/>
          <w:highlight w:val="none"/>
        </w:rPr>
        <w:t>小。</w:t>
      </w:r>
    </w:p>
    <w:bookmarkEnd w:id="564"/>
    <w:p>
      <w:pPr>
        <w:ind w:firstLine="480"/>
        <w:rPr>
          <w:rFonts w:hint="default" w:ascii="Times New Roman" w:hAnsi="Times New Roman" w:eastAsia="宋体" w:cs="Times New Roman"/>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bookmarkEnd w:id="382"/>
    <w:bookmarkEnd w:id="383"/>
    <w:bookmarkEnd w:id="384"/>
    <w:bookmarkEnd w:id="385"/>
    <w:bookmarkEnd w:id="386"/>
    <w:bookmarkEnd w:id="387"/>
    <w:bookmarkEnd w:id="388"/>
    <w:bookmarkEnd w:id="389"/>
    <w:bookmarkEnd w:id="390"/>
    <w:bookmarkEnd w:id="391"/>
    <w:bookmarkEnd w:id="392"/>
    <w:bookmarkEnd w:id="393"/>
    <w:bookmarkEnd w:id="394"/>
    <w:p>
      <w:pPr>
        <w:pStyle w:val="5"/>
        <w:bidi w:val="0"/>
        <w:rPr>
          <w:rFonts w:hint="default" w:ascii="Times New Roman" w:hAnsi="Times New Roman" w:eastAsia="宋体" w:cs="Times New Roman"/>
          <w:color w:val="auto"/>
          <w:highlight w:val="none"/>
          <w:lang w:val="en-US" w:eastAsia="zh-CN"/>
        </w:rPr>
      </w:pPr>
      <w:bookmarkStart w:id="565" w:name="_Toc15376208"/>
      <w:bookmarkStart w:id="566" w:name="_Toc395187027"/>
      <w:bookmarkStart w:id="567" w:name="_Toc368298831"/>
      <w:bookmarkStart w:id="568" w:name="_Toc377022564"/>
      <w:bookmarkStart w:id="569" w:name="_Toc369000248"/>
      <w:bookmarkStart w:id="570" w:name="_Toc368298923"/>
      <w:r>
        <w:rPr>
          <w:rFonts w:hint="default" w:ascii="Times New Roman" w:hAnsi="Times New Roman" w:eastAsia="宋体" w:cs="Times New Roman"/>
          <w:color w:val="auto"/>
          <w:highlight w:val="none"/>
          <w:lang w:val="en-US" w:eastAsia="zh-CN"/>
        </w:rPr>
        <w:t>土壤</w:t>
      </w:r>
      <w:r>
        <w:rPr>
          <w:rFonts w:hint="eastAsia" w:ascii="Times New Roman" w:hAnsi="Times New Roman" w:eastAsia="宋体" w:cs="Times New Roman"/>
          <w:color w:val="auto"/>
          <w:highlight w:val="none"/>
          <w:lang w:val="en-US" w:eastAsia="zh-CN"/>
        </w:rPr>
        <w:t>环</w:t>
      </w:r>
      <w:r>
        <w:rPr>
          <w:rFonts w:hint="default" w:ascii="Times New Roman" w:hAnsi="Times New Roman" w:eastAsia="宋体" w:cs="Times New Roman"/>
          <w:color w:val="auto"/>
          <w:highlight w:val="none"/>
          <w:lang w:val="en-US" w:eastAsia="zh-CN"/>
        </w:rPr>
        <w:t>境影响分析与评价</w:t>
      </w:r>
      <w:bookmarkEnd w:id="565"/>
    </w:p>
    <w:p>
      <w:pPr>
        <w:pStyle w:val="6"/>
        <w:numPr>
          <w:ilvl w:val="3"/>
          <w:numId w:val="0"/>
        </w:numPr>
        <w:spacing w:before="0" w:after="0" w:line="360" w:lineRule="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6.2.6.1 土壤现状调查与评价</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土壤类型及质量调查</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本项目土壤主要为棕壤</w:t>
      </w:r>
      <w:r>
        <w:rPr>
          <w:rFonts w:hint="eastAsia" w:ascii="Times New Roman" w:hAnsi="Times New Roman" w:eastAsia="宋体" w:cs="Times New Roman"/>
          <w:color w:val="auto"/>
          <w:highlight w:val="none"/>
          <w:lang w:eastAsia="zh-CN"/>
        </w:rPr>
        <w:t>（</w:t>
      </w:r>
      <w:r>
        <w:rPr>
          <w:rFonts w:hint="eastAsia" w:ascii="Times New Roman" w:hAnsi="Times New Roman" w:eastAsia="宋体" w:cs="Times New Roman"/>
          <w:color w:val="auto"/>
          <w:highlight w:val="none"/>
          <w:lang w:val="en-US" w:eastAsia="zh-CN"/>
        </w:rPr>
        <w:t>土壤类型图见5.1.5章节</w:t>
      </w:r>
      <w:r>
        <w:rPr>
          <w:rFonts w:hint="default" w:ascii="Times New Roman" w:hAnsi="Times New Roman" w:eastAsia="宋体" w:cs="Times New Roman"/>
          <w:color w:val="auto"/>
          <w:highlight w:val="none"/>
          <w:lang w:val="en-US" w:eastAsia="zh-CN"/>
        </w:rPr>
        <w:t>图5.1-6</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土层厚度1.0~2.50m.。通过资料收集、实地调研、现场踏勘、人员访谈等方式开展调查，从而获取土壤环境基础数据资料，初步分析场地土壤环境污染状况。结合土壤环境质量评价标准，对工业场地主要功能区进行现场调查。矿区土壤理化特性见表</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11</w:t>
      </w:r>
      <w:r>
        <w:rPr>
          <w:rFonts w:hint="default" w:ascii="Times New Roman" w:hAnsi="Times New Roman" w:eastAsia="宋体" w:cs="Times New Roman"/>
          <w:color w:val="auto"/>
          <w:highlight w:val="none"/>
        </w:rPr>
        <w:t>。</w:t>
      </w:r>
    </w:p>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11</w:t>
      </w:r>
      <w:r>
        <w:rPr>
          <w:rFonts w:hint="default" w:ascii="Times New Roman" w:hAnsi="Times New Roman" w:eastAsia="宋体" w:cs="Times New Roman"/>
          <w:b/>
          <w:bCs/>
          <w:color w:val="auto"/>
          <w:sz w:val="21"/>
          <w:szCs w:val="21"/>
          <w:highlight w:val="none"/>
        </w:rPr>
        <w:t>土壤理化特性调查表</w:t>
      </w:r>
    </w:p>
    <w:tbl>
      <w:tblPr>
        <w:tblStyle w:val="45"/>
        <w:tblW w:w="4996"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85" w:type="dxa"/>
          <w:left w:w="108" w:type="dxa"/>
          <w:bottom w:w="85" w:type="dxa"/>
          <w:right w:w="108" w:type="dxa"/>
        </w:tblCellMar>
      </w:tblPr>
      <w:tblGrid>
        <w:gridCol w:w="744"/>
        <w:gridCol w:w="1803"/>
        <w:gridCol w:w="1088"/>
        <w:gridCol w:w="826"/>
        <w:gridCol w:w="824"/>
        <w:gridCol w:w="765"/>
        <w:gridCol w:w="1220"/>
        <w:gridCol w:w="369"/>
        <w:gridCol w:w="347"/>
        <w:gridCol w:w="1255"/>
        <w:gridCol w:w="3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401" w:type="pct"/>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地点</w:t>
            </w:r>
          </w:p>
        </w:tc>
        <w:tc>
          <w:tcPr>
            <w:tcW w:w="971" w:type="pct"/>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项目矿区</w:t>
            </w:r>
            <w:r>
              <w:rPr>
                <w:rFonts w:hint="eastAsia" w:ascii="Times New Roman" w:hAnsi="Times New Roman" w:eastAsia="宋体" w:cs="Times New Roman"/>
                <w:snapToGrid w:val="0"/>
                <w:color w:val="auto"/>
                <w:sz w:val="21"/>
                <w:highlight w:val="none"/>
                <w:lang w:val="en-US" w:eastAsia="zh-CN"/>
              </w:rPr>
              <w:t>北侧</w:t>
            </w:r>
          </w:p>
        </w:tc>
        <w:tc>
          <w:tcPr>
            <w:tcW w:w="586" w:type="pct"/>
            <w:vAlign w:val="center"/>
          </w:tcPr>
          <w:p>
            <w:pPr>
              <w:pStyle w:val="78"/>
              <w:spacing w:line="240" w:lineRule="atLeast"/>
              <w:ind w:firstLine="0" w:firstLineChars="0"/>
              <w:jc w:val="center"/>
              <w:rPr>
                <w:rFonts w:hint="eastAsia"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经</w:t>
            </w:r>
            <w:r>
              <w:rPr>
                <w:rFonts w:hint="eastAsia" w:ascii="Times New Roman" w:hAnsi="Times New Roman" w:cs="Times New Roman"/>
                <w:snapToGrid w:val="0"/>
                <w:color w:val="auto"/>
                <w:sz w:val="21"/>
                <w:highlight w:val="none"/>
                <w:lang w:val="en-US" w:eastAsia="zh-CN"/>
              </w:rPr>
              <w:t>纬</w:t>
            </w:r>
            <w:r>
              <w:rPr>
                <w:rFonts w:hint="default" w:ascii="Times New Roman" w:hAnsi="Times New Roman" w:eastAsia="宋体" w:cs="Times New Roman"/>
                <w:snapToGrid w:val="0"/>
                <w:color w:val="auto"/>
                <w:sz w:val="21"/>
                <w:highlight w:val="none"/>
              </w:rPr>
              <w:t>度</w:t>
            </w:r>
          </w:p>
        </w:tc>
        <w:tc>
          <w:tcPr>
            <w:tcW w:w="1958" w:type="pct"/>
            <w:gridSpan w:val="4"/>
            <w:vAlign w:val="center"/>
          </w:tcPr>
          <w:p>
            <w:pPr>
              <w:pStyle w:val="78"/>
              <w:spacing w:line="240" w:lineRule="atLeast"/>
              <w:ind w:firstLine="0" w:firstLineChars="0"/>
              <w:jc w:val="center"/>
              <w:rPr>
                <w:rFonts w:hint="eastAsia" w:ascii="Times New Roman" w:hAnsi="Times New Roman" w:eastAsia="宋体" w:cs="Times New Roman"/>
                <w:snapToGrid w:val="0"/>
                <w:color w:val="auto"/>
                <w:sz w:val="21"/>
                <w:highlight w:val="none"/>
                <w:lang w:eastAsia="zh-CN"/>
              </w:rPr>
            </w:pPr>
            <w:r>
              <w:rPr>
                <w:rFonts w:hint="eastAsia" w:ascii="Times New Roman" w:hAnsi="Times New Roman" w:eastAsia="宋体" w:cs="Times New Roman"/>
                <w:snapToGrid w:val="0"/>
                <w:color w:val="auto"/>
                <w:sz w:val="21"/>
                <w:highlight w:val="none"/>
                <w:lang w:eastAsia="zh-CN"/>
              </w:rPr>
              <w:t>123.374327E，40.452791N</w:t>
            </w:r>
          </w:p>
        </w:tc>
        <w:tc>
          <w:tcPr>
            <w:tcW w:w="386" w:type="pct"/>
            <w:gridSpan w:val="2"/>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时间</w:t>
            </w:r>
          </w:p>
        </w:tc>
        <w:tc>
          <w:tcPr>
            <w:tcW w:w="695" w:type="pct"/>
            <w:gridSpan w:val="2"/>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default" w:ascii="Times New Roman" w:hAnsi="Times New Roman" w:eastAsia="宋体" w:cs="Times New Roman"/>
                <w:snapToGrid w:val="0"/>
                <w:color w:val="auto"/>
                <w:sz w:val="21"/>
                <w:highlight w:val="none"/>
                <w:lang w:val="en-US" w:eastAsia="zh-CN"/>
              </w:rPr>
              <w:t>202</w:t>
            </w:r>
            <w:r>
              <w:rPr>
                <w:rFonts w:hint="eastAsia" w:ascii="Times New Roman" w:hAnsi="Times New Roman" w:eastAsia="宋体" w:cs="Times New Roman"/>
                <w:snapToGrid w:val="0"/>
                <w:color w:val="auto"/>
                <w:sz w:val="21"/>
                <w:highlight w:val="none"/>
                <w:lang w:val="en-US" w:eastAsia="zh-CN"/>
              </w:rPr>
              <w:t>2</w:t>
            </w:r>
            <w:r>
              <w:rPr>
                <w:rFonts w:hint="default" w:ascii="Times New Roman" w:hAnsi="Times New Roman" w:eastAsia="宋体" w:cs="Times New Roman"/>
                <w:snapToGrid w:val="0"/>
                <w:color w:val="auto"/>
                <w:sz w:val="21"/>
                <w:highlight w:val="none"/>
                <w:lang w:val="en-US" w:eastAsia="zh-CN"/>
              </w:rPr>
              <w:t>.</w:t>
            </w:r>
            <w:r>
              <w:rPr>
                <w:rFonts w:hint="eastAsia" w:ascii="Times New Roman" w:hAnsi="Times New Roman" w:eastAsia="宋体" w:cs="Times New Roman"/>
                <w:snapToGrid w:val="0"/>
                <w:color w:val="auto"/>
                <w:sz w:val="21"/>
                <w:highlight w:val="none"/>
                <w:lang w:val="en-US" w:eastAsia="zh-CN"/>
              </w:rPr>
              <w:t>07.04</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401" w:type="pct"/>
            <w:vMerge w:val="restart"/>
            <w:vAlign w:val="center"/>
          </w:tcPr>
          <w:p>
            <w:pPr>
              <w:pStyle w:val="78"/>
              <w:spacing w:line="240" w:lineRule="atLeas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现</w:t>
            </w:r>
          </w:p>
          <w:p>
            <w:pPr>
              <w:pStyle w:val="78"/>
              <w:spacing w:line="240" w:lineRule="atLeas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场</w:t>
            </w:r>
          </w:p>
          <w:p>
            <w:pPr>
              <w:pStyle w:val="78"/>
              <w:spacing w:line="240" w:lineRule="atLeast"/>
              <w:ind w:firstLine="0" w:firstLineChars="0"/>
              <w:jc w:val="center"/>
              <w:rPr>
                <w:rFonts w:hint="eastAsia"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记</w:t>
            </w:r>
          </w:p>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录</w:t>
            </w:r>
          </w:p>
        </w:tc>
        <w:tc>
          <w:tcPr>
            <w:tcW w:w="971" w:type="pct"/>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层次</w:t>
            </w:r>
          </w:p>
        </w:tc>
        <w:tc>
          <w:tcPr>
            <w:tcW w:w="1475" w:type="pct"/>
            <w:gridSpan w:val="3"/>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A层</w:t>
            </w:r>
          </w:p>
        </w:tc>
        <w:tc>
          <w:tcPr>
            <w:tcW w:w="1069" w:type="pct"/>
            <w:gridSpan w:val="2"/>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B层</w:t>
            </w:r>
          </w:p>
        </w:tc>
        <w:tc>
          <w:tcPr>
            <w:tcW w:w="1082" w:type="pct"/>
            <w:gridSpan w:val="4"/>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C层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401" w:type="pct"/>
            <w:vMerge w:val="continue"/>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p>
        </w:tc>
        <w:tc>
          <w:tcPr>
            <w:tcW w:w="971" w:type="pct"/>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颜色</w:t>
            </w:r>
          </w:p>
        </w:tc>
        <w:tc>
          <w:tcPr>
            <w:tcW w:w="1475" w:type="pct"/>
            <w:gridSpan w:val="3"/>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7.5YR5/6</w:t>
            </w:r>
          </w:p>
        </w:tc>
        <w:tc>
          <w:tcPr>
            <w:tcW w:w="1069" w:type="pct"/>
            <w:gridSpan w:val="2"/>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5YR5/8</w:t>
            </w:r>
          </w:p>
        </w:tc>
        <w:tc>
          <w:tcPr>
            <w:tcW w:w="1082" w:type="pct"/>
            <w:gridSpan w:val="4"/>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7.5YR6/8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401" w:type="pct"/>
            <w:vMerge w:val="continue"/>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p>
        </w:tc>
        <w:tc>
          <w:tcPr>
            <w:tcW w:w="971" w:type="pct"/>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结构</w:t>
            </w:r>
          </w:p>
        </w:tc>
        <w:tc>
          <w:tcPr>
            <w:tcW w:w="1475" w:type="pct"/>
            <w:gridSpan w:val="3"/>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团粒结构</w:t>
            </w:r>
          </w:p>
        </w:tc>
        <w:tc>
          <w:tcPr>
            <w:tcW w:w="1069" w:type="pct"/>
            <w:gridSpan w:val="2"/>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团粒结构</w:t>
            </w:r>
          </w:p>
        </w:tc>
        <w:tc>
          <w:tcPr>
            <w:tcW w:w="1082" w:type="pct"/>
            <w:gridSpan w:val="4"/>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块粒结构</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401" w:type="pct"/>
            <w:vMerge w:val="continue"/>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p>
        </w:tc>
        <w:tc>
          <w:tcPr>
            <w:tcW w:w="971" w:type="pct"/>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质地</w:t>
            </w:r>
          </w:p>
        </w:tc>
        <w:tc>
          <w:tcPr>
            <w:tcW w:w="1475" w:type="pct"/>
            <w:gridSpan w:val="3"/>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粘土</w:t>
            </w:r>
          </w:p>
        </w:tc>
        <w:tc>
          <w:tcPr>
            <w:tcW w:w="1069" w:type="pct"/>
            <w:gridSpan w:val="2"/>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砂粘壤</w:t>
            </w:r>
          </w:p>
        </w:tc>
        <w:tc>
          <w:tcPr>
            <w:tcW w:w="1082" w:type="pct"/>
            <w:gridSpan w:val="4"/>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砂砾土</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401" w:type="pct"/>
            <w:vMerge w:val="continue"/>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p>
        </w:tc>
        <w:tc>
          <w:tcPr>
            <w:tcW w:w="971" w:type="pct"/>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砂砾含量</w:t>
            </w:r>
          </w:p>
        </w:tc>
        <w:tc>
          <w:tcPr>
            <w:tcW w:w="1475" w:type="pct"/>
            <w:gridSpan w:val="3"/>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25%</w:t>
            </w:r>
          </w:p>
        </w:tc>
        <w:tc>
          <w:tcPr>
            <w:tcW w:w="1069" w:type="pct"/>
            <w:gridSpan w:val="2"/>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38%</w:t>
            </w:r>
          </w:p>
        </w:tc>
        <w:tc>
          <w:tcPr>
            <w:tcW w:w="1082" w:type="pct"/>
            <w:gridSpan w:val="4"/>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56%</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401" w:type="pct"/>
            <w:vMerge w:val="continue"/>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p>
        </w:tc>
        <w:tc>
          <w:tcPr>
            <w:tcW w:w="971" w:type="pct"/>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其他异物</w:t>
            </w:r>
          </w:p>
        </w:tc>
        <w:tc>
          <w:tcPr>
            <w:tcW w:w="1475" w:type="pct"/>
            <w:gridSpan w:val="3"/>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根系</w:t>
            </w:r>
          </w:p>
        </w:tc>
        <w:tc>
          <w:tcPr>
            <w:tcW w:w="1069" w:type="pct"/>
            <w:gridSpan w:val="2"/>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无</w:t>
            </w:r>
          </w:p>
        </w:tc>
        <w:tc>
          <w:tcPr>
            <w:tcW w:w="1082" w:type="pct"/>
            <w:gridSpan w:val="4"/>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无</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401" w:type="pct"/>
            <w:vMerge w:val="continue"/>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p>
        </w:tc>
        <w:tc>
          <w:tcPr>
            <w:tcW w:w="971" w:type="pct"/>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植被</w:t>
            </w:r>
          </w:p>
        </w:tc>
        <w:tc>
          <w:tcPr>
            <w:tcW w:w="3627" w:type="pct"/>
            <w:gridSpan w:val="9"/>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灌草丛</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gridAfter w:val="1"/>
          <w:wAfter w:w="19" w:type="pct"/>
          <w:trHeight w:val="285" w:hRule="atLeast"/>
          <w:jc w:val="center"/>
        </w:trPr>
        <w:tc>
          <w:tcPr>
            <w:tcW w:w="401" w:type="pct"/>
            <w:vMerge w:val="restar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实</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验</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室</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测</w:t>
            </w:r>
          </w:p>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定</w:t>
            </w:r>
          </w:p>
        </w:tc>
        <w:tc>
          <w:tcPr>
            <w:tcW w:w="9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pH</w:t>
            </w:r>
          </w:p>
        </w:tc>
        <w:tc>
          <w:tcPr>
            <w:tcW w:w="1031"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7.12</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 xml:space="preserve">7.33 </w:t>
            </w:r>
          </w:p>
        </w:tc>
        <w:tc>
          <w:tcPr>
            <w:tcW w:w="863"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 xml:space="preserve">7.09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gridAfter w:val="1"/>
          <w:wAfter w:w="19" w:type="pct"/>
          <w:trHeight w:val="285" w:hRule="atLeast"/>
          <w:jc w:val="center"/>
        </w:trPr>
        <w:tc>
          <w:tcPr>
            <w:tcW w:w="401"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含盐量</w:t>
            </w:r>
          </w:p>
        </w:tc>
        <w:tc>
          <w:tcPr>
            <w:tcW w:w="1031"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g/kg</w:t>
            </w:r>
          </w:p>
        </w:tc>
        <w:tc>
          <w:tcPr>
            <w:tcW w:w="856" w:type="pct"/>
            <w:gridSpan w:val="2"/>
            <w:tcBorders>
              <w:tl2br w:val="nil"/>
              <w:tr2bl w:val="nil"/>
            </w:tcBorders>
            <w:shd w:val="clear" w:color="auto" w:fill="auto"/>
            <w:vAlign w:val="center"/>
          </w:tcPr>
          <w:p>
            <w:pPr>
              <w:keepNext w:val="0"/>
              <w:keepLines w:val="0"/>
              <w:widowControl/>
              <w:suppressLineNumbers w:val="0"/>
              <w:ind w:firstLine="428" w:firstLineChars="200"/>
              <w:jc w:val="center"/>
              <w:textAlignment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1.2</w:t>
            </w:r>
          </w:p>
        </w:tc>
        <w:tc>
          <w:tcPr>
            <w:tcW w:w="856" w:type="pct"/>
            <w:gridSpan w:val="2"/>
            <w:tcBorders>
              <w:tl2br w:val="nil"/>
              <w:tr2bl w:val="nil"/>
            </w:tcBorders>
            <w:shd w:val="clear" w:color="auto" w:fill="auto"/>
            <w:vAlign w:val="center"/>
          </w:tcPr>
          <w:p>
            <w:pPr>
              <w:keepNext w:val="0"/>
              <w:keepLines w:val="0"/>
              <w:widowControl/>
              <w:suppressLineNumbers w:val="0"/>
              <w:ind w:firstLine="428" w:firstLineChars="200"/>
              <w:jc w:val="center"/>
              <w:textAlignment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1.1</w:t>
            </w:r>
          </w:p>
        </w:tc>
        <w:tc>
          <w:tcPr>
            <w:tcW w:w="863" w:type="pct"/>
            <w:gridSpan w:val="2"/>
            <w:tcBorders>
              <w:tl2br w:val="nil"/>
              <w:tr2bl w:val="nil"/>
            </w:tcBorders>
            <w:shd w:val="clear" w:color="auto" w:fill="auto"/>
            <w:vAlign w:val="center"/>
          </w:tcPr>
          <w:p>
            <w:pPr>
              <w:keepNext w:val="0"/>
              <w:keepLines w:val="0"/>
              <w:widowControl/>
              <w:suppressLineNumbers w:val="0"/>
              <w:ind w:firstLine="428" w:firstLineChars="200"/>
              <w:jc w:val="center"/>
              <w:textAlignment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gridAfter w:val="1"/>
          <w:wAfter w:w="19" w:type="pct"/>
          <w:trHeight w:val="510" w:hRule="atLeast"/>
          <w:jc w:val="center"/>
        </w:trPr>
        <w:tc>
          <w:tcPr>
            <w:tcW w:w="401"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阳离子交换量</w:t>
            </w:r>
          </w:p>
        </w:tc>
        <w:tc>
          <w:tcPr>
            <w:tcW w:w="1031"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cmol</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/kg</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12.5</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12.4</w:t>
            </w:r>
          </w:p>
        </w:tc>
        <w:tc>
          <w:tcPr>
            <w:tcW w:w="863"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12.1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gridAfter w:val="1"/>
          <w:wAfter w:w="19" w:type="pct"/>
          <w:trHeight w:val="510" w:hRule="atLeast"/>
          <w:jc w:val="center"/>
        </w:trPr>
        <w:tc>
          <w:tcPr>
            <w:tcW w:w="401"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氧化还原电位</w:t>
            </w:r>
          </w:p>
        </w:tc>
        <w:tc>
          <w:tcPr>
            <w:tcW w:w="1031"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mV</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524</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520</w:t>
            </w:r>
          </w:p>
        </w:tc>
        <w:tc>
          <w:tcPr>
            <w:tcW w:w="863"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519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gridAfter w:val="1"/>
          <w:wAfter w:w="19" w:type="pct"/>
          <w:trHeight w:val="510" w:hRule="atLeast"/>
          <w:jc w:val="center"/>
        </w:trPr>
        <w:tc>
          <w:tcPr>
            <w:tcW w:w="401"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饱和导水率</w:t>
            </w:r>
          </w:p>
        </w:tc>
        <w:tc>
          <w:tcPr>
            <w:tcW w:w="1031"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cm/s</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1.41</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1.38</w:t>
            </w:r>
          </w:p>
        </w:tc>
        <w:tc>
          <w:tcPr>
            <w:tcW w:w="863"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gridAfter w:val="1"/>
          <w:wAfter w:w="19" w:type="pct"/>
          <w:trHeight w:val="315" w:hRule="atLeast"/>
          <w:jc w:val="center"/>
        </w:trPr>
        <w:tc>
          <w:tcPr>
            <w:tcW w:w="401"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土壤容重</w:t>
            </w:r>
          </w:p>
        </w:tc>
        <w:tc>
          <w:tcPr>
            <w:tcW w:w="1031"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g/cm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1.15</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1.14</w:t>
            </w:r>
          </w:p>
        </w:tc>
        <w:tc>
          <w:tcPr>
            <w:tcW w:w="863"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1.12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gridAfter w:val="1"/>
          <w:wAfter w:w="19" w:type="pct"/>
          <w:trHeight w:val="285" w:hRule="atLeast"/>
          <w:jc w:val="center"/>
        </w:trPr>
        <w:tc>
          <w:tcPr>
            <w:tcW w:w="401" w:type="pct"/>
            <w:vMerge w:val="continue"/>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971"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总孔隙度</w:t>
            </w:r>
          </w:p>
        </w:tc>
        <w:tc>
          <w:tcPr>
            <w:tcW w:w="1031" w:type="pct"/>
            <w:gridSpan w:val="2"/>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21.6</w:t>
            </w:r>
          </w:p>
        </w:tc>
        <w:tc>
          <w:tcPr>
            <w:tcW w:w="856"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21.7</w:t>
            </w:r>
          </w:p>
        </w:tc>
        <w:tc>
          <w:tcPr>
            <w:tcW w:w="863" w:type="pct"/>
            <w:gridSpan w:val="2"/>
            <w:tcBorders>
              <w:tl2br w:val="nil"/>
              <w:tr2bl w:val="nil"/>
            </w:tcBorders>
            <w:shd w:val="clear" w:color="auto" w:fill="auto"/>
            <w:vAlign w:val="center"/>
          </w:tcPr>
          <w:p>
            <w:pPr>
              <w:ind w:firstLine="428" w:firstLineChars="200"/>
              <w:jc w:val="center"/>
              <w:rPr>
                <w:rFonts w:hint="default" w:ascii="Times New Roman" w:hAnsi="Times New Roman" w:eastAsia="宋体" w:cs="Times New Roman"/>
                <w:snapToGrid w:val="0"/>
                <w:color w:val="auto"/>
                <w:spacing w:val="2"/>
                <w:kern w:val="0"/>
                <w:sz w:val="21"/>
                <w:szCs w:val="21"/>
                <w:highlight w:val="none"/>
                <w:lang w:val="en-US" w:eastAsia="zh-CN" w:bidi="ar-SA"/>
              </w:rPr>
            </w:pPr>
            <w:r>
              <w:rPr>
                <w:rFonts w:hint="eastAsia" w:ascii="Times New Roman" w:hAnsi="Times New Roman" w:eastAsia="宋体" w:cs="Times New Roman"/>
                <w:snapToGrid w:val="0"/>
                <w:color w:val="auto"/>
                <w:spacing w:val="2"/>
                <w:kern w:val="0"/>
                <w:sz w:val="21"/>
                <w:szCs w:val="21"/>
                <w:highlight w:val="none"/>
                <w:lang w:val="en-US" w:eastAsia="zh-CN" w:bidi="ar-SA"/>
              </w:rPr>
              <w:t>21.4</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根据第</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章第</w:t>
      </w:r>
      <w:r>
        <w:rPr>
          <w:rFonts w:hint="default" w:ascii="Times New Roman" w:hAnsi="Times New Roman" w:eastAsia="宋体" w:cs="Times New Roman"/>
          <w:color w:val="auto"/>
          <w:highlight w:val="none"/>
          <w:lang w:val="en-US" w:eastAsia="zh-CN"/>
        </w:rPr>
        <w:t>4.2.2.</w:t>
      </w:r>
      <w:r>
        <w:rPr>
          <w:rFonts w:hint="default" w:ascii="Times New Roman" w:hAnsi="Times New Roman" w:eastAsia="宋体" w:cs="Times New Roman"/>
          <w:color w:val="auto"/>
          <w:highlight w:val="none"/>
        </w:rPr>
        <w:t>5节，项目矿区内所有土壤监测点位及项目均能达到《土壤环境质量建设用地土壤污染风险管控标准》（GB36600-2018）二类地筛选值标准要求。</w:t>
      </w:r>
    </w:p>
    <w:p>
      <w:pPr>
        <w:ind w:firstLine="480"/>
        <w:rPr>
          <w:rFonts w:hint="default" w:ascii="Times New Roman" w:hAnsi="Times New Roman" w:eastAsia="宋体" w:cs="Times New Roman"/>
          <w:color w:val="auto"/>
          <w:highlight w:val="none"/>
        </w:rPr>
        <w:sectPr>
          <w:footerReference r:id="rId27" w:type="default"/>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11</w:t>
      </w:r>
      <w:r>
        <w:rPr>
          <w:rFonts w:hint="default" w:ascii="Times New Roman" w:hAnsi="Times New Roman" w:eastAsia="宋体" w:cs="Times New Roman"/>
          <w:b/>
          <w:bCs/>
          <w:color w:val="auto"/>
          <w:sz w:val="21"/>
          <w:szCs w:val="21"/>
          <w:highlight w:val="none"/>
        </w:rPr>
        <w:t>土壤剖面</w:t>
      </w:r>
    </w:p>
    <w:tbl>
      <w:tblPr>
        <w:tblStyle w:val="45"/>
        <w:tblW w:w="928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85" w:type="dxa"/>
          <w:left w:w="108" w:type="dxa"/>
          <w:bottom w:w="85" w:type="dxa"/>
          <w:right w:w="108" w:type="dxa"/>
        </w:tblCellMar>
      </w:tblPr>
      <w:tblGrid>
        <w:gridCol w:w="3566"/>
        <w:gridCol w:w="4417"/>
        <w:gridCol w:w="130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3566" w:type="dxa"/>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景观照片</w:t>
            </w:r>
          </w:p>
        </w:tc>
        <w:tc>
          <w:tcPr>
            <w:tcW w:w="4417" w:type="dxa"/>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土壤剖面照片</w:t>
            </w:r>
          </w:p>
        </w:tc>
        <w:tc>
          <w:tcPr>
            <w:tcW w:w="1304" w:type="dxa"/>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层次</w:t>
            </w:r>
            <w:r>
              <w:rPr>
                <w:rFonts w:hint="default" w:ascii="Times New Roman" w:hAnsi="Times New Roman" w:eastAsia="宋体" w:cs="Times New Roman"/>
                <w:snapToGrid w:val="0"/>
                <w:color w:val="auto"/>
                <w:sz w:val="21"/>
                <w:highlight w:val="none"/>
                <w:vertAlign w:val="superscript"/>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3566" w:type="dxa"/>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color w:val="auto"/>
                <w:highlight w:val="none"/>
              </w:rPr>
              <w:drawing>
                <wp:inline distT="0" distB="0" distL="0" distR="0">
                  <wp:extent cx="2172970" cy="1445260"/>
                  <wp:effectExtent l="0" t="0" r="1778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172970" cy="1445260"/>
                          </a:xfrm>
                          <a:prstGeom prst="rect">
                            <a:avLst/>
                          </a:prstGeom>
                        </pic:spPr>
                      </pic:pic>
                    </a:graphicData>
                  </a:graphic>
                </wp:inline>
              </w:drawing>
            </w:r>
          </w:p>
        </w:tc>
        <w:tc>
          <w:tcPr>
            <w:tcW w:w="4417" w:type="dxa"/>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color w:val="auto"/>
                <w:sz w:val="24"/>
                <w:highlight w:val="none"/>
              </w:rPr>
              <w:drawing>
                <wp:inline distT="0" distB="0" distL="114300" distR="114300">
                  <wp:extent cx="2780665" cy="1974850"/>
                  <wp:effectExtent l="0" t="0" r="635" b="6350"/>
                  <wp:docPr id="322" name="图片 66"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66" descr="无标题"/>
                          <pic:cNvPicPr>
                            <a:picLocks noChangeAspect="1"/>
                          </pic:cNvPicPr>
                        </pic:nvPicPr>
                        <pic:blipFill>
                          <a:blip r:embed="rId101"/>
                          <a:stretch>
                            <a:fillRect/>
                          </a:stretch>
                        </pic:blipFill>
                        <pic:spPr>
                          <a:xfrm>
                            <a:off x="0" y="0"/>
                            <a:ext cx="2780665" cy="1974850"/>
                          </a:xfrm>
                          <a:prstGeom prst="rect">
                            <a:avLst/>
                          </a:prstGeom>
                          <a:noFill/>
                          <a:ln>
                            <a:noFill/>
                          </a:ln>
                        </pic:spPr>
                      </pic:pic>
                    </a:graphicData>
                  </a:graphic>
                </wp:inline>
              </w:drawing>
            </w:r>
          </w:p>
        </w:tc>
        <w:tc>
          <w:tcPr>
            <w:tcW w:w="1304" w:type="dxa"/>
            <w:vAlign w:val="center"/>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0-3cm腐败层，7-40cm腐殖质层，40-60cm钙积层，60cm以下母质层</w:t>
            </w:r>
          </w:p>
        </w:tc>
      </w:tr>
    </w:tbl>
    <w:p>
      <w:pPr>
        <w:ind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注：图片来自《岫岩满族自治县苏子沟镇大何家堡村钾长石矿矿山地质环境保护与土地复垦方案》</w:t>
      </w:r>
    </w:p>
    <w:p>
      <w:pPr>
        <w:bidi w:val="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土壤盐化、酸化、碱化</w:t>
      </w:r>
      <w:r>
        <w:rPr>
          <w:rFonts w:hint="default" w:ascii="Times New Roman" w:hAnsi="Times New Roman" w:eastAsia="宋体" w:cs="Times New Roman"/>
          <w:color w:val="auto"/>
          <w:highlight w:val="none"/>
          <w:lang w:val="en-US" w:eastAsia="zh-CN"/>
        </w:rPr>
        <w:t>调查</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eastAsia" w:cs="Times New Roman"/>
          <w:color w:val="auto"/>
          <w:highlight w:val="none"/>
          <w:lang w:eastAsia="zh-CN"/>
        </w:rPr>
        <w:t>环境影响评价技术导则—土壤环境（试行）</w:t>
      </w:r>
      <w:r>
        <w:rPr>
          <w:rFonts w:hint="default" w:ascii="Times New Roman" w:hAnsi="Times New Roman" w:eastAsia="宋体" w:cs="Times New Roman"/>
          <w:color w:val="auto"/>
          <w:highlight w:val="none"/>
        </w:rPr>
        <w:t>》（HJ964-2018）中附录D土壤</w:t>
      </w:r>
    </w:p>
    <w:p>
      <w:pPr>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盐化、酸化、碱化分级标准，本次监测及分析结果见表</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12</w:t>
      </w:r>
      <w:r>
        <w:rPr>
          <w:rFonts w:hint="default" w:ascii="Times New Roman" w:hAnsi="Times New Roman" w:eastAsia="宋体" w:cs="Times New Roman"/>
          <w:color w:val="auto"/>
          <w:highlight w:val="none"/>
        </w:rPr>
        <w:t>。</w:t>
      </w:r>
    </w:p>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12</w:t>
      </w:r>
      <w:r>
        <w:rPr>
          <w:rFonts w:hint="default" w:ascii="Times New Roman" w:hAnsi="Times New Roman" w:eastAsia="宋体" w:cs="Times New Roman"/>
          <w:b/>
          <w:bCs/>
          <w:color w:val="auto"/>
          <w:sz w:val="21"/>
          <w:szCs w:val="21"/>
          <w:highlight w:val="none"/>
        </w:rPr>
        <w:t>土壤盐化、酸化、碱化监测结果分析</w:t>
      </w:r>
    </w:p>
    <w:tbl>
      <w:tblPr>
        <w:tblStyle w:val="45"/>
        <w:tblW w:w="9250"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85" w:type="dxa"/>
          <w:left w:w="108" w:type="dxa"/>
          <w:bottom w:w="85" w:type="dxa"/>
          <w:right w:w="108" w:type="dxa"/>
        </w:tblCellMar>
      </w:tblPr>
      <w:tblGrid>
        <w:gridCol w:w="1194"/>
        <w:gridCol w:w="2546"/>
        <w:gridCol w:w="1843"/>
        <w:gridCol w:w="1838"/>
        <w:gridCol w:w="182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1194"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监测点位</w:t>
            </w:r>
          </w:p>
        </w:tc>
        <w:tc>
          <w:tcPr>
            <w:tcW w:w="2546"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土壤含盐量（SSC）</w:t>
            </w:r>
          </w:p>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g/kg</w:t>
            </w:r>
          </w:p>
        </w:tc>
        <w:tc>
          <w:tcPr>
            <w:tcW w:w="1843"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分析结果</w:t>
            </w:r>
          </w:p>
        </w:tc>
        <w:tc>
          <w:tcPr>
            <w:tcW w:w="1838"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eastAsia="zh-CN"/>
              </w:rPr>
            </w:pPr>
            <w:r>
              <w:rPr>
                <w:rFonts w:hint="default" w:ascii="Times New Roman" w:hAnsi="Times New Roman" w:eastAsia="宋体" w:cs="Times New Roman"/>
                <w:snapToGrid w:val="0"/>
                <w:color w:val="auto"/>
                <w:sz w:val="21"/>
                <w:highlight w:val="none"/>
              </w:rPr>
              <w:t>土壤pH值</w:t>
            </w:r>
          </w:p>
        </w:tc>
        <w:tc>
          <w:tcPr>
            <w:tcW w:w="1829"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分析结果</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1194"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S1</w:t>
            </w:r>
          </w:p>
        </w:tc>
        <w:tc>
          <w:tcPr>
            <w:tcW w:w="2546"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1.2</w:t>
            </w:r>
          </w:p>
        </w:tc>
        <w:tc>
          <w:tcPr>
            <w:tcW w:w="1843"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lang w:val="en-US" w:eastAsia="zh-CN"/>
              </w:rPr>
              <w:t>未</w:t>
            </w:r>
            <w:r>
              <w:rPr>
                <w:rFonts w:hint="default" w:ascii="Times New Roman" w:hAnsi="Times New Roman" w:eastAsia="宋体" w:cs="Times New Roman"/>
                <w:snapToGrid w:val="0"/>
                <w:color w:val="auto"/>
                <w:sz w:val="21"/>
                <w:highlight w:val="none"/>
              </w:rPr>
              <w:t>盐化</w:t>
            </w:r>
          </w:p>
        </w:tc>
        <w:tc>
          <w:tcPr>
            <w:tcW w:w="1838"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default" w:ascii="Times New Roman" w:hAnsi="Times New Roman" w:eastAsia="宋体" w:cs="Times New Roman"/>
                <w:snapToGrid w:val="0"/>
                <w:color w:val="auto"/>
                <w:sz w:val="21"/>
                <w:highlight w:val="none"/>
                <w:lang w:val="en-US" w:eastAsia="zh-CN"/>
              </w:rPr>
              <w:t>7.</w:t>
            </w:r>
            <w:r>
              <w:rPr>
                <w:rFonts w:hint="eastAsia" w:ascii="Times New Roman" w:hAnsi="Times New Roman" w:eastAsia="宋体" w:cs="Times New Roman"/>
                <w:snapToGrid w:val="0"/>
                <w:color w:val="auto"/>
                <w:sz w:val="21"/>
                <w:highlight w:val="none"/>
                <w:lang w:val="en-US" w:eastAsia="zh-CN"/>
              </w:rPr>
              <w:t>12</w:t>
            </w:r>
          </w:p>
        </w:tc>
        <w:tc>
          <w:tcPr>
            <w:tcW w:w="1829"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无酸化或碱化</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1194"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S2</w:t>
            </w:r>
          </w:p>
        </w:tc>
        <w:tc>
          <w:tcPr>
            <w:tcW w:w="2546"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1.1</w:t>
            </w:r>
          </w:p>
        </w:tc>
        <w:tc>
          <w:tcPr>
            <w:tcW w:w="1843" w:type="dxa"/>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lang w:val="en-US" w:eastAsia="zh-CN"/>
              </w:rPr>
              <w:t>未</w:t>
            </w:r>
            <w:r>
              <w:rPr>
                <w:rFonts w:hint="default" w:ascii="Times New Roman" w:hAnsi="Times New Roman" w:eastAsia="宋体" w:cs="Times New Roman"/>
                <w:snapToGrid w:val="0"/>
                <w:color w:val="auto"/>
                <w:sz w:val="21"/>
                <w:highlight w:val="none"/>
              </w:rPr>
              <w:t>盐化</w:t>
            </w:r>
          </w:p>
        </w:tc>
        <w:tc>
          <w:tcPr>
            <w:tcW w:w="1838"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default" w:ascii="Times New Roman" w:hAnsi="Times New Roman" w:eastAsia="宋体" w:cs="Times New Roman"/>
                <w:snapToGrid w:val="0"/>
                <w:color w:val="auto"/>
                <w:sz w:val="21"/>
                <w:highlight w:val="none"/>
              </w:rPr>
              <w:t>7.</w:t>
            </w:r>
            <w:r>
              <w:rPr>
                <w:rFonts w:hint="eastAsia" w:ascii="Times New Roman" w:hAnsi="Times New Roman" w:eastAsia="宋体" w:cs="Times New Roman"/>
                <w:snapToGrid w:val="0"/>
                <w:color w:val="auto"/>
                <w:sz w:val="21"/>
                <w:highlight w:val="none"/>
                <w:lang w:val="en-US" w:eastAsia="zh-CN"/>
              </w:rPr>
              <w:t>33</w:t>
            </w:r>
          </w:p>
        </w:tc>
        <w:tc>
          <w:tcPr>
            <w:tcW w:w="1829"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无酸化或碱化</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blHeader/>
          <w:jc w:val="center"/>
        </w:trPr>
        <w:tc>
          <w:tcPr>
            <w:tcW w:w="1194"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rPr>
              <w:t>S3</w:t>
            </w:r>
          </w:p>
        </w:tc>
        <w:tc>
          <w:tcPr>
            <w:tcW w:w="2546"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eastAsia" w:ascii="Times New Roman" w:hAnsi="Times New Roman" w:eastAsia="宋体" w:cs="Times New Roman"/>
                <w:snapToGrid w:val="0"/>
                <w:color w:val="auto"/>
                <w:sz w:val="21"/>
                <w:highlight w:val="none"/>
                <w:lang w:val="en-US" w:eastAsia="zh-CN"/>
              </w:rPr>
              <w:t>1.3</w:t>
            </w:r>
          </w:p>
        </w:tc>
        <w:tc>
          <w:tcPr>
            <w:tcW w:w="1843" w:type="dxa"/>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21"/>
                <w:highlight w:val="none"/>
              </w:rPr>
            </w:pPr>
            <w:r>
              <w:rPr>
                <w:rFonts w:hint="default" w:ascii="Times New Roman" w:hAnsi="Times New Roman" w:eastAsia="宋体" w:cs="Times New Roman"/>
                <w:snapToGrid w:val="0"/>
                <w:color w:val="auto"/>
                <w:sz w:val="21"/>
                <w:highlight w:val="none"/>
                <w:lang w:val="en-US" w:eastAsia="zh-CN"/>
              </w:rPr>
              <w:t>未</w:t>
            </w:r>
            <w:r>
              <w:rPr>
                <w:rFonts w:hint="default" w:ascii="Times New Roman" w:hAnsi="Times New Roman" w:eastAsia="宋体" w:cs="Times New Roman"/>
                <w:snapToGrid w:val="0"/>
                <w:color w:val="auto"/>
                <w:sz w:val="21"/>
                <w:highlight w:val="none"/>
              </w:rPr>
              <w:t>盐化</w:t>
            </w:r>
          </w:p>
        </w:tc>
        <w:tc>
          <w:tcPr>
            <w:tcW w:w="1838" w:type="dxa"/>
          </w:tcPr>
          <w:p>
            <w:pPr>
              <w:pStyle w:val="78"/>
              <w:spacing w:line="240" w:lineRule="atLeast"/>
              <w:ind w:firstLine="0" w:firstLineChars="0"/>
              <w:jc w:val="center"/>
              <w:rPr>
                <w:rFonts w:hint="default" w:ascii="Times New Roman" w:hAnsi="Times New Roman" w:eastAsia="宋体" w:cs="Times New Roman"/>
                <w:snapToGrid w:val="0"/>
                <w:color w:val="auto"/>
                <w:sz w:val="21"/>
                <w:highlight w:val="none"/>
                <w:lang w:val="en-US" w:eastAsia="zh-CN"/>
              </w:rPr>
            </w:pPr>
            <w:r>
              <w:rPr>
                <w:rFonts w:hint="default" w:ascii="Times New Roman" w:hAnsi="Times New Roman" w:eastAsia="宋体" w:cs="Times New Roman"/>
                <w:snapToGrid w:val="0"/>
                <w:color w:val="auto"/>
                <w:sz w:val="21"/>
                <w:highlight w:val="none"/>
                <w:lang w:val="en-US" w:eastAsia="zh-CN"/>
              </w:rPr>
              <w:t>7.</w:t>
            </w:r>
            <w:r>
              <w:rPr>
                <w:rFonts w:hint="eastAsia" w:ascii="Times New Roman" w:hAnsi="Times New Roman" w:eastAsia="宋体" w:cs="Times New Roman"/>
                <w:snapToGrid w:val="0"/>
                <w:color w:val="auto"/>
                <w:sz w:val="21"/>
                <w:highlight w:val="none"/>
                <w:lang w:val="en-US" w:eastAsia="zh-CN"/>
              </w:rPr>
              <w:t>09</w:t>
            </w:r>
          </w:p>
        </w:tc>
        <w:tc>
          <w:tcPr>
            <w:tcW w:w="1829" w:type="dxa"/>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无酸化或碱化</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监测结果表明，项目矿区及周边各监测点土壤盐化程度表现为</w:t>
      </w:r>
      <w:r>
        <w:rPr>
          <w:rFonts w:hint="default" w:ascii="Times New Roman" w:hAnsi="Times New Roman" w:eastAsia="宋体" w:cs="Times New Roman"/>
          <w:color w:val="auto"/>
          <w:highlight w:val="none"/>
          <w:lang w:val="en-US" w:eastAsia="zh-CN"/>
        </w:rPr>
        <w:t>未</w:t>
      </w:r>
      <w:r>
        <w:rPr>
          <w:rFonts w:hint="default" w:ascii="Times New Roman" w:hAnsi="Times New Roman" w:eastAsia="宋体" w:cs="Times New Roman"/>
          <w:color w:val="auto"/>
          <w:highlight w:val="none"/>
        </w:rPr>
        <w:t>盐化；酸化或碱化程度表现为无酸化或碱化。</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.2.7.3土壤环境污染源分析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根据工程组成，可分为</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、运营期两个阶段对土壤的环境影响。</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环境影响识别主要针对施工过程中施工机械在使用过程中，施工人员在施工生活过程中，固体废物在临时储存过程中对土壤产生的影响等。</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运营期环境影响识别主要针对工业场地、风井场地</w:t>
      </w:r>
      <w:r>
        <w:rPr>
          <w:rFonts w:hint="default" w:ascii="Times New Roman" w:hAnsi="Times New Roman" w:eastAsia="宋体" w:cs="Times New Roman"/>
          <w:color w:val="auto"/>
          <w:highlight w:val="none"/>
          <w:lang w:val="en-US" w:eastAsia="zh-CN"/>
        </w:rPr>
        <w:t>等</w:t>
      </w:r>
      <w:r>
        <w:rPr>
          <w:rFonts w:hint="default" w:ascii="Times New Roman" w:hAnsi="Times New Roman" w:eastAsia="宋体" w:cs="Times New Roman"/>
          <w:color w:val="auto"/>
          <w:highlight w:val="none"/>
        </w:rPr>
        <w:t>使用过程中对土壤产生的影响及地下开采水位变化对土壤盐化的影响等。</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本项目土壤环境影响识别见表</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13</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14</w:t>
      </w:r>
      <w:r>
        <w:rPr>
          <w:rFonts w:hint="default" w:ascii="Times New Roman" w:hAnsi="Times New Roman" w:eastAsia="宋体" w:cs="Times New Roman"/>
          <w:color w:val="auto"/>
          <w:highlight w:val="none"/>
        </w:rPr>
        <w:t>。</w:t>
      </w:r>
    </w:p>
    <w:p>
      <w:pPr>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13</w:t>
      </w:r>
      <w:r>
        <w:rPr>
          <w:rFonts w:hint="default" w:ascii="Times New Roman" w:hAnsi="Times New Roman" w:eastAsia="宋体" w:cs="Times New Roman"/>
          <w:b/>
          <w:bCs/>
          <w:color w:val="auto"/>
          <w:sz w:val="21"/>
          <w:szCs w:val="21"/>
          <w:highlight w:val="none"/>
        </w:rPr>
        <w:t>本项目土壤影响类型与途径表</w:t>
      </w:r>
    </w:p>
    <w:tbl>
      <w:tblPr>
        <w:tblStyle w:val="45"/>
        <w:tblW w:w="9249" w:type="dxa"/>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2008"/>
        <w:gridCol w:w="1789"/>
        <w:gridCol w:w="1774"/>
        <w:gridCol w:w="1842"/>
        <w:gridCol w:w="1836"/>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jc w:val="center"/>
        </w:trPr>
        <w:tc>
          <w:tcPr>
            <w:tcW w:w="2008" w:type="dxa"/>
            <w:vMerge w:val="restart"/>
            <w:tcBorders>
              <w:top w:val="single" w:color="auto" w:sz="12" w:space="0"/>
              <w:left w:val="nil"/>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不同时段</w:t>
            </w:r>
          </w:p>
        </w:tc>
        <w:tc>
          <w:tcPr>
            <w:tcW w:w="5405" w:type="dxa"/>
            <w:gridSpan w:val="3"/>
            <w:tcBorders>
              <w:top w:val="single" w:color="auto" w:sz="12" w:space="0"/>
              <w:left w:val="single" w:color="auto" w:sz="8" w:space="0"/>
              <w:bottom w:val="single" w:color="auto" w:sz="8"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污染影响型</w:t>
            </w:r>
          </w:p>
        </w:tc>
        <w:tc>
          <w:tcPr>
            <w:tcW w:w="1836" w:type="dxa"/>
            <w:tcBorders>
              <w:top w:val="single" w:color="auto" w:sz="12" w:space="0"/>
              <w:left w:val="single" w:color="auto" w:sz="8" w:space="0"/>
              <w:bottom w:val="single" w:color="auto" w:sz="8"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生态影响型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jc w:val="center"/>
        </w:trPr>
        <w:tc>
          <w:tcPr>
            <w:tcW w:w="2008" w:type="dxa"/>
            <w:vMerge w:val="continue"/>
            <w:tcBorders>
              <w:top w:val="single" w:color="auto" w:sz="8" w:space="0"/>
              <w:left w:val="nil"/>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p>
        </w:tc>
        <w:tc>
          <w:tcPr>
            <w:tcW w:w="1789" w:type="dxa"/>
            <w:tcBorders>
              <w:top w:val="single" w:color="auto" w:sz="8" w:space="0"/>
              <w:left w:val="single" w:color="auto" w:sz="8" w:space="0"/>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大气沉降</w:t>
            </w:r>
          </w:p>
        </w:tc>
        <w:tc>
          <w:tcPr>
            <w:tcW w:w="1774" w:type="dxa"/>
            <w:tcBorders>
              <w:top w:val="single" w:color="auto" w:sz="8" w:space="0"/>
              <w:left w:val="single" w:color="auto" w:sz="8" w:space="0"/>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地面漫流</w:t>
            </w:r>
          </w:p>
        </w:tc>
        <w:tc>
          <w:tcPr>
            <w:tcW w:w="1842" w:type="dxa"/>
            <w:tcBorders>
              <w:top w:val="single" w:color="auto" w:sz="8" w:space="0"/>
              <w:left w:val="single" w:color="auto" w:sz="8" w:space="0"/>
              <w:bottom w:val="single" w:color="auto" w:sz="8"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垂直入渗</w:t>
            </w:r>
          </w:p>
        </w:tc>
        <w:tc>
          <w:tcPr>
            <w:tcW w:w="1836" w:type="dxa"/>
            <w:tcBorders>
              <w:top w:val="single" w:color="auto" w:sz="8" w:space="0"/>
              <w:left w:val="single" w:color="auto" w:sz="8" w:space="0"/>
              <w:bottom w:val="single" w:color="auto" w:sz="8"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盐化</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jc w:val="center"/>
        </w:trPr>
        <w:tc>
          <w:tcPr>
            <w:tcW w:w="2008" w:type="dxa"/>
            <w:tcBorders>
              <w:top w:val="single" w:color="auto" w:sz="8" w:space="0"/>
              <w:left w:val="nil"/>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lang w:eastAsia="zh-CN"/>
              </w:rPr>
            </w:pPr>
            <w:r>
              <w:rPr>
                <w:rFonts w:hint="default" w:ascii="Times New Roman" w:hAnsi="Times New Roman" w:eastAsia="宋体" w:cs="Times New Roman"/>
                <w:snapToGrid w:val="0"/>
                <w:color w:val="auto"/>
                <w:spacing w:val="2"/>
                <w:kern w:val="0"/>
                <w:sz w:val="21"/>
                <w:szCs w:val="21"/>
                <w:highlight w:val="none"/>
                <w:lang w:eastAsia="zh-CN"/>
              </w:rPr>
              <w:t>基建期</w:t>
            </w:r>
          </w:p>
        </w:tc>
        <w:tc>
          <w:tcPr>
            <w:tcW w:w="1789" w:type="dxa"/>
            <w:tcBorders>
              <w:top w:val="single" w:color="auto" w:sz="8" w:space="0"/>
              <w:left w:val="single" w:color="auto" w:sz="8" w:space="0"/>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774" w:type="dxa"/>
            <w:tcBorders>
              <w:top w:val="single" w:color="auto" w:sz="8" w:space="0"/>
              <w:left w:val="single" w:color="auto" w:sz="8" w:space="0"/>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842" w:type="dxa"/>
            <w:tcBorders>
              <w:top w:val="single" w:color="auto" w:sz="8" w:space="0"/>
              <w:left w:val="single" w:color="auto" w:sz="8" w:space="0"/>
              <w:bottom w:val="single" w:color="auto" w:sz="8"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836" w:type="dxa"/>
            <w:tcBorders>
              <w:top w:val="single" w:color="auto" w:sz="8" w:space="0"/>
              <w:left w:val="single" w:color="auto" w:sz="8" w:space="0"/>
              <w:bottom w:val="single" w:color="auto" w:sz="8"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jc w:val="center"/>
        </w:trPr>
        <w:tc>
          <w:tcPr>
            <w:tcW w:w="2008" w:type="dxa"/>
            <w:tcBorders>
              <w:top w:val="single" w:color="auto" w:sz="8" w:space="0"/>
              <w:left w:val="nil"/>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运营期</w:t>
            </w:r>
          </w:p>
        </w:tc>
        <w:tc>
          <w:tcPr>
            <w:tcW w:w="1789" w:type="dxa"/>
            <w:tcBorders>
              <w:top w:val="single" w:color="auto" w:sz="8" w:space="0"/>
              <w:left w:val="single" w:color="auto" w:sz="8" w:space="0"/>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774" w:type="dxa"/>
            <w:tcBorders>
              <w:top w:val="single" w:color="auto" w:sz="8" w:space="0"/>
              <w:left w:val="single" w:color="auto" w:sz="8" w:space="0"/>
              <w:bottom w:val="single" w:color="auto" w:sz="8"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842" w:type="dxa"/>
            <w:tcBorders>
              <w:top w:val="single" w:color="auto" w:sz="8" w:space="0"/>
              <w:left w:val="single" w:color="auto" w:sz="8" w:space="0"/>
              <w:bottom w:val="single" w:color="auto" w:sz="8"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836" w:type="dxa"/>
            <w:tcBorders>
              <w:top w:val="single" w:color="auto" w:sz="8" w:space="0"/>
              <w:left w:val="single" w:color="auto" w:sz="8" w:space="0"/>
              <w:bottom w:val="single" w:color="auto" w:sz="8"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jc w:val="center"/>
        </w:trPr>
        <w:tc>
          <w:tcPr>
            <w:tcW w:w="2008" w:type="dxa"/>
            <w:tcBorders>
              <w:top w:val="single" w:color="auto" w:sz="8" w:space="0"/>
              <w:left w:val="nil"/>
              <w:bottom w:val="single" w:color="auto" w:sz="12"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服务期满后</w:t>
            </w:r>
          </w:p>
        </w:tc>
        <w:tc>
          <w:tcPr>
            <w:tcW w:w="1789" w:type="dxa"/>
            <w:tcBorders>
              <w:top w:val="single" w:color="auto" w:sz="8" w:space="0"/>
              <w:left w:val="single" w:color="auto" w:sz="8" w:space="0"/>
              <w:bottom w:val="single" w:color="auto" w:sz="12"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774" w:type="dxa"/>
            <w:tcBorders>
              <w:top w:val="single" w:color="auto" w:sz="8" w:space="0"/>
              <w:left w:val="single" w:color="auto" w:sz="8" w:space="0"/>
              <w:bottom w:val="single" w:color="auto" w:sz="12" w:space="0"/>
              <w:right w:val="single" w:color="auto" w:sz="8" w:space="0"/>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842" w:type="dxa"/>
            <w:tcBorders>
              <w:top w:val="single" w:color="auto" w:sz="8" w:space="0"/>
              <w:left w:val="single" w:color="auto" w:sz="8" w:space="0"/>
              <w:bottom w:val="single" w:color="auto" w:sz="12"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c>
          <w:tcPr>
            <w:tcW w:w="1836" w:type="dxa"/>
            <w:tcBorders>
              <w:top w:val="single" w:color="auto" w:sz="8" w:space="0"/>
              <w:left w:val="single" w:color="auto" w:sz="8" w:space="0"/>
              <w:bottom w:val="single" w:color="auto" w:sz="12" w:space="0"/>
              <w:right w:val="nil"/>
            </w:tcBorders>
            <w:vAlign w:val="center"/>
          </w:tcPr>
          <w:p>
            <w:pPr>
              <w:spacing w:line="240" w:lineRule="atLeast"/>
              <w:ind w:firstLine="0" w:firstLineChars="0"/>
              <w:jc w:val="center"/>
              <w:rPr>
                <w:rFonts w:hint="default" w:ascii="Times New Roman" w:hAnsi="Times New Roman" w:eastAsia="宋体" w:cs="Times New Roman"/>
                <w:snapToGrid w:val="0"/>
                <w:color w:val="auto"/>
                <w:spacing w:val="2"/>
                <w:kern w:val="0"/>
                <w:sz w:val="21"/>
                <w:szCs w:val="21"/>
                <w:highlight w:val="none"/>
              </w:rPr>
            </w:pPr>
            <w:r>
              <w:rPr>
                <w:rFonts w:hint="default" w:ascii="Times New Roman" w:hAnsi="Times New Roman" w:eastAsia="宋体" w:cs="Times New Roman"/>
                <w:snapToGrid w:val="0"/>
                <w:color w:val="auto"/>
                <w:spacing w:val="2"/>
                <w:kern w:val="0"/>
                <w:sz w:val="21"/>
                <w:szCs w:val="21"/>
                <w:highlight w:val="none"/>
              </w:rPr>
              <w:t>-</w:t>
            </w:r>
          </w:p>
        </w:tc>
      </w:tr>
    </w:tbl>
    <w:p>
      <w:pPr>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rPr>
      </w:pPr>
    </w:p>
    <w:p>
      <w:pPr>
        <w:spacing w:before="120" w:beforeLines="50"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14</w:t>
      </w:r>
      <w:r>
        <w:rPr>
          <w:rFonts w:hint="default" w:ascii="Times New Roman" w:hAnsi="Times New Roman" w:eastAsia="宋体" w:cs="Times New Roman"/>
          <w:b/>
          <w:bCs/>
          <w:color w:val="auto"/>
          <w:sz w:val="21"/>
          <w:szCs w:val="21"/>
          <w:highlight w:val="none"/>
        </w:rPr>
        <w:t>本项目土壤环境影响源及影响因子识别表</w:t>
      </w:r>
    </w:p>
    <w:tbl>
      <w:tblPr>
        <w:tblStyle w:val="45"/>
        <w:tblW w:w="92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3"/>
        <w:gridCol w:w="2149"/>
        <w:gridCol w:w="1111"/>
        <w:gridCol w:w="2224"/>
        <w:gridCol w:w="1359"/>
        <w:gridCol w:w="9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8" w:hRule="atLeast"/>
          <w:jc w:val="center"/>
        </w:trPr>
        <w:tc>
          <w:tcPr>
            <w:tcW w:w="1493" w:type="dxa"/>
            <w:tcBorders>
              <w:tl2br w:val="nil"/>
              <w:tr2bl w:val="nil"/>
            </w:tcBorders>
            <w:shd w:val="clear" w:color="auto" w:fill="auto"/>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污染源</w:t>
            </w:r>
          </w:p>
        </w:tc>
        <w:tc>
          <w:tcPr>
            <w:tcW w:w="2149" w:type="dxa"/>
            <w:tcBorders>
              <w:tl2br w:val="nil"/>
              <w:tr2bl w:val="nil"/>
            </w:tcBorders>
            <w:shd w:val="clear" w:color="auto" w:fill="auto"/>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工艺流程/节点</w:t>
            </w:r>
          </w:p>
        </w:tc>
        <w:tc>
          <w:tcPr>
            <w:tcW w:w="1111"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污染途径</w:t>
            </w:r>
          </w:p>
        </w:tc>
        <w:tc>
          <w:tcPr>
            <w:tcW w:w="2224"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全部污染物指标</w:t>
            </w:r>
            <w:r>
              <w:rPr>
                <w:rFonts w:hint="default" w:ascii="Times New Roman" w:hAnsi="Times New Roman" w:eastAsia="宋体" w:cs="Times New Roman"/>
                <w:color w:val="auto"/>
                <w:kern w:val="0"/>
                <w:sz w:val="18"/>
                <w:szCs w:val="18"/>
                <w:highlight w:val="none"/>
                <w:vertAlign w:val="superscript"/>
              </w:rPr>
              <w:t>a</w:t>
            </w:r>
          </w:p>
        </w:tc>
        <w:tc>
          <w:tcPr>
            <w:tcW w:w="1359"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特征因子</w:t>
            </w:r>
          </w:p>
        </w:tc>
        <w:tc>
          <w:tcPr>
            <w:tcW w:w="951"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备注</w:t>
            </w:r>
            <w:r>
              <w:rPr>
                <w:rFonts w:hint="default" w:ascii="Times New Roman" w:hAnsi="Times New Roman" w:eastAsia="宋体" w:cs="Times New Roman"/>
                <w:color w:val="auto"/>
                <w:kern w:val="0"/>
                <w:sz w:val="18"/>
                <w:szCs w:val="18"/>
                <w:highlight w:val="none"/>
                <w:vertAlign w:val="superscript"/>
              </w:rPr>
              <w:t>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642" w:type="dxa"/>
            <w:gridSpan w:val="2"/>
            <w:tcBorders>
              <w:tl2br w:val="nil"/>
              <w:tr2bl w:val="nil"/>
            </w:tcBorders>
            <w:shd w:val="clear" w:color="auto" w:fill="auto"/>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风井场地</w:t>
            </w:r>
          </w:p>
        </w:tc>
        <w:tc>
          <w:tcPr>
            <w:tcW w:w="1111"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大气沉降</w:t>
            </w:r>
          </w:p>
        </w:tc>
        <w:tc>
          <w:tcPr>
            <w:tcW w:w="2224"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TSP</w:t>
            </w:r>
          </w:p>
        </w:tc>
        <w:tc>
          <w:tcPr>
            <w:tcW w:w="1359"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TSP</w:t>
            </w:r>
          </w:p>
        </w:tc>
        <w:tc>
          <w:tcPr>
            <w:tcW w:w="951"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连续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3642" w:type="dxa"/>
            <w:gridSpan w:val="2"/>
            <w:tcBorders>
              <w:tl2br w:val="nil"/>
              <w:tr2bl w:val="nil"/>
            </w:tcBorders>
            <w:shd w:val="clear" w:color="auto" w:fill="auto"/>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矿石临时堆场</w:t>
            </w:r>
          </w:p>
        </w:tc>
        <w:tc>
          <w:tcPr>
            <w:tcW w:w="1111"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地面漫流</w:t>
            </w:r>
          </w:p>
        </w:tc>
        <w:tc>
          <w:tcPr>
            <w:tcW w:w="2224"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锰</w:t>
            </w:r>
          </w:p>
        </w:tc>
        <w:tc>
          <w:tcPr>
            <w:tcW w:w="1359"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eastAsia" w:cs="Times New Roman"/>
                <w:color w:val="auto"/>
                <w:kern w:val="0"/>
                <w:sz w:val="18"/>
                <w:szCs w:val="18"/>
                <w:highlight w:val="none"/>
                <w:lang w:val="en-US" w:eastAsia="zh-CN"/>
              </w:rPr>
              <w:t>锰</w:t>
            </w:r>
          </w:p>
        </w:tc>
        <w:tc>
          <w:tcPr>
            <w:tcW w:w="951" w:type="dxa"/>
            <w:tcBorders>
              <w:tl2br w:val="nil"/>
              <w:tr2bl w:val="nil"/>
            </w:tcBorders>
            <w:vAlign w:val="center"/>
          </w:tcPr>
          <w:p>
            <w:pPr>
              <w:widowControl/>
              <w:spacing w:line="240" w:lineRule="atLeast"/>
              <w:ind w:firstLine="0" w:firstLineChars="0"/>
              <w:jc w:val="center"/>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3642" w:type="dxa"/>
            <w:gridSpan w:val="2"/>
            <w:tcBorders>
              <w:tl2br w:val="nil"/>
              <w:tr2bl w:val="nil"/>
            </w:tcBorders>
            <w:shd w:val="clear" w:color="auto" w:fill="auto"/>
            <w:vAlign w:val="center"/>
          </w:tcPr>
          <w:p>
            <w:pPr>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危废暂存间</w:t>
            </w:r>
          </w:p>
        </w:tc>
        <w:tc>
          <w:tcPr>
            <w:tcW w:w="1111" w:type="dxa"/>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垂直入渗</w:t>
            </w:r>
          </w:p>
        </w:tc>
        <w:tc>
          <w:tcPr>
            <w:tcW w:w="2224" w:type="dxa"/>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石油类</w:t>
            </w:r>
          </w:p>
        </w:tc>
        <w:tc>
          <w:tcPr>
            <w:tcW w:w="1359" w:type="dxa"/>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石油类</w:t>
            </w:r>
          </w:p>
        </w:tc>
        <w:tc>
          <w:tcPr>
            <w:tcW w:w="951" w:type="dxa"/>
            <w:tcBorders>
              <w:tl2br w:val="nil"/>
              <w:tr2bl w:val="nil"/>
            </w:tcBorders>
            <w:vAlign w:val="center"/>
          </w:tcPr>
          <w:p>
            <w:pPr>
              <w:spacing w:line="240" w:lineRule="atLeast"/>
              <w:ind w:firstLine="0" w:firstLineChars="0"/>
              <w:jc w:val="center"/>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lang w:val="en-US" w:eastAsia="zh-CN"/>
              </w:rPr>
              <w:t>间断</w:t>
            </w:r>
          </w:p>
        </w:tc>
      </w:tr>
    </w:tbl>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.2.7.4</w:t>
      </w:r>
      <w:r>
        <w:rPr>
          <w:rFonts w:hint="eastAsia" w:ascii="Times New Roman" w:hAnsi="Times New Roman" w:eastAsia="宋体" w:cs="Times New Roman"/>
          <w:color w:val="auto"/>
          <w:sz w:val="24"/>
          <w:highlight w:val="none"/>
          <w:lang w:val="en-US" w:eastAsia="zh-CN"/>
        </w:rPr>
        <w:t>污染</w:t>
      </w:r>
      <w:r>
        <w:rPr>
          <w:rFonts w:hint="default" w:ascii="Times New Roman" w:hAnsi="Times New Roman" w:eastAsia="宋体" w:cs="Times New Roman"/>
          <w:color w:val="auto"/>
          <w:sz w:val="24"/>
          <w:highlight w:val="none"/>
          <w:lang w:val="en-US" w:eastAsia="zh-CN"/>
        </w:rPr>
        <w:t>影响型土壤环境影响预测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土壤是复杂的三相共存体系，其污染物质主要通过被污染大气的沉降、工业废水的漫流和入渗、以及固体废物通过大气迁移、扩散、沉降或降水淋溶、地表径流等而进入土壤环境。</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（1）大气沉降</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本项目大气沉降主要风井产生的废气会对土壤环境产生的影响。本项目废气污染物主要为颗粒物，污染物进入土壤后，由于土壤对它们的固定作用，不易向下迁移，多数集中分布在表层，对土壤影响不大。</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（二）地面漫流</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对于</w:t>
      </w:r>
      <w:r>
        <w:rPr>
          <w:rFonts w:hint="default" w:ascii="Times New Roman" w:hAnsi="Times New Roman" w:eastAsia="宋体" w:cs="Times New Roman"/>
          <w:color w:val="auto"/>
          <w:highlight w:val="none"/>
          <w:lang w:val="en-US" w:eastAsia="zh-CN"/>
        </w:rPr>
        <w:t>矿石临时堆场</w:t>
      </w:r>
      <w:r>
        <w:rPr>
          <w:rFonts w:hint="default" w:ascii="Times New Roman" w:hAnsi="Times New Roman" w:eastAsia="宋体" w:cs="Times New Roman"/>
          <w:color w:val="auto"/>
          <w:highlight w:val="none"/>
        </w:rPr>
        <w:t>，在降雨情况下产生的废水会发生地面漫流，对土壤会产生一定影响。企业</w:t>
      </w:r>
      <w:r>
        <w:rPr>
          <w:rFonts w:hint="default" w:ascii="Times New Roman" w:hAnsi="Times New Roman" w:eastAsia="宋体" w:cs="Times New Roman"/>
          <w:color w:val="auto"/>
          <w:highlight w:val="none"/>
          <w:lang w:val="en-US" w:eastAsia="zh-CN"/>
        </w:rPr>
        <w:t>对废石临时堆场</w:t>
      </w:r>
      <w:r>
        <w:rPr>
          <w:rFonts w:hint="default" w:ascii="Times New Roman" w:hAnsi="Times New Roman" w:eastAsia="宋体" w:cs="Times New Roman"/>
          <w:color w:val="auto"/>
          <w:highlight w:val="none"/>
        </w:rPr>
        <w:t>设置排水沟，根据地势，雨水引致</w:t>
      </w:r>
      <w:r>
        <w:rPr>
          <w:rFonts w:hint="default" w:ascii="Times New Roman" w:hAnsi="Times New Roman" w:eastAsia="宋体" w:cs="Times New Roman"/>
          <w:color w:val="auto"/>
          <w:highlight w:val="none"/>
          <w:lang w:val="en-US" w:eastAsia="zh-CN"/>
        </w:rPr>
        <w:t>沉淀池，回用于生产抑尘</w:t>
      </w:r>
      <w:r>
        <w:rPr>
          <w:rFonts w:hint="default" w:ascii="Times New Roman" w:hAnsi="Times New Roman" w:eastAsia="宋体" w:cs="Times New Roman"/>
          <w:color w:val="auto"/>
          <w:highlight w:val="none"/>
        </w:rPr>
        <w:t>。矿井涌水全部排入蓄水池回用于生产，全面控制生产废水发生地面漫流，进入土壤。在做好以上防控措施的情况下，污染物的地面漫流对土壤影响较小。</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（三）垂直入渗</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本项目危险废物暂存库</w:t>
      </w:r>
      <w:r>
        <w:rPr>
          <w:rFonts w:hint="default" w:ascii="Times New Roman" w:hAnsi="Times New Roman" w:eastAsia="宋体" w:cs="Times New Roman"/>
          <w:color w:val="auto"/>
          <w:highlight w:val="none"/>
          <w:lang w:val="en-US" w:eastAsia="zh-CN"/>
        </w:rPr>
        <w:t>位于东侧</w:t>
      </w:r>
      <w:r>
        <w:rPr>
          <w:rFonts w:hint="default" w:ascii="Times New Roman" w:hAnsi="Times New Roman" w:eastAsia="宋体" w:cs="Times New Roman"/>
          <w:color w:val="auto"/>
          <w:highlight w:val="none"/>
        </w:rPr>
        <w:t>，暂存库按《危险废物贮存污染控制标准》(GB18597-2001)要求进行设计建造，根据场地特性和项目特征，制定分区防渗。对于地下及半地下工程构筑物采取重点防渗，对于可能发生物料和污染物泄露的地上构筑物采取一般防渗，其他区域按建筑要求做地面处理。防渗材料应与物料或污染物相兼容，其渗透系数应小于等于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cm/s。在全面落实分区防渗措施的情况下，</w:t>
      </w:r>
      <w:r>
        <w:rPr>
          <w:rFonts w:hint="default" w:ascii="Times New Roman" w:hAnsi="Times New Roman" w:eastAsia="宋体" w:cs="Times New Roman"/>
          <w:color w:val="auto"/>
          <w:highlight w:val="none"/>
          <w:lang w:val="en-US" w:eastAsia="zh-CN"/>
        </w:rPr>
        <w:t>危废暂存间废机油</w:t>
      </w:r>
      <w:r>
        <w:rPr>
          <w:rFonts w:hint="default" w:ascii="Times New Roman" w:hAnsi="Times New Roman" w:eastAsia="宋体" w:cs="Times New Roman"/>
          <w:color w:val="auto"/>
          <w:highlight w:val="none"/>
        </w:rPr>
        <w:t>的垂直入渗对土壤影响较小。</w:t>
      </w:r>
    </w:p>
    <w:p>
      <w:pPr>
        <w:bidi w:val="0"/>
        <w:rPr>
          <w:rFonts w:hint="default" w:ascii="Times New Roman" w:hAnsi="Times New Roman" w:eastAsia="宋体" w:cs="Times New Roman"/>
          <w:color w:val="auto"/>
          <w:highlight w:val="none"/>
          <w:lang w:val="en-US" w:eastAsia="zh-CN"/>
        </w:rPr>
      </w:pP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本项目主要考虑临时排岩场淋溶水以垂直入渗方式进入土壤环境。根据土壤环境质量现状监测，土壤相关因子均满足相关标准的要求，且拟建工程按照相关设计要求进行防渗处理，项目对土壤环境影响程度较小。</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所以，项目正常运行对区域土壤环境影响可接受，本次仅评价对非正常工况进行预测，采用一维非饱和溶质运移模型。</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1）模型建立</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w:t>
      </w:r>
      <w:r>
        <w:rPr>
          <w:rFonts w:hint="eastAsia" w:cs="Times New Roman"/>
          <w:color w:val="auto"/>
          <w:highlight w:val="none"/>
          <w:lang w:val="en-US" w:eastAsia="zh-CN"/>
        </w:rPr>
        <w:t>环境影响评价技术导则—土壤环境（试行）</w:t>
      </w:r>
      <w:r>
        <w:rPr>
          <w:rFonts w:hint="default" w:ascii="Times New Roman" w:hAnsi="Times New Roman" w:eastAsia="宋体" w:cs="Times New Roman"/>
          <w:color w:val="auto"/>
          <w:highlight w:val="none"/>
          <w:lang w:val="en-US" w:eastAsia="zh-CN"/>
        </w:rPr>
        <w:t>》（HJ964-2018）附录E中预测方法对本项目垂直入渗对区域土壤环境影响进行预测，预测公式如下：</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2）一维非饱和溶质垂向运移控制过程：</w:t>
      </w:r>
    </w:p>
    <w:p>
      <w:pPr>
        <w:pStyle w:val="27"/>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firstLine="480" w:firstLineChars="200"/>
        <w:jc w:val="center"/>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3051175" cy="538480"/>
            <wp:effectExtent l="0" t="0" r="15875" b="13970"/>
            <wp:docPr id="39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43"/>
                    <pic:cNvPicPr>
                      <a:picLocks noChangeAspect="1"/>
                    </pic:cNvPicPr>
                  </pic:nvPicPr>
                  <pic:blipFill>
                    <a:blip r:embed="rId227"/>
                    <a:stretch>
                      <a:fillRect/>
                    </a:stretch>
                  </pic:blipFill>
                  <pic:spPr>
                    <a:xfrm>
                      <a:off x="0" y="0"/>
                      <a:ext cx="3051175" cy="5384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式中：</w:t>
      </w:r>
    </w:p>
    <w:p>
      <w:pPr>
        <w:pStyle w:val="2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C—污染物介质中的浓度，mg/L；</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D—弥散系数，m</w:t>
      </w:r>
      <w:r>
        <w:rPr>
          <w:rFonts w:hint="default" w:ascii="Times New Roman" w:hAnsi="Times New Roman" w:eastAsia="宋体" w:cs="Times New Roman"/>
          <w:color w:val="auto"/>
          <w:highlight w:val="none"/>
          <w:vertAlign w:val="superscript"/>
          <w:lang w:val="en-US" w:eastAsia="zh-CN"/>
        </w:rPr>
        <w:t>2</w:t>
      </w:r>
      <w:r>
        <w:rPr>
          <w:rFonts w:hint="default" w:ascii="Times New Roman" w:hAnsi="Times New Roman" w:eastAsia="宋体" w:cs="Times New Roman"/>
          <w:color w:val="auto"/>
          <w:highlight w:val="none"/>
          <w:lang w:val="en-US" w:eastAsia="zh-CN"/>
        </w:rPr>
        <w:t>/d；</w:t>
      </w:r>
    </w:p>
    <w:p>
      <w:pPr>
        <w:pStyle w:val="2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q—渗流速度，m/d；</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z—沿z轴的距离，m；</w:t>
      </w:r>
    </w:p>
    <w:p>
      <w:pPr>
        <w:pStyle w:val="2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t—时间变量，d；</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drawing>
          <wp:inline distT="0" distB="0" distL="114300" distR="114300">
            <wp:extent cx="123825" cy="171450"/>
            <wp:effectExtent l="0" t="0" r="9525" b="0"/>
            <wp:docPr id="39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46"/>
                    <pic:cNvPicPr>
                      <a:picLocks noChangeAspect="1"/>
                    </pic:cNvPicPr>
                  </pic:nvPicPr>
                  <pic:blipFill>
                    <a:blip r:embed="rId228"/>
                    <a:stretch>
                      <a:fillRect/>
                    </a:stretch>
                  </pic:blipFill>
                  <pic:spPr>
                    <a:xfrm>
                      <a:off x="0" y="0"/>
                      <a:ext cx="123825" cy="171450"/>
                    </a:xfrm>
                    <a:prstGeom prst="rect">
                      <a:avLst/>
                    </a:prstGeom>
                    <a:noFill/>
                    <a:ln>
                      <a:noFill/>
                    </a:ln>
                  </pic:spPr>
                </pic:pic>
              </a:graphicData>
            </a:graphic>
          </wp:inline>
        </w:drawing>
      </w:r>
      <w:r>
        <w:rPr>
          <w:rFonts w:hint="default" w:ascii="Times New Roman" w:hAnsi="Times New Roman" w:eastAsia="宋体" w:cs="Times New Roman"/>
          <w:color w:val="auto"/>
          <w:highlight w:val="none"/>
          <w:lang w:val="en-US" w:eastAsia="zh-CN"/>
        </w:rPr>
        <w:t>—土壤含水率，%。</w:t>
      </w:r>
    </w:p>
    <w:p>
      <w:pPr>
        <w:pStyle w:val="2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（2）初始条件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drawing>
          <wp:inline distT="0" distB="0" distL="114300" distR="114300">
            <wp:extent cx="1876425" cy="171450"/>
            <wp:effectExtent l="0" t="0" r="9525" b="0"/>
            <wp:docPr id="39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48"/>
                    <pic:cNvPicPr>
                      <a:picLocks noChangeAspect="1"/>
                    </pic:cNvPicPr>
                  </pic:nvPicPr>
                  <pic:blipFill>
                    <a:blip r:embed="rId229"/>
                    <a:stretch>
                      <a:fillRect/>
                    </a:stretch>
                  </pic:blipFill>
                  <pic:spPr>
                    <a:xfrm>
                      <a:off x="0" y="0"/>
                      <a:ext cx="1876425" cy="171450"/>
                    </a:xfrm>
                    <a:prstGeom prst="rect">
                      <a:avLst/>
                    </a:prstGeom>
                    <a:noFill/>
                    <a:ln>
                      <a:noFill/>
                    </a:ln>
                  </pic:spPr>
                </pic:pic>
              </a:graphicData>
            </a:graphic>
          </wp:inline>
        </w:drawing>
      </w:r>
    </w:p>
    <w:p>
      <w:pPr>
        <w:pStyle w:val="27"/>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3）边界条件</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第一类Dirichlet边界条件，其中E.6适用于连续电源情景，E.7适用于非连续点源情景。</w:t>
      </w:r>
    </w:p>
    <w:p>
      <w:pPr>
        <w:pStyle w:val="2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drawing>
          <wp:inline distT="0" distB="0" distL="114300" distR="114300">
            <wp:extent cx="3032125" cy="718185"/>
            <wp:effectExtent l="0" t="0" r="15875" b="5715"/>
            <wp:docPr id="39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49"/>
                    <pic:cNvPicPr>
                      <a:picLocks noChangeAspect="1"/>
                    </pic:cNvPicPr>
                  </pic:nvPicPr>
                  <pic:blipFill>
                    <a:blip r:embed="rId230"/>
                    <a:stretch>
                      <a:fillRect/>
                    </a:stretch>
                  </pic:blipFill>
                  <pic:spPr>
                    <a:xfrm>
                      <a:off x="0" y="0"/>
                      <a:ext cx="3032125" cy="7181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第二类Neumann；零梯度边界。</w:t>
      </w:r>
    </w:p>
    <w:p>
      <w:pPr>
        <w:pStyle w:val="27"/>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drawing>
          <wp:inline distT="0" distB="0" distL="114300" distR="114300">
            <wp:extent cx="2361565" cy="497205"/>
            <wp:effectExtent l="0" t="0" r="635" b="17145"/>
            <wp:docPr id="40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50"/>
                    <pic:cNvPicPr>
                      <a:picLocks noChangeAspect="1"/>
                    </pic:cNvPicPr>
                  </pic:nvPicPr>
                  <pic:blipFill>
                    <a:blip r:embed="rId231"/>
                    <a:stretch>
                      <a:fillRect/>
                    </a:stretch>
                  </pic:blipFill>
                  <pic:spPr>
                    <a:xfrm>
                      <a:off x="0" y="0"/>
                      <a:ext cx="2361565" cy="497205"/>
                    </a:xfrm>
                    <a:prstGeom prst="rect">
                      <a:avLst/>
                    </a:prstGeom>
                    <a:noFill/>
                    <a:ln>
                      <a:noFill/>
                    </a:ln>
                  </pic:spPr>
                </pic:pic>
              </a:graphicData>
            </a:graphic>
          </wp:inline>
        </w:drawing>
      </w:r>
    </w:p>
    <w:p>
      <w:pPr>
        <w:pStyle w:val="27"/>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firstLine="480" w:firstLineChars="200"/>
        <w:jc w:val="lef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4）预测参数选取</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根据现场土壤采样及水文地质调查结果，预测模型参数取值见下表。</w:t>
      </w:r>
    </w:p>
    <w:p>
      <w:pPr>
        <w:pStyle w:val="27"/>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15</w:t>
      </w:r>
      <w:r>
        <w:rPr>
          <w:rFonts w:hint="default" w:ascii="Times New Roman" w:hAnsi="Times New Roman" w:eastAsia="宋体" w:cs="Times New Roman"/>
          <w:b/>
          <w:bCs/>
          <w:color w:val="auto"/>
          <w:sz w:val="21"/>
          <w:szCs w:val="21"/>
          <w:highlight w:val="none"/>
          <w:lang w:val="en-US" w:eastAsia="zh-CN"/>
        </w:rPr>
        <w:t>预测模型参数一览表</w:t>
      </w:r>
    </w:p>
    <w:tbl>
      <w:tblPr>
        <w:tblStyle w:val="46"/>
        <w:tblW w:w="928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26"/>
        <w:gridCol w:w="1327"/>
        <w:gridCol w:w="1327"/>
        <w:gridCol w:w="1327"/>
        <w:gridCol w:w="1327"/>
        <w:gridCol w:w="1327"/>
        <w:gridCol w:w="132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7" w:hRule="atLeast"/>
        </w:trPr>
        <w:tc>
          <w:tcPr>
            <w:tcW w:w="1326"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土壤质地</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厚度（m）</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渗透系数（m/d）</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孔隙度</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土壤含水率（%）</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弥散系数（m）</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土壤容重（g/cCm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26"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0"/>
                <w:sz w:val="21"/>
                <w:szCs w:val="21"/>
                <w:highlight w:val="none"/>
                <w:lang w:val="en-US" w:eastAsia="zh-CN"/>
              </w:rPr>
              <w:t>壤质砂土</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6.5</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0.48</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27.5%</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17</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1327" w:type="dxa"/>
            <w:tcBorders>
              <w:tl2br w:val="nil"/>
              <w:tr2bl w:val="nil"/>
            </w:tcBorders>
            <w:vAlign w:val="center"/>
          </w:tcPr>
          <w:p>
            <w:pPr>
              <w:pStyle w:val="1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1.16</w:t>
            </w:r>
          </w:p>
        </w:tc>
      </w:tr>
    </w:tbl>
    <w:p>
      <w:pP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根据工程分析，结合项目特点，本评价选取</w:t>
      </w:r>
      <w:r>
        <w:rPr>
          <w:rFonts w:hint="eastAsia" w:cs="Times New Roman"/>
          <w:color w:val="auto"/>
          <w:highlight w:val="none"/>
          <w:lang w:val="en-US" w:eastAsia="zh-CN"/>
        </w:rPr>
        <w:t>排岩场</w:t>
      </w:r>
      <w:r>
        <w:rPr>
          <w:rFonts w:hint="default" w:ascii="Times New Roman" w:hAnsi="Times New Roman" w:eastAsia="宋体" w:cs="Times New Roman"/>
          <w:color w:val="auto"/>
          <w:highlight w:val="none"/>
          <w:lang w:val="en-US" w:eastAsia="zh-CN"/>
        </w:rPr>
        <w:t>底部泄漏对</w:t>
      </w:r>
      <w:r>
        <w:rPr>
          <w:rFonts w:hint="eastAsia" w:ascii="Times New Roman" w:hAnsi="Times New Roman" w:eastAsia="宋体" w:cs="Times New Roman"/>
          <w:color w:val="auto"/>
          <w:highlight w:val="none"/>
          <w:lang w:val="en-US" w:eastAsia="zh-CN"/>
        </w:rPr>
        <w:t>土壤</w:t>
      </w:r>
      <w:r>
        <w:rPr>
          <w:rFonts w:hint="default" w:ascii="Times New Roman" w:hAnsi="Times New Roman" w:eastAsia="宋体" w:cs="Times New Roman"/>
          <w:color w:val="auto"/>
          <w:highlight w:val="none"/>
          <w:lang w:val="en-US" w:eastAsia="zh-CN"/>
        </w:rPr>
        <w:t>的影响。</w:t>
      </w:r>
    </w:p>
    <w:p>
      <w:pPr>
        <w:pStyle w:val="27"/>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.2-</w:t>
      </w:r>
      <w:r>
        <w:rPr>
          <w:rFonts w:hint="eastAsia" w:ascii="Times New Roman" w:hAnsi="Times New Roman" w:cs="Times New Roman"/>
          <w:b/>
          <w:bCs/>
          <w:color w:val="auto"/>
          <w:sz w:val="21"/>
          <w:szCs w:val="21"/>
          <w:highlight w:val="none"/>
          <w:lang w:val="en-US" w:eastAsia="zh-CN"/>
        </w:rPr>
        <w:t>16</w:t>
      </w:r>
      <w:r>
        <w:rPr>
          <w:rFonts w:hint="default" w:ascii="Times New Roman" w:hAnsi="Times New Roman" w:eastAsia="宋体" w:cs="Times New Roman"/>
          <w:b/>
          <w:bCs/>
          <w:color w:val="auto"/>
          <w:sz w:val="21"/>
          <w:szCs w:val="21"/>
          <w:highlight w:val="none"/>
          <w:lang w:val="en-US" w:eastAsia="zh-CN"/>
        </w:rPr>
        <w:t>土壤预测源强表</w:t>
      </w:r>
    </w:p>
    <w:tbl>
      <w:tblPr>
        <w:tblStyle w:val="46"/>
        <w:tblW w:w="928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22"/>
        <w:gridCol w:w="2322"/>
        <w:gridCol w:w="2322"/>
        <w:gridCol w:w="232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 w:hRule="atLeast"/>
        </w:trPr>
        <w:tc>
          <w:tcPr>
            <w:tcW w:w="2322" w:type="dxa"/>
            <w:tcBorders>
              <w:tl2br w:val="nil"/>
              <w:tr2bl w:val="nil"/>
            </w:tcBorders>
            <w:vAlign w:val="top"/>
          </w:tcPr>
          <w:p>
            <w:pPr>
              <w:pStyle w:val="14"/>
              <w:keepNext w:val="0"/>
              <w:keepLines w:val="0"/>
              <w:pageBreakBefore w:val="0"/>
              <w:widowControl w:val="0"/>
              <w:kinsoku/>
              <w:wordWrap/>
              <w:overflowPunct/>
              <w:topLinePunct w:val="0"/>
              <w:autoSpaceDE/>
              <w:autoSpaceDN/>
              <w:bidi w:val="0"/>
              <w:adjustRightInd w:val="0"/>
              <w:snapToGrid w:val="0"/>
              <w:spacing w:line="240" w:lineRule="atLeas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渗漏点</w:t>
            </w:r>
          </w:p>
        </w:tc>
        <w:tc>
          <w:tcPr>
            <w:tcW w:w="2322" w:type="dxa"/>
            <w:tcBorders>
              <w:tl2br w:val="nil"/>
              <w:tr2bl w:val="nil"/>
            </w:tcBorders>
            <w:vAlign w:val="top"/>
          </w:tcPr>
          <w:p>
            <w:pPr>
              <w:pStyle w:val="14"/>
              <w:keepNext w:val="0"/>
              <w:keepLines w:val="0"/>
              <w:pageBreakBefore w:val="0"/>
              <w:widowControl w:val="0"/>
              <w:kinsoku/>
              <w:wordWrap/>
              <w:overflowPunct/>
              <w:topLinePunct w:val="0"/>
              <w:autoSpaceDE/>
              <w:autoSpaceDN/>
              <w:bidi w:val="0"/>
              <w:adjustRightInd w:val="0"/>
              <w:snapToGrid w:val="0"/>
              <w:spacing w:line="240" w:lineRule="atLeas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污染物</w:t>
            </w:r>
          </w:p>
        </w:tc>
        <w:tc>
          <w:tcPr>
            <w:tcW w:w="2322" w:type="dxa"/>
            <w:tcBorders>
              <w:tl2br w:val="nil"/>
              <w:tr2bl w:val="nil"/>
            </w:tcBorders>
            <w:vAlign w:val="top"/>
          </w:tcPr>
          <w:p>
            <w:pPr>
              <w:pStyle w:val="14"/>
              <w:keepNext w:val="0"/>
              <w:keepLines w:val="0"/>
              <w:pageBreakBefore w:val="0"/>
              <w:widowControl w:val="0"/>
              <w:kinsoku/>
              <w:wordWrap/>
              <w:overflowPunct/>
              <w:topLinePunct w:val="0"/>
              <w:autoSpaceDE/>
              <w:autoSpaceDN/>
              <w:bidi w:val="0"/>
              <w:adjustRightInd w:val="0"/>
              <w:snapToGrid w:val="0"/>
              <w:spacing w:line="240" w:lineRule="atLeas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浓度mg/L</w:t>
            </w:r>
          </w:p>
        </w:tc>
        <w:tc>
          <w:tcPr>
            <w:tcW w:w="2322" w:type="dxa"/>
            <w:tcBorders>
              <w:tl2br w:val="nil"/>
              <w:tr2bl w:val="nil"/>
            </w:tcBorders>
            <w:vAlign w:val="top"/>
          </w:tcPr>
          <w:p>
            <w:pPr>
              <w:pStyle w:val="14"/>
              <w:keepNext w:val="0"/>
              <w:keepLines w:val="0"/>
              <w:pageBreakBefore w:val="0"/>
              <w:widowControl w:val="0"/>
              <w:kinsoku/>
              <w:wordWrap/>
              <w:overflowPunct/>
              <w:topLinePunct w:val="0"/>
              <w:autoSpaceDE/>
              <w:autoSpaceDN/>
              <w:bidi w:val="0"/>
              <w:adjustRightInd w:val="0"/>
              <w:snapToGrid w:val="0"/>
              <w:spacing w:line="240" w:lineRule="atLeas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渗漏特征</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 w:hRule="atLeast"/>
        </w:trPr>
        <w:tc>
          <w:tcPr>
            <w:tcW w:w="2322" w:type="dxa"/>
            <w:tcBorders>
              <w:tl2br w:val="nil"/>
              <w:tr2bl w:val="nil"/>
            </w:tcBorders>
            <w:vAlign w:val="top"/>
          </w:tcPr>
          <w:p>
            <w:pPr>
              <w:pStyle w:val="14"/>
              <w:keepNext w:val="0"/>
              <w:keepLines w:val="0"/>
              <w:pageBreakBefore w:val="0"/>
              <w:widowControl w:val="0"/>
              <w:kinsoku/>
              <w:wordWrap/>
              <w:overflowPunct/>
              <w:topLinePunct w:val="0"/>
              <w:autoSpaceDE/>
              <w:autoSpaceDN/>
              <w:bidi w:val="0"/>
              <w:adjustRightInd w:val="0"/>
              <w:snapToGrid w:val="0"/>
              <w:spacing w:line="240" w:lineRule="atLeast"/>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排岩场</w:t>
            </w:r>
          </w:p>
        </w:tc>
        <w:tc>
          <w:tcPr>
            <w:tcW w:w="2322" w:type="dxa"/>
            <w:tcBorders>
              <w:tl2br w:val="nil"/>
              <w:tr2bl w:val="nil"/>
            </w:tcBorders>
            <w:vAlign w:val="top"/>
          </w:tcPr>
          <w:p>
            <w:pPr>
              <w:pStyle w:val="14"/>
              <w:keepNext w:val="0"/>
              <w:keepLines w:val="0"/>
              <w:pageBreakBefore w:val="0"/>
              <w:widowControl w:val="0"/>
              <w:kinsoku/>
              <w:wordWrap/>
              <w:overflowPunct/>
              <w:topLinePunct w:val="0"/>
              <w:autoSpaceDE/>
              <w:autoSpaceDN/>
              <w:bidi w:val="0"/>
              <w:adjustRightInd w:val="0"/>
              <w:snapToGrid w:val="0"/>
              <w:spacing w:line="240" w:lineRule="atLeast"/>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锰</w:t>
            </w:r>
          </w:p>
        </w:tc>
        <w:tc>
          <w:tcPr>
            <w:tcW w:w="2322" w:type="dxa"/>
            <w:tcBorders>
              <w:tl2br w:val="nil"/>
              <w:tr2bl w:val="nil"/>
            </w:tcBorders>
            <w:vAlign w:val="top"/>
          </w:tcPr>
          <w:p>
            <w:pPr>
              <w:pStyle w:val="14"/>
              <w:keepNext w:val="0"/>
              <w:keepLines w:val="0"/>
              <w:pageBreakBefore w:val="0"/>
              <w:widowControl w:val="0"/>
              <w:kinsoku/>
              <w:wordWrap/>
              <w:overflowPunct/>
              <w:topLinePunct w:val="0"/>
              <w:autoSpaceDE/>
              <w:autoSpaceDN/>
              <w:bidi w:val="0"/>
              <w:adjustRightInd w:val="0"/>
              <w:snapToGrid w:val="0"/>
              <w:spacing w:line="240" w:lineRule="atLeast"/>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w:t>
            </w:r>
            <w:r>
              <w:rPr>
                <w:rFonts w:hint="eastAsia" w:cs="Times New Roman"/>
                <w:color w:val="auto"/>
                <w:highlight w:val="none"/>
                <w:lang w:val="en-US" w:eastAsia="zh-CN"/>
              </w:rPr>
              <w:t>1</w:t>
            </w:r>
          </w:p>
        </w:tc>
        <w:tc>
          <w:tcPr>
            <w:tcW w:w="2322" w:type="dxa"/>
            <w:tcBorders>
              <w:tl2br w:val="nil"/>
              <w:tr2bl w:val="nil"/>
            </w:tcBorders>
            <w:vAlign w:val="top"/>
          </w:tcPr>
          <w:p>
            <w:pPr>
              <w:pStyle w:val="14"/>
              <w:keepNext w:val="0"/>
              <w:keepLines w:val="0"/>
              <w:pageBreakBefore w:val="0"/>
              <w:widowControl w:val="0"/>
              <w:kinsoku/>
              <w:wordWrap/>
              <w:overflowPunct/>
              <w:topLinePunct w:val="0"/>
              <w:autoSpaceDE/>
              <w:autoSpaceDN/>
              <w:bidi w:val="0"/>
              <w:adjustRightInd w:val="0"/>
              <w:snapToGrid w:val="0"/>
              <w:spacing w:line="240" w:lineRule="atLeast"/>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连续</w:t>
            </w:r>
          </w:p>
        </w:tc>
      </w:tr>
    </w:tbl>
    <w:p>
      <w:pPr>
        <w:numPr>
          <w:ilvl w:val="0"/>
          <w:numId w:val="0"/>
        </w:numPr>
        <w:bidi w:val="0"/>
        <w:ind w:left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5）预测结果</w:t>
      </w:r>
    </w:p>
    <w:p>
      <w:pPr>
        <w:numPr>
          <w:ilvl w:val="0"/>
          <w:numId w:val="0"/>
        </w:numPr>
        <w:bidi w:val="0"/>
        <w:ind w:firstLine="480" w:firstLineChars="200"/>
        <w:rPr>
          <w:rFonts w:hint="default" w:ascii="Times New Roman" w:hAnsi="Times New Roman" w:eastAsia="宋体" w:cs="Times New Roman"/>
          <w:color w:val="auto"/>
          <w:highlight w:val="none"/>
          <w:lang w:val="en-US" w:eastAsia="zh-CN"/>
        </w:rPr>
      </w:pPr>
      <w:r>
        <w:rPr>
          <w:rFonts w:hint="eastAsia" w:ascii="宋体" w:hAnsi="宋体" w:eastAsia="宋体"/>
          <w:color w:val="auto"/>
          <w:sz w:val="24"/>
          <w:szCs w:val="24"/>
          <w:highlight w:val="none"/>
        </w:rPr>
        <w:t>根据模拟预测结果，主要影响第四系包气带在</w:t>
      </w:r>
      <w:r>
        <w:rPr>
          <w:rFonts w:hint="eastAsia" w:ascii="TimesNewRomanPSMT" w:hAnsi="TimesNewRomanPSMT" w:eastAsia="宋体"/>
          <w:color w:val="auto"/>
          <w:sz w:val="24"/>
          <w:szCs w:val="24"/>
          <w:highlight w:val="none"/>
          <w:lang w:val="en-US" w:eastAsia="zh-CN"/>
        </w:rPr>
        <w:t>5</w:t>
      </w:r>
      <w:r>
        <w:rPr>
          <w:rFonts w:hint="eastAsia" w:ascii="TimesNewRomanPSMT" w:hAnsi="TimesNewRomanPSMT" w:eastAsia="TimesNewRomanPSMT"/>
          <w:color w:val="auto"/>
          <w:sz w:val="24"/>
          <w:szCs w:val="24"/>
          <w:highlight w:val="none"/>
        </w:rPr>
        <w:t>.0m</w:t>
      </w:r>
      <w:r>
        <w:rPr>
          <w:rFonts w:hint="eastAsia" w:ascii="宋体" w:hAnsi="宋体" w:eastAsia="宋体"/>
          <w:color w:val="auto"/>
          <w:sz w:val="24"/>
          <w:szCs w:val="24"/>
          <w:highlight w:val="none"/>
        </w:rPr>
        <w:t>范围内，下渗污染物</w:t>
      </w:r>
      <w:r>
        <w:rPr>
          <w:rFonts w:hint="eastAsia" w:ascii="宋体" w:hAnsi="宋体"/>
          <w:color w:val="auto"/>
          <w:sz w:val="24"/>
          <w:szCs w:val="24"/>
          <w:highlight w:val="none"/>
          <w:lang w:val="en-US" w:eastAsia="zh-CN"/>
        </w:rPr>
        <w:t>锰</w:t>
      </w:r>
      <w:r>
        <w:rPr>
          <w:rFonts w:hint="eastAsia" w:ascii="宋体" w:hAnsi="宋体" w:eastAsia="宋体"/>
          <w:color w:val="auto"/>
          <w:sz w:val="24"/>
          <w:szCs w:val="24"/>
          <w:highlight w:val="none"/>
        </w:rPr>
        <w:t>浓度在</w:t>
      </w:r>
      <w:r>
        <w:rPr>
          <w:rFonts w:hint="eastAsia" w:ascii="TimesNewRomanPSMT" w:hAnsi="TimesNewRomanPSMT" w:eastAsia="TimesNewRomanPSMT"/>
          <w:color w:val="auto"/>
          <w:sz w:val="24"/>
          <w:szCs w:val="24"/>
          <w:highlight w:val="none"/>
        </w:rPr>
        <w:t>30</w:t>
      </w:r>
      <w:r>
        <w:rPr>
          <w:rFonts w:hint="eastAsia" w:ascii="宋体" w:hAnsi="宋体" w:eastAsia="宋体"/>
          <w:color w:val="auto"/>
          <w:sz w:val="24"/>
          <w:szCs w:val="24"/>
          <w:highlight w:val="none"/>
        </w:rPr>
        <w:t>天后</w:t>
      </w:r>
      <w:r>
        <w:rPr>
          <w:rFonts w:hint="eastAsia" w:ascii="TimesNewRomanPSMT" w:hAnsi="TimesNewRomanPSMT" w:eastAsia="TimesNewRomanPSMT"/>
          <w:color w:val="auto"/>
          <w:sz w:val="24"/>
          <w:szCs w:val="24"/>
          <w:highlight w:val="none"/>
        </w:rPr>
        <w:t>0.2m</w:t>
      </w:r>
      <w:r>
        <w:rPr>
          <w:rFonts w:hint="eastAsia" w:ascii="宋体" w:hAnsi="宋体" w:eastAsia="宋体"/>
          <w:color w:val="auto"/>
          <w:sz w:val="24"/>
          <w:szCs w:val="24"/>
          <w:highlight w:val="none"/>
        </w:rPr>
        <w:t>表层处预测点浓度达到最大值</w:t>
      </w:r>
      <w:r>
        <w:rPr>
          <w:rFonts w:hint="eastAsia" w:ascii="TimesNewRomanPSMT" w:hAnsi="TimesNewRomanPSMT" w:eastAsia="TimesNewRomanPSMT"/>
          <w:color w:val="auto"/>
          <w:sz w:val="24"/>
          <w:szCs w:val="24"/>
          <w:highlight w:val="none"/>
        </w:rPr>
        <w:t>0.</w:t>
      </w:r>
      <w:r>
        <w:rPr>
          <w:rFonts w:hint="eastAsia" w:ascii="TimesNewRomanPSMT" w:hAnsi="TimesNewRomanPSMT" w:eastAsia="宋体"/>
          <w:color w:val="auto"/>
          <w:sz w:val="24"/>
          <w:szCs w:val="24"/>
          <w:highlight w:val="none"/>
          <w:lang w:val="en-US" w:eastAsia="zh-CN"/>
        </w:rPr>
        <w:t>08</w:t>
      </w:r>
      <w:r>
        <w:rPr>
          <w:rFonts w:hint="eastAsia" w:ascii="TimesNewRomanPSMT" w:hAnsi="TimesNewRomanPSMT" w:eastAsia="TimesNewRomanPSMT"/>
          <w:color w:val="auto"/>
          <w:sz w:val="24"/>
          <w:szCs w:val="24"/>
          <w:highlight w:val="none"/>
        </w:rPr>
        <w:t>mg/L</w:t>
      </w:r>
      <w:r>
        <w:rPr>
          <w:rFonts w:hint="eastAsia" w:ascii="宋体" w:hAnsi="宋体" w:eastAsia="宋体"/>
          <w:color w:val="auto"/>
          <w:sz w:val="24"/>
          <w:szCs w:val="24"/>
          <w:highlight w:val="none"/>
        </w:rPr>
        <w:t>，随后逐渐减少，在下层</w:t>
      </w:r>
      <w:r>
        <w:rPr>
          <w:rFonts w:hint="eastAsia" w:ascii="TimesNewRomanPSMT" w:hAnsi="TimesNewRomanPSMT" w:eastAsia="TimesNewRomanPSMT"/>
          <w:color w:val="auto"/>
          <w:sz w:val="24"/>
          <w:szCs w:val="24"/>
          <w:highlight w:val="none"/>
        </w:rPr>
        <w:t>2.0m</w:t>
      </w:r>
      <w:r>
        <w:rPr>
          <w:rFonts w:hint="eastAsia" w:ascii="宋体" w:hAnsi="宋体" w:eastAsia="宋体"/>
          <w:color w:val="auto"/>
          <w:sz w:val="24"/>
          <w:szCs w:val="24"/>
          <w:highlight w:val="none"/>
        </w:rPr>
        <w:t>处最大影响浓度为</w:t>
      </w:r>
      <w:r>
        <w:rPr>
          <w:rFonts w:hint="eastAsia" w:ascii="TimesNewRomanPSMT" w:hAnsi="TimesNewRomanPSMT" w:eastAsia="TimesNewRomanPSMT"/>
          <w:color w:val="auto"/>
          <w:sz w:val="24"/>
          <w:szCs w:val="24"/>
          <w:highlight w:val="none"/>
        </w:rPr>
        <w:t>0.00</w:t>
      </w:r>
      <w:r>
        <w:rPr>
          <w:rFonts w:hint="eastAsia" w:ascii="TimesNewRomanPSMT" w:hAnsi="TimesNewRomanPSMT" w:eastAsia="宋体"/>
          <w:color w:val="auto"/>
          <w:sz w:val="24"/>
          <w:szCs w:val="24"/>
          <w:highlight w:val="none"/>
          <w:lang w:val="en-US" w:eastAsia="zh-CN"/>
        </w:rPr>
        <w:t>9</w:t>
      </w:r>
      <w:r>
        <w:rPr>
          <w:rFonts w:hint="eastAsia" w:ascii="TimesNewRomanPSMT" w:hAnsi="TimesNewRomanPSMT" w:eastAsia="TimesNewRomanPSMT"/>
          <w:color w:val="auto"/>
          <w:sz w:val="24"/>
          <w:szCs w:val="24"/>
          <w:highlight w:val="none"/>
        </w:rPr>
        <w:t>mg/L</w:t>
      </w:r>
      <w:r>
        <w:rPr>
          <w:rFonts w:hint="eastAsia" w:ascii="宋体" w:hAnsi="宋体" w:eastAsia="宋体"/>
          <w:color w:val="auto"/>
          <w:sz w:val="24"/>
          <w:szCs w:val="24"/>
          <w:highlight w:val="none"/>
        </w:rPr>
        <w:t>。在</w:t>
      </w:r>
      <w:r>
        <w:rPr>
          <w:rFonts w:hint="eastAsia" w:ascii="TimesNewRomanPSMT" w:hAnsi="TimesNewRomanPSMT" w:eastAsia="TimesNewRomanPSMT"/>
          <w:color w:val="auto"/>
          <w:sz w:val="24"/>
          <w:szCs w:val="24"/>
          <w:highlight w:val="none"/>
        </w:rPr>
        <w:t>2.0m</w:t>
      </w:r>
      <w:r>
        <w:rPr>
          <w:rFonts w:hint="eastAsia" w:ascii="宋体" w:hAnsi="宋体" w:eastAsia="宋体"/>
          <w:color w:val="auto"/>
          <w:sz w:val="24"/>
          <w:szCs w:val="24"/>
          <w:highlight w:val="none"/>
        </w:rPr>
        <w:t>以下地下水含水层受到影响较小，达到含水层中污染物较少，对地下水含水层造成影响较小。</w:t>
      </w:r>
      <w:r>
        <w:rPr>
          <w:rFonts w:hint="default" w:ascii="Times New Roman" w:hAnsi="Times New Roman" w:eastAsia="宋体" w:cs="Times New Roman"/>
          <w:color w:val="auto"/>
          <w:highlight w:val="none"/>
          <w:lang w:val="en-US" w:eastAsia="zh-CN"/>
        </w:rPr>
        <w:t>根据包气带调查，泄露对土壤环境会有影响较小，下渗至含水层影响地下水环境可能性较小，并且污染物在土壤中会受到微生物的分解，在污染影响一段时间后对周边土壤环境影响逐渐减小。</w:t>
      </w:r>
    </w:p>
    <w:p>
      <w:pPr>
        <w:bidi w:val="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lang w:val="zh-CN"/>
        </w:rPr>
        <w:t>本项目按照《环境影响评价技术导则地下水》（HJ610-2016）中的要求，根据场地特性和项目特征，制定分区防渗。对于</w:t>
      </w:r>
      <w:r>
        <w:rPr>
          <w:rFonts w:hint="default" w:ascii="Times New Roman" w:hAnsi="Times New Roman" w:eastAsia="宋体" w:cs="Times New Roman"/>
          <w:color w:val="auto"/>
          <w:highlight w:val="none"/>
          <w:lang w:val="en-US" w:eastAsia="zh-CN"/>
        </w:rPr>
        <w:t>危废暂存间</w:t>
      </w:r>
      <w:r>
        <w:rPr>
          <w:rFonts w:hint="default" w:ascii="Times New Roman" w:hAnsi="Times New Roman" w:eastAsia="宋体" w:cs="Times New Roman"/>
          <w:color w:val="auto"/>
          <w:highlight w:val="none"/>
          <w:lang w:val="zh-CN"/>
        </w:rPr>
        <w:t>采取重点防渗，</w:t>
      </w:r>
      <w:r>
        <w:rPr>
          <w:rFonts w:hint="default" w:ascii="Times New Roman" w:hAnsi="Times New Roman" w:eastAsia="宋体" w:cs="Times New Roman"/>
          <w:color w:val="auto"/>
          <w:highlight w:val="none"/>
          <w:lang w:val="en-US" w:eastAsia="zh-CN"/>
        </w:rPr>
        <w:t>废石临时堆场</w:t>
      </w:r>
      <w:r>
        <w:rPr>
          <w:rFonts w:hint="default" w:ascii="Times New Roman" w:hAnsi="Times New Roman" w:eastAsia="宋体" w:cs="Times New Roman"/>
          <w:color w:val="auto"/>
          <w:highlight w:val="none"/>
          <w:lang w:val="zh-CN"/>
        </w:rPr>
        <w:t>采取一般防渗，其他区域按建筑要求做地面处理。防渗材料应与物料或污染物相兼容，其渗透系数</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szCs w:val="28"/>
          <w:highlight w:val="none"/>
        </w:rPr>
        <w:t>1.2×10</w:t>
      </w:r>
      <w:r>
        <w:rPr>
          <w:rFonts w:hint="default" w:ascii="Times New Roman" w:hAnsi="Times New Roman" w:eastAsia="宋体" w:cs="Times New Roman"/>
          <w:color w:val="auto"/>
          <w:szCs w:val="28"/>
          <w:highlight w:val="none"/>
          <w:vertAlign w:val="superscript"/>
        </w:rPr>
        <w:t>-6</w:t>
      </w:r>
      <w:r>
        <w:rPr>
          <w:rFonts w:hint="default" w:ascii="Times New Roman" w:hAnsi="Times New Roman" w:eastAsia="宋体" w:cs="Times New Roman"/>
          <w:color w:val="auto"/>
          <w:szCs w:val="28"/>
          <w:highlight w:val="none"/>
          <w:vertAlign w:val="baseline"/>
          <w:lang w:eastAsia="zh-CN"/>
        </w:rPr>
        <w:t>，</w:t>
      </w:r>
      <w:r>
        <w:rPr>
          <w:rFonts w:hint="default" w:ascii="Times New Roman" w:hAnsi="Times New Roman" w:eastAsia="宋体" w:cs="Times New Roman"/>
          <w:color w:val="auto"/>
          <w:highlight w:val="none"/>
          <w:lang w:val="en-US" w:eastAsia="zh-CN"/>
        </w:rPr>
        <w:t>大于</w:t>
      </w:r>
      <w:r>
        <w:rPr>
          <w:rFonts w:hint="default" w:ascii="Times New Roman" w:hAnsi="Times New Roman" w:eastAsia="宋体" w:cs="Times New Roman"/>
          <w:color w:val="auto"/>
          <w:highlight w:val="none"/>
          <w:lang w:val="zh-CN"/>
        </w:rPr>
        <w:t>1.0×10</w:t>
      </w:r>
      <w:r>
        <w:rPr>
          <w:rFonts w:hint="default" w:ascii="Times New Roman" w:hAnsi="Times New Roman" w:eastAsia="宋体" w:cs="Times New Roman"/>
          <w:color w:val="auto"/>
          <w:highlight w:val="none"/>
          <w:vertAlign w:val="superscript"/>
          <w:lang w:val="zh-CN"/>
        </w:rPr>
        <w:t>-7</w:t>
      </w:r>
      <w:r>
        <w:rPr>
          <w:rFonts w:hint="default" w:ascii="Times New Roman" w:hAnsi="Times New Roman" w:eastAsia="宋体" w:cs="Times New Roman"/>
          <w:color w:val="auto"/>
          <w:highlight w:val="none"/>
          <w:lang w:val="zh-CN"/>
        </w:rPr>
        <w:t>cm/s，</w:t>
      </w:r>
      <w:r>
        <w:rPr>
          <w:rFonts w:hint="eastAsia" w:cs="Times New Roman"/>
          <w:color w:val="auto"/>
          <w:highlight w:val="none"/>
          <w:lang w:val="en-US" w:eastAsia="zh-CN"/>
        </w:rPr>
        <w:t>排岩场</w:t>
      </w:r>
      <w:r>
        <w:rPr>
          <w:rFonts w:hint="default" w:ascii="Times New Roman" w:hAnsi="Times New Roman" w:eastAsia="宋体" w:cs="Times New Roman"/>
          <w:color w:val="auto"/>
          <w:highlight w:val="none"/>
        </w:rPr>
        <w:t>不具备自然防渗条件，需要进行人工防渗处理，本项目选用HDPE防渗膜人工复合防渗措施。防渗系统由基础层、防渗层和导流层构成，满足《一般工业固体废物贮存、处置场污染控制标准》（GB18599—2001）标准要求。</w:t>
      </w:r>
    </w:p>
    <w:p>
      <w:pPr>
        <w:bidi w:val="0"/>
        <w:rPr>
          <w:rFonts w:hint="default"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en-US" w:eastAsia="zh-CN"/>
        </w:rPr>
        <w:t>综上所述，</w:t>
      </w:r>
      <w:r>
        <w:rPr>
          <w:rFonts w:hint="default" w:ascii="Times New Roman" w:hAnsi="Times New Roman" w:eastAsia="宋体" w:cs="Times New Roman"/>
          <w:color w:val="auto"/>
          <w:highlight w:val="none"/>
          <w:lang w:val="en-US" w:eastAsia="zh-CN"/>
        </w:rPr>
        <w:t>项目厂区</w:t>
      </w:r>
      <w:r>
        <w:rPr>
          <w:rFonts w:hint="default" w:ascii="Times New Roman" w:hAnsi="Times New Roman" w:eastAsia="宋体" w:cs="Times New Roman"/>
          <w:color w:val="auto"/>
          <w:highlight w:val="none"/>
          <w:lang w:val="zh-CN"/>
        </w:rPr>
        <w:t>在全面落实分区防渗措施的情况下，污染物的垂直入渗对土壤影响较小。</w:t>
      </w:r>
    </w:p>
    <w:p>
      <w:pPr>
        <w:pStyle w:val="6"/>
        <w:numPr>
          <w:ilvl w:val="3"/>
          <w:numId w:val="0"/>
        </w:numPr>
        <w:spacing w:before="0" w:after="0" w:line="360" w:lineRule="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6</w:t>
      </w:r>
      <w:r>
        <w:rPr>
          <w:rFonts w:hint="default" w:ascii="Times New Roman" w:hAnsi="Times New Roman" w:eastAsia="宋体" w:cs="Times New Roman"/>
          <w:color w:val="auto"/>
          <w:sz w:val="24"/>
          <w:highlight w:val="none"/>
          <w:lang w:val="en-US" w:eastAsia="zh-CN"/>
        </w:rPr>
        <w:t>.2.7.5小结</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（1）现状监测结果表明，项目矿区内所有土壤监测点位及项目均能达到《土壤环境质量建设用地土壤污染风险管控标准》（GB36600-2018）二类地筛选值标准要求，矿区土壤环境质量状况良好。</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（2）评价范围内的各监测点表明，项目矿区及周边各监测点土壤盐化程度表现为无盐化；酸化或碱化程度表现为无酸化或碱化。</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（3）矿井涌水全部进行综合利用，不外排；固体废物均得到妥善处置，不随意堆放；评价提出</w:t>
      </w:r>
      <w:r>
        <w:rPr>
          <w:rFonts w:hint="default" w:ascii="Times New Roman" w:hAnsi="Times New Roman" w:eastAsia="宋体" w:cs="Times New Roman"/>
          <w:color w:val="auto"/>
          <w:highlight w:val="none"/>
          <w:lang w:val="en-US" w:eastAsia="zh-CN"/>
        </w:rPr>
        <w:t>废石临时堆场</w:t>
      </w:r>
      <w:r>
        <w:rPr>
          <w:rFonts w:hint="default" w:ascii="Times New Roman" w:hAnsi="Times New Roman" w:eastAsia="宋体" w:cs="Times New Roman"/>
          <w:color w:val="auto"/>
          <w:highlight w:val="none"/>
          <w:lang w:val="zh-CN"/>
        </w:rPr>
        <w:t>采取一般防渗，其他区域按建筑要求做地面处理。</w:t>
      </w:r>
      <w:r>
        <w:rPr>
          <w:rFonts w:hint="default" w:ascii="Times New Roman" w:hAnsi="Times New Roman" w:eastAsia="宋体" w:cs="Times New Roman"/>
          <w:color w:val="auto"/>
          <w:highlight w:val="none"/>
        </w:rPr>
        <w:t>对工业场地内的危险废物暂存间等可能产生污染源区进行防渗处理，可采用天然材料或人工材料构筑防渗层。防渗层厚度应相当于渗透系数1.0×10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cm/s和厚度1.5m的粘土层的防渗性能。</w:t>
      </w:r>
    </w:p>
    <w:p>
      <w:pPr>
        <w:spacing w:line="400" w:lineRule="exact"/>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综上，项目运营对土壤的影响较小。</w:t>
      </w:r>
    </w:p>
    <w:p>
      <w:pPr>
        <w:pStyle w:val="5"/>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爆破振动</w:t>
      </w:r>
      <w:r>
        <w:rPr>
          <w:rFonts w:hint="default" w:ascii="Times New Roman" w:hAnsi="Times New Roman" w:eastAsia="宋体" w:cs="Times New Roman"/>
          <w:color w:val="auto"/>
          <w:highlight w:val="none"/>
          <w:lang w:val="en-US" w:eastAsia="zh-CN"/>
        </w:rPr>
        <w:t>影响分析与评价</w:t>
      </w:r>
    </w:p>
    <w:p>
      <w:pPr>
        <w:pStyle w:val="78"/>
        <w:ind w:firstLine="488"/>
        <w:rPr>
          <w:snapToGrid w:val="0"/>
          <w:color w:val="auto"/>
          <w:highlight w:val="none"/>
        </w:rPr>
      </w:pPr>
      <w:r>
        <w:rPr>
          <w:rFonts w:hint="eastAsia"/>
          <w:snapToGrid w:val="0"/>
          <w:color w:val="auto"/>
          <w:highlight w:val="none"/>
        </w:rPr>
        <w:t>（1）爆破情况</w:t>
      </w:r>
    </w:p>
    <w:p>
      <w:pPr>
        <w:pStyle w:val="78"/>
        <w:ind w:firstLine="488"/>
        <w:rPr>
          <w:snapToGrid w:val="0"/>
          <w:color w:val="auto"/>
          <w:highlight w:val="none"/>
        </w:rPr>
      </w:pPr>
      <w:r>
        <w:rPr>
          <w:snapToGrid w:val="0"/>
          <w:color w:val="auto"/>
          <w:highlight w:val="none"/>
        </w:rPr>
        <w:t>本项目爆破采用微差控制爆破，炸药采用乳化炸药，每次爆破最大一段药量约为</w:t>
      </w:r>
      <w:r>
        <w:rPr>
          <w:rFonts w:hint="eastAsia"/>
          <w:snapToGrid w:val="0"/>
          <w:color w:val="auto"/>
          <w:highlight w:val="none"/>
          <w:lang w:val="en-US" w:eastAsia="zh-CN"/>
        </w:rPr>
        <w:t>1</w:t>
      </w:r>
      <w:r>
        <w:rPr>
          <w:snapToGrid w:val="0"/>
          <w:color w:val="auto"/>
          <w:highlight w:val="none"/>
        </w:rPr>
        <w:t>00kg，年炸药消耗量约为</w:t>
      </w:r>
      <w:r>
        <w:rPr>
          <w:rFonts w:hint="eastAsia"/>
          <w:snapToGrid w:val="0"/>
          <w:color w:val="auto"/>
          <w:highlight w:val="none"/>
          <w:lang w:val="en-US" w:eastAsia="zh-CN"/>
        </w:rPr>
        <w:t>3</w:t>
      </w:r>
      <w:r>
        <w:rPr>
          <w:snapToGrid w:val="0"/>
          <w:color w:val="auto"/>
          <w:highlight w:val="none"/>
        </w:rPr>
        <w:t>t/a。</w:t>
      </w:r>
    </w:p>
    <w:p>
      <w:pPr>
        <w:pStyle w:val="78"/>
        <w:ind w:firstLine="488" w:firstLineChars="0"/>
        <w:rPr>
          <w:snapToGrid w:val="0"/>
          <w:color w:val="auto"/>
          <w:highlight w:val="none"/>
        </w:rPr>
      </w:pPr>
      <w:r>
        <w:rPr>
          <w:rFonts w:hint="eastAsia"/>
          <w:snapToGrid w:val="0"/>
          <w:color w:val="auto"/>
          <w:highlight w:val="none"/>
        </w:rPr>
        <w:t>（2）参数选取</w:t>
      </w:r>
    </w:p>
    <w:p>
      <w:pPr>
        <w:pStyle w:val="78"/>
        <w:ind w:firstLine="488" w:firstLineChars="0"/>
        <w:rPr>
          <w:snapToGrid w:val="0"/>
          <w:color w:val="auto"/>
          <w:highlight w:val="none"/>
        </w:rPr>
      </w:pPr>
      <w:r>
        <w:rPr>
          <w:rFonts w:hint="eastAsia"/>
          <w:snapToGrid w:val="0"/>
          <w:color w:val="auto"/>
          <w:highlight w:val="none"/>
        </w:rPr>
        <w:t>爆破振动安全标准引用《爆破安全规程》（GB6722-2014），爆破保护对象主要为附近村庄，具体见表</w:t>
      </w:r>
      <w:r>
        <w:rPr>
          <w:rFonts w:hint="eastAsia"/>
          <w:snapToGrid w:val="0"/>
          <w:color w:val="auto"/>
          <w:highlight w:val="none"/>
          <w:lang w:val="en-US" w:eastAsia="zh-CN"/>
        </w:rPr>
        <w:t>6.2-17</w:t>
      </w:r>
      <w:r>
        <w:rPr>
          <w:rFonts w:hint="eastAsia"/>
          <w:snapToGrid w:val="0"/>
          <w:color w:val="auto"/>
          <w:highlight w:val="none"/>
        </w:rPr>
        <w:t>。</w:t>
      </w:r>
    </w:p>
    <w:p>
      <w:pPr>
        <w:pStyle w:val="14"/>
        <w:spacing w:line="240" w:lineRule="auto"/>
        <w:ind w:firstLine="422"/>
        <w:jc w:val="center"/>
        <w:rPr>
          <w:b/>
          <w:color w:val="auto"/>
          <w:sz w:val="21"/>
          <w:szCs w:val="21"/>
          <w:highlight w:val="none"/>
        </w:rPr>
      </w:pPr>
      <w:r>
        <w:rPr>
          <w:rFonts w:hint="eastAsia"/>
          <w:b/>
          <w:color w:val="auto"/>
          <w:sz w:val="21"/>
          <w:szCs w:val="21"/>
          <w:highlight w:val="none"/>
        </w:rPr>
        <w:t>表</w:t>
      </w:r>
      <w:r>
        <w:rPr>
          <w:rFonts w:hint="eastAsia"/>
          <w:b/>
          <w:color w:val="auto"/>
          <w:sz w:val="21"/>
          <w:szCs w:val="21"/>
          <w:highlight w:val="none"/>
          <w:lang w:val="en-US" w:eastAsia="zh-CN"/>
        </w:rPr>
        <w:t>6.2-17</w:t>
      </w:r>
      <w:r>
        <w:rPr>
          <w:rFonts w:hint="eastAsia"/>
          <w:b/>
          <w:color w:val="auto"/>
          <w:sz w:val="21"/>
          <w:szCs w:val="21"/>
          <w:highlight w:val="none"/>
        </w:rPr>
        <w:t xml:space="preserve"> 爆破振动安全允许标准</w:t>
      </w:r>
    </w:p>
    <w:tbl>
      <w:tblPr>
        <w:tblStyle w:val="46"/>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2"/>
        <w:gridCol w:w="4025"/>
        <w:gridCol w:w="1506"/>
        <w:gridCol w:w="1374"/>
        <w:gridCol w:w="149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Merge w:val="restart"/>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序号</w:t>
            </w:r>
          </w:p>
        </w:tc>
        <w:tc>
          <w:tcPr>
            <w:tcW w:w="4025" w:type="dxa"/>
            <w:vMerge w:val="restart"/>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保护对象类别</w:t>
            </w:r>
          </w:p>
        </w:tc>
        <w:tc>
          <w:tcPr>
            <w:tcW w:w="4370" w:type="dxa"/>
            <w:gridSpan w:val="3"/>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安全允许振速（cm/s）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Merge w:val="continue"/>
            <w:vAlign w:val="center"/>
          </w:tcPr>
          <w:p>
            <w:pPr>
              <w:pStyle w:val="78"/>
              <w:spacing w:line="240" w:lineRule="auto"/>
              <w:ind w:firstLine="0" w:firstLineChars="0"/>
              <w:jc w:val="center"/>
              <w:rPr>
                <w:snapToGrid w:val="0"/>
                <w:color w:val="auto"/>
                <w:sz w:val="21"/>
                <w:highlight w:val="none"/>
              </w:rPr>
            </w:pPr>
          </w:p>
        </w:tc>
        <w:tc>
          <w:tcPr>
            <w:tcW w:w="4025" w:type="dxa"/>
            <w:vMerge w:val="continue"/>
            <w:vAlign w:val="center"/>
          </w:tcPr>
          <w:p>
            <w:pPr>
              <w:pStyle w:val="78"/>
              <w:spacing w:line="240" w:lineRule="auto"/>
              <w:ind w:firstLine="0" w:firstLineChars="0"/>
              <w:jc w:val="center"/>
              <w:rPr>
                <w:snapToGrid w:val="0"/>
                <w:color w:val="auto"/>
                <w:sz w:val="21"/>
                <w:highlight w:val="none"/>
              </w:rPr>
            </w:pP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&lt;10Hz</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10Hz~50Hz</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50Hz~100Hz</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土窑洞、土坯房、毛石房屋</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0.15~0.45</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0.45~0.9</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0.9~1.5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2</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一般民用建筑物</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1.5~2.0</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2.0~2.5</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2.5~3.0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3</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工业和商业建筑物</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2.5~3.6</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3.6~4.5</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4.25.0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4</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一般古建筑与古迹</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0.1~0.2</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0.2~0.3</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0.3~0.5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5</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运行中的水电站及发电厂中心控制室</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0.5~0.6</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0.6~0.7</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0.7~0.9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6</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水隧道</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7~8</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8~10</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7</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交通隧道</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10~12</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12~15</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15~20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8</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矿山巷道</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15~18</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18~25</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2030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9</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永久性岩石高边坡</w:t>
            </w:r>
          </w:p>
        </w:tc>
        <w:tc>
          <w:tcPr>
            <w:tcW w:w="1506"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5~9</w:t>
            </w:r>
          </w:p>
        </w:tc>
        <w:tc>
          <w:tcPr>
            <w:tcW w:w="1374"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8~12</w:t>
            </w:r>
          </w:p>
        </w:tc>
        <w:tc>
          <w:tcPr>
            <w:tcW w:w="1490"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10~15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92" w:type="dxa"/>
            <w:vAlign w:val="center"/>
          </w:tcPr>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10</w:t>
            </w:r>
          </w:p>
        </w:tc>
        <w:tc>
          <w:tcPr>
            <w:tcW w:w="4025" w:type="dxa"/>
            <w:vAlign w:val="center"/>
          </w:tcPr>
          <w:p>
            <w:pPr>
              <w:pStyle w:val="78"/>
              <w:spacing w:line="240" w:lineRule="auto"/>
              <w:ind w:firstLine="0" w:firstLineChars="0"/>
              <w:jc w:val="center"/>
              <w:rPr>
                <w:snapToGrid w:val="0"/>
                <w:color w:val="auto"/>
                <w:sz w:val="21"/>
                <w:highlight w:val="none"/>
              </w:rPr>
            </w:pPr>
            <w:r>
              <w:rPr>
                <w:snapToGrid w:val="0"/>
                <w:color w:val="auto"/>
                <w:sz w:val="21"/>
                <w:highlight w:val="none"/>
              </w:rPr>
              <w:t>新浇大体积混凝土（</w:t>
            </w:r>
            <w:r>
              <w:rPr>
                <w:rFonts w:hint="eastAsia"/>
                <w:snapToGrid w:val="0"/>
                <w:color w:val="auto"/>
                <w:sz w:val="21"/>
                <w:highlight w:val="none"/>
              </w:rPr>
              <w:t>C20）</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龄期：初凝-3d</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龄期：3d-7d</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龄期7d-28d</w:t>
            </w:r>
          </w:p>
        </w:tc>
        <w:tc>
          <w:tcPr>
            <w:tcW w:w="1506" w:type="dxa"/>
            <w:vAlign w:val="center"/>
          </w:tcPr>
          <w:p>
            <w:pPr>
              <w:pStyle w:val="78"/>
              <w:spacing w:line="240" w:lineRule="auto"/>
              <w:ind w:firstLine="0" w:firstLineChars="0"/>
              <w:jc w:val="center"/>
              <w:rPr>
                <w:snapToGrid w:val="0"/>
                <w:color w:val="auto"/>
                <w:sz w:val="21"/>
                <w:highlight w:val="none"/>
              </w:rPr>
            </w:pP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1.5~2.0</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3.0~4.0</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7.0~8.0</w:t>
            </w:r>
          </w:p>
        </w:tc>
        <w:tc>
          <w:tcPr>
            <w:tcW w:w="1374" w:type="dxa"/>
            <w:vAlign w:val="center"/>
          </w:tcPr>
          <w:p>
            <w:pPr>
              <w:pStyle w:val="78"/>
              <w:spacing w:line="240" w:lineRule="auto"/>
              <w:ind w:firstLine="0" w:firstLineChars="0"/>
              <w:jc w:val="center"/>
              <w:rPr>
                <w:snapToGrid w:val="0"/>
                <w:color w:val="auto"/>
                <w:sz w:val="21"/>
                <w:highlight w:val="none"/>
              </w:rPr>
            </w:pP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2.0~2.5</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4.0~5.0</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8.0~10.0</w:t>
            </w:r>
          </w:p>
        </w:tc>
        <w:tc>
          <w:tcPr>
            <w:tcW w:w="1490" w:type="dxa"/>
            <w:vAlign w:val="center"/>
          </w:tcPr>
          <w:p>
            <w:pPr>
              <w:pStyle w:val="78"/>
              <w:spacing w:line="240" w:lineRule="auto"/>
              <w:ind w:firstLine="0" w:firstLineChars="0"/>
              <w:jc w:val="center"/>
              <w:rPr>
                <w:snapToGrid w:val="0"/>
                <w:color w:val="auto"/>
                <w:sz w:val="21"/>
                <w:highlight w:val="none"/>
              </w:rPr>
            </w:pP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2.5~3.0</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5.0~7.0</w:t>
            </w:r>
          </w:p>
          <w:p>
            <w:pPr>
              <w:pStyle w:val="78"/>
              <w:spacing w:line="240" w:lineRule="auto"/>
              <w:ind w:firstLine="0" w:firstLineChars="0"/>
              <w:jc w:val="center"/>
              <w:rPr>
                <w:snapToGrid w:val="0"/>
                <w:color w:val="auto"/>
                <w:sz w:val="21"/>
                <w:highlight w:val="none"/>
              </w:rPr>
            </w:pPr>
            <w:r>
              <w:rPr>
                <w:rFonts w:hint="eastAsia"/>
                <w:snapToGrid w:val="0"/>
                <w:color w:val="auto"/>
                <w:sz w:val="21"/>
                <w:highlight w:val="none"/>
              </w:rPr>
              <w:t>100~12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287" w:type="dxa"/>
            <w:gridSpan w:val="5"/>
            <w:vAlign w:val="center"/>
          </w:tcPr>
          <w:p>
            <w:pPr>
              <w:pStyle w:val="78"/>
              <w:spacing w:line="240" w:lineRule="auto"/>
              <w:ind w:firstLine="0" w:firstLineChars="0"/>
              <w:rPr>
                <w:snapToGrid w:val="0"/>
                <w:color w:val="auto"/>
                <w:sz w:val="21"/>
                <w:highlight w:val="none"/>
              </w:rPr>
            </w:pPr>
            <w:r>
              <w:rPr>
                <w:snapToGrid w:val="0"/>
                <w:color w:val="auto"/>
                <w:sz w:val="21"/>
                <w:highlight w:val="none"/>
              </w:rPr>
              <w:t>爆破振动监测应同时测定质点振动相互垂直的三个分量。</w:t>
            </w:r>
          </w:p>
          <w:p>
            <w:pPr>
              <w:pStyle w:val="78"/>
              <w:spacing w:line="240" w:lineRule="auto"/>
              <w:ind w:firstLine="0" w:firstLineChars="0"/>
              <w:rPr>
                <w:snapToGrid w:val="0"/>
                <w:color w:val="auto"/>
                <w:sz w:val="21"/>
                <w:highlight w:val="none"/>
              </w:rPr>
            </w:pPr>
            <w:r>
              <w:rPr>
                <w:snapToGrid w:val="0"/>
                <w:color w:val="auto"/>
                <w:sz w:val="21"/>
                <w:highlight w:val="none"/>
              </w:rPr>
              <w:t>注1：表中质点振动速度为三个分量中的最大值，振动频率为主振频率；</w:t>
            </w:r>
          </w:p>
          <w:p>
            <w:pPr>
              <w:pStyle w:val="78"/>
              <w:spacing w:line="240" w:lineRule="auto"/>
              <w:ind w:firstLine="0" w:firstLineChars="0"/>
              <w:rPr>
                <w:snapToGrid w:val="0"/>
                <w:color w:val="auto"/>
                <w:sz w:val="21"/>
                <w:highlight w:val="none"/>
              </w:rPr>
            </w:pPr>
            <w:r>
              <w:rPr>
                <w:snapToGrid w:val="0"/>
                <w:color w:val="auto"/>
                <w:sz w:val="21"/>
                <w:highlight w:val="none"/>
              </w:rPr>
              <w:t>注2：频率范围根据现场实测波行确定或按如下数据选取：硐室爆破f小于20Hz，露天深孔爆破f在10Hz~60Hz之间；露天潜孔f在40z~100Hz之间；地下深孔爆破f在30Hz~100Hz之间，地下潜孔爆破f在60~300Hz。</w:t>
            </w:r>
          </w:p>
        </w:tc>
      </w:tr>
    </w:tbl>
    <w:p>
      <w:pPr>
        <w:pStyle w:val="78"/>
        <w:ind w:firstLine="488" w:firstLineChars="0"/>
        <w:rPr>
          <w:snapToGrid w:val="0"/>
          <w:color w:val="auto"/>
          <w:highlight w:val="none"/>
        </w:rPr>
      </w:pPr>
      <w:r>
        <w:rPr>
          <w:rFonts w:hint="eastAsia"/>
          <w:snapToGrid w:val="0"/>
          <w:color w:val="auto"/>
          <w:highlight w:val="none"/>
        </w:rPr>
        <w:t>（3）爆破振动影响距离</w:t>
      </w:r>
    </w:p>
    <w:p>
      <w:pPr>
        <w:pStyle w:val="78"/>
        <w:ind w:firstLine="488" w:firstLineChars="0"/>
        <w:rPr>
          <w:snapToGrid w:val="0"/>
          <w:color w:val="auto"/>
          <w:highlight w:val="none"/>
        </w:rPr>
      </w:pPr>
      <w:r>
        <w:rPr>
          <w:rFonts w:hint="eastAsia"/>
          <w:snapToGrid w:val="0"/>
          <w:color w:val="auto"/>
          <w:highlight w:val="none"/>
        </w:rPr>
        <w:t>根据《爆破安全规程》（GB6722-2014），爆破振动安全允许距离按下式计算：</w:t>
      </w:r>
    </w:p>
    <w:p>
      <w:pPr>
        <w:pStyle w:val="78"/>
        <w:ind w:firstLine="488" w:firstLineChars="0"/>
        <w:rPr>
          <w:snapToGrid w:val="0"/>
          <w:color w:val="auto"/>
          <w:highlight w:val="none"/>
        </w:rPr>
      </w:pPr>
      <m:oMathPara>
        <m:oMath>
          <m:r>
            <m:rPr>
              <m:sty m:val="p"/>
            </m:rPr>
            <w:rPr>
              <w:rFonts w:ascii="Cambria Math" w:hAnsi="Cambria Math"/>
              <w:snapToGrid w:val="0"/>
              <w:color w:val="auto"/>
              <w:highlight w:val="none"/>
            </w:rPr>
            <m:t>R=</m:t>
          </m:r>
          <m:sSup>
            <m:sSupPr>
              <m:ctrlPr>
                <w:rPr>
                  <w:rFonts w:ascii="Cambria Math" w:hAnsi="Cambria Math"/>
                  <w:snapToGrid w:val="0"/>
                  <w:color w:val="auto"/>
                  <w:highlight w:val="none"/>
                </w:rPr>
              </m:ctrlPr>
            </m:sSupPr>
            <m:e>
              <m:r>
                <m:rPr/>
                <w:rPr>
                  <w:rFonts w:ascii="Cambria Math" w:hAnsi="Cambria Math"/>
                  <w:snapToGrid w:val="0"/>
                  <w:color w:val="auto"/>
                  <w:highlight w:val="none"/>
                </w:rPr>
                <m:t>(</m:t>
              </m:r>
              <m:f>
                <m:fPr>
                  <m:ctrlPr>
                    <w:rPr>
                      <w:rFonts w:ascii="Cambria Math" w:hAnsi="Cambria Math"/>
                      <w:i/>
                      <w:snapToGrid w:val="0"/>
                      <w:color w:val="auto"/>
                      <w:highlight w:val="none"/>
                    </w:rPr>
                  </m:ctrlPr>
                </m:fPr>
                <m:num>
                  <m:r>
                    <m:rPr/>
                    <w:rPr>
                      <w:rFonts w:ascii="Cambria Math" w:hAnsi="Cambria Math"/>
                      <w:snapToGrid w:val="0"/>
                      <w:color w:val="auto"/>
                      <w:highlight w:val="none"/>
                    </w:rPr>
                    <m:t>k</m:t>
                  </m:r>
                  <m:ctrlPr>
                    <w:rPr>
                      <w:rFonts w:ascii="Cambria Math" w:hAnsi="Cambria Math"/>
                      <w:i/>
                      <w:snapToGrid w:val="0"/>
                      <w:color w:val="auto"/>
                      <w:highlight w:val="none"/>
                    </w:rPr>
                  </m:ctrlPr>
                </m:num>
                <m:den>
                  <m:r>
                    <m:rPr/>
                    <w:rPr>
                      <w:rFonts w:ascii="Cambria Math" w:hAnsi="Cambria Math"/>
                      <w:snapToGrid w:val="0"/>
                      <w:color w:val="auto"/>
                      <w:highlight w:val="none"/>
                    </w:rPr>
                    <m:t>v</m:t>
                  </m:r>
                  <m:ctrlPr>
                    <w:rPr>
                      <w:rFonts w:ascii="Cambria Math" w:hAnsi="Cambria Math"/>
                      <w:i/>
                      <w:snapToGrid w:val="0"/>
                      <w:color w:val="auto"/>
                      <w:highlight w:val="none"/>
                    </w:rPr>
                  </m:ctrlPr>
                </m:den>
              </m:f>
              <m:r>
                <m:rPr/>
                <w:rPr>
                  <w:rFonts w:ascii="Cambria Math" w:hAnsi="Cambria Math"/>
                  <w:snapToGrid w:val="0"/>
                  <w:color w:val="auto"/>
                  <w:highlight w:val="none"/>
                </w:rPr>
                <m:t>)</m:t>
              </m:r>
              <m:ctrlPr>
                <w:rPr>
                  <w:rFonts w:ascii="Cambria Math" w:hAnsi="Cambria Math"/>
                  <w:snapToGrid w:val="0"/>
                  <w:color w:val="auto"/>
                  <w:highlight w:val="none"/>
                </w:rPr>
              </m:ctrlPr>
            </m:e>
            <m:sup>
              <m:f>
                <m:fPr>
                  <m:ctrlPr>
                    <w:rPr>
                      <w:rFonts w:ascii="Cambria Math" w:hAnsi="Cambria Math"/>
                      <w:i/>
                      <w:snapToGrid w:val="0"/>
                      <w:color w:val="auto"/>
                      <w:highlight w:val="none"/>
                    </w:rPr>
                  </m:ctrlPr>
                </m:fPr>
                <m:num>
                  <m:r>
                    <m:rPr/>
                    <w:rPr>
                      <w:rFonts w:ascii="Cambria Math" w:hAnsi="Cambria Math"/>
                      <w:snapToGrid w:val="0"/>
                      <w:color w:val="auto"/>
                      <w:highlight w:val="none"/>
                    </w:rPr>
                    <m:t>1</m:t>
                  </m:r>
                  <m:ctrlPr>
                    <w:rPr>
                      <w:rFonts w:ascii="Cambria Math" w:hAnsi="Cambria Math"/>
                      <w:i/>
                      <w:snapToGrid w:val="0"/>
                      <w:color w:val="auto"/>
                      <w:highlight w:val="none"/>
                    </w:rPr>
                  </m:ctrlPr>
                </m:num>
                <m:den>
                  <m:r>
                    <m:rPr/>
                    <w:rPr>
                      <w:rFonts w:ascii="Cambria Math" w:hAnsi="Cambria Math"/>
                      <w:snapToGrid w:val="0"/>
                      <w:color w:val="auto"/>
                      <w:highlight w:val="none"/>
                    </w:rPr>
                    <m:t>a</m:t>
                  </m:r>
                  <m:ctrlPr>
                    <w:rPr>
                      <w:rFonts w:ascii="Cambria Math" w:hAnsi="Cambria Math"/>
                      <w:i/>
                      <w:snapToGrid w:val="0"/>
                      <w:color w:val="auto"/>
                      <w:highlight w:val="none"/>
                    </w:rPr>
                  </m:ctrlPr>
                </m:den>
              </m:f>
              <m:ctrlPr>
                <w:rPr>
                  <w:rFonts w:ascii="Cambria Math" w:hAnsi="Cambria Math"/>
                  <w:snapToGrid w:val="0"/>
                  <w:color w:val="auto"/>
                  <w:highlight w:val="none"/>
                </w:rPr>
              </m:ctrlPr>
            </m:sup>
          </m:sSup>
          <m:sSup>
            <m:sSupPr>
              <m:ctrlPr>
                <w:rPr>
                  <w:rFonts w:ascii="Cambria Math" w:hAnsi="Cambria Math"/>
                  <w:i/>
                  <w:snapToGrid w:val="0"/>
                  <w:color w:val="auto"/>
                  <w:highlight w:val="none"/>
                </w:rPr>
              </m:ctrlPr>
            </m:sSupPr>
            <m:e>
              <m:r>
                <m:rPr/>
                <w:rPr>
                  <w:rFonts w:ascii="Cambria Math" w:hAnsi="Cambria Math"/>
                  <w:snapToGrid w:val="0"/>
                  <w:color w:val="auto"/>
                  <w:highlight w:val="none"/>
                </w:rPr>
                <m:t>q</m:t>
              </m:r>
              <m:ctrlPr>
                <w:rPr>
                  <w:rFonts w:ascii="Cambria Math" w:hAnsi="Cambria Math"/>
                  <w:i/>
                  <w:snapToGrid w:val="0"/>
                  <w:color w:val="auto"/>
                  <w:highlight w:val="none"/>
                </w:rPr>
              </m:ctrlPr>
            </m:e>
            <m:sup>
              <m:f>
                <m:fPr>
                  <m:ctrlPr>
                    <w:rPr>
                      <w:rFonts w:ascii="Cambria Math" w:hAnsi="Cambria Math"/>
                      <w:i/>
                      <w:snapToGrid w:val="0"/>
                      <w:color w:val="auto"/>
                      <w:highlight w:val="none"/>
                    </w:rPr>
                  </m:ctrlPr>
                </m:fPr>
                <m:num>
                  <m:r>
                    <m:rPr/>
                    <w:rPr>
                      <w:rFonts w:ascii="Cambria Math" w:hAnsi="Cambria Math"/>
                      <w:snapToGrid w:val="0"/>
                      <w:color w:val="auto"/>
                      <w:highlight w:val="none"/>
                    </w:rPr>
                    <m:t>1</m:t>
                  </m:r>
                  <m:ctrlPr>
                    <w:rPr>
                      <w:rFonts w:ascii="Cambria Math" w:hAnsi="Cambria Math"/>
                      <w:i/>
                      <w:snapToGrid w:val="0"/>
                      <w:color w:val="auto"/>
                      <w:highlight w:val="none"/>
                    </w:rPr>
                  </m:ctrlPr>
                </m:num>
                <m:den>
                  <m:r>
                    <m:rPr/>
                    <w:rPr>
                      <w:rFonts w:ascii="Cambria Math" w:hAnsi="Cambria Math"/>
                      <w:snapToGrid w:val="0"/>
                      <w:color w:val="auto"/>
                      <w:highlight w:val="none"/>
                    </w:rPr>
                    <m:t>3</m:t>
                  </m:r>
                  <m:ctrlPr>
                    <w:rPr>
                      <w:rFonts w:ascii="Cambria Math" w:hAnsi="Cambria Math"/>
                      <w:i/>
                      <w:snapToGrid w:val="0"/>
                      <w:color w:val="auto"/>
                      <w:highlight w:val="none"/>
                    </w:rPr>
                  </m:ctrlPr>
                </m:den>
              </m:f>
              <m:ctrlPr>
                <w:rPr>
                  <w:rFonts w:ascii="Cambria Math" w:hAnsi="Cambria Math"/>
                  <w:i/>
                  <w:snapToGrid w:val="0"/>
                  <w:color w:val="auto"/>
                  <w:highlight w:val="none"/>
                </w:rPr>
              </m:ctrlPr>
            </m:sup>
          </m:sSup>
          <m:r>
            <m:rPr/>
            <w:rPr>
              <w:rFonts w:ascii="Cambria Math" w:hAnsi="Cambria Math"/>
              <w:snapToGrid w:val="0"/>
              <w:color w:val="auto"/>
              <w:highlight w:val="none"/>
            </w:rPr>
            <m:t xml:space="preserve"> </m:t>
          </m:r>
        </m:oMath>
      </m:oMathPara>
    </w:p>
    <w:p>
      <w:pPr>
        <w:pStyle w:val="62"/>
        <w:spacing w:line="360" w:lineRule="auto"/>
        <w:ind w:firstLine="480"/>
        <w:rPr>
          <w:rFonts w:ascii="Times New Roman" w:hAnsi="Times New Roman" w:cs="Times New Roman"/>
          <w:color w:val="auto"/>
          <w:highlight w:val="none"/>
        </w:rPr>
      </w:pPr>
      <w:r>
        <w:rPr>
          <w:rFonts w:ascii="Times New Roman" w:cs="Times New Roman"/>
          <w:color w:val="auto"/>
          <w:highlight w:val="none"/>
        </w:rPr>
        <w:t>式中：</w:t>
      </w:r>
      <w:r>
        <w:rPr>
          <w:rFonts w:ascii="Times New Roman" w:hAnsi="Times New Roman" w:cs="Times New Roman"/>
          <w:color w:val="auto"/>
          <w:highlight w:val="none"/>
        </w:rPr>
        <w:t>R-</w:t>
      </w:r>
      <w:r>
        <w:rPr>
          <w:rFonts w:ascii="Times New Roman" w:cs="Times New Roman"/>
          <w:color w:val="auto"/>
          <w:highlight w:val="none"/>
        </w:rPr>
        <w:t>爆破振动安全允许距离，</w:t>
      </w:r>
      <w:r>
        <w:rPr>
          <w:rFonts w:ascii="Times New Roman" w:hAnsi="Times New Roman" w:cs="Times New Roman"/>
          <w:color w:val="auto"/>
          <w:highlight w:val="none"/>
        </w:rPr>
        <w:t>m</w:t>
      </w:r>
      <w:r>
        <w:rPr>
          <w:rFonts w:ascii="Times New Roman" w:cs="Times New Roman"/>
          <w:color w:val="auto"/>
          <w:highlight w:val="none"/>
        </w:rPr>
        <w:t>；</w:t>
      </w:r>
    </w:p>
    <w:p>
      <w:pPr>
        <w:pStyle w:val="62"/>
        <w:spacing w:line="360" w:lineRule="auto"/>
        <w:ind w:firstLine="480"/>
        <w:rPr>
          <w:rFonts w:ascii="Times New Roman" w:hAnsi="Times New Roman" w:cs="Times New Roman"/>
          <w:color w:val="auto"/>
          <w:highlight w:val="none"/>
        </w:rPr>
      </w:pPr>
      <w:r>
        <w:rPr>
          <w:rFonts w:ascii="Times New Roman" w:hAnsi="Times New Roman" w:cs="Times New Roman"/>
          <w:color w:val="auto"/>
          <w:highlight w:val="none"/>
        </w:rPr>
        <w:t xml:space="preserve">      Q-</w:t>
      </w:r>
      <w:r>
        <w:rPr>
          <w:rFonts w:ascii="Times New Roman" w:cs="Times New Roman"/>
          <w:color w:val="auto"/>
          <w:highlight w:val="none"/>
        </w:rPr>
        <w:t>炸药量，齐发爆破为总药量，延时爆破为最大一段药量，</w:t>
      </w:r>
      <w:r>
        <w:rPr>
          <w:rFonts w:ascii="Times New Roman" w:hAnsi="Times New Roman" w:cs="Times New Roman"/>
          <w:color w:val="auto"/>
          <w:highlight w:val="none"/>
        </w:rPr>
        <w:t>kg</w:t>
      </w:r>
      <w:r>
        <w:rPr>
          <w:rFonts w:ascii="Times New Roman" w:cs="Times New Roman"/>
          <w:color w:val="auto"/>
          <w:highlight w:val="none"/>
        </w:rPr>
        <w:t>，本项目取</w:t>
      </w:r>
      <w:r>
        <w:rPr>
          <w:rFonts w:hint="eastAsia" w:ascii="Times New Roman" w:hAnsi="Times New Roman" w:cs="Times New Roman"/>
          <w:color w:val="auto"/>
          <w:highlight w:val="none"/>
          <w:lang w:val="en-US" w:eastAsia="zh-CN"/>
        </w:rPr>
        <w:t>100</w:t>
      </w:r>
      <w:r>
        <w:rPr>
          <w:rFonts w:ascii="Times New Roman" w:hAnsi="Times New Roman" w:cs="Times New Roman"/>
          <w:color w:val="auto"/>
          <w:highlight w:val="none"/>
        </w:rPr>
        <w:t>kg</w:t>
      </w:r>
      <w:r>
        <w:rPr>
          <w:rFonts w:ascii="Times New Roman" w:cs="Times New Roman"/>
          <w:color w:val="auto"/>
          <w:highlight w:val="none"/>
        </w:rPr>
        <w:t>；</w:t>
      </w:r>
    </w:p>
    <w:p>
      <w:pPr>
        <w:ind w:firstLine="480"/>
        <w:rPr>
          <w:color w:val="auto"/>
          <w:highlight w:val="none"/>
        </w:rPr>
      </w:pPr>
      <w:r>
        <w:rPr>
          <w:color w:val="auto"/>
          <w:highlight w:val="none"/>
        </w:rPr>
        <w:t xml:space="preserve">      V-</w:t>
      </w:r>
      <w:r>
        <w:rPr>
          <w:rFonts w:hAnsi="宋体"/>
          <w:color w:val="auto"/>
          <w:highlight w:val="none"/>
        </w:rPr>
        <w:t>保护对象所在地质点振动安全允许速度，</w:t>
      </w:r>
      <w:r>
        <w:rPr>
          <w:color w:val="auto"/>
          <w:highlight w:val="none"/>
        </w:rPr>
        <w:t>cm/s</w:t>
      </w:r>
      <w:r>
        <w:rPr>
          <w:rFonts w:hAnsi="宋体"/>
          <w:color w:val="auto"/>
          <w:highlight w:val="none"/>
        </w:rPr>
        <w:t>；</w:t>
      </w:r>
    </w:p>
    <w:p>
      <w:pPr>
        <w:pStyle w:val="62"/>
        <w:spacing w:line="360" w:lineRule="auto"/>
        <w:ind w:firstLine="480"/>
        <w:rPr>
          <w:color w:val="auto"/>
          <w:highlight w:val="none"/>
        </w:rPr>
      </w:pPr>
      <w:r>
        <w:rPr>
          <w:rFonts w:ascii="Times New Roman" w:hAnsi="Times New Roman" w:cs="Times New Roman"/>
          <w:color w:val="auto"/>
          <w:highlight w:val="none"/>
        </w:rPr>
        <w:t xml:space="preserve">      K</w:t>
      </w:r>
      <w:r>
        <w:rPr>
          <w:rFonts w:ascii="Times New Roman" w:cs="Times New Roman"/>
          <w:color w:val="auto"/>
          <w:highlight w:val="none"/>
        </w:rPr>
        <w:t>、</w:t>
      </w:r>
      <w:r>
        <w:rPr>
          <w:rFonts w:ascii="Times New Roman" w:hAnsi="Times New Roman" w:cs="Times New Roman"/>
          <w:color w:val="auto"/>
          <w:highlight w:val="none"/>
        </w:rPr>
        <w:t>α-</w:t>
      </w:r>
      <w:r>
        <w:rPr>
          <w:rFonts w:ascii="Times New Roman" w:cs="Times New Roman"/>
          <w:color w:val="auto"/>
          <w:highlight w:val="none"/>
        </w:rPr>
        <w:t>与爆破点至计算保护对象间的地形、地质条件有关的系数和衰减指数</w:t>
      </w:r>
      <w:r>
        <w:rPr>
          <w:rFonts w:hint="eastAsia" w:ascii="Times New Roman" w:cs="Times New Roman"/>
          <w:color w:val="auto"/>
          <w:highlight w:val="none"/>
        </w:rPr>
        <w:t>。</w:t>
      </w:r>
      <w:r>
        <w:rPr>
          <w:rFonts w:hint="default" w:ascii="Times New Roman" w:hAnsi="Times New Roman" w:cs="Times New Roman"/>
          <w:color w:val="auto"/>
          <w:highlight w:val="none"/>
        </w:rPr>
        <w:t>可按表</w:t>
      </w:r>
      <w:r>
        <w:rPr>
          <w:rFonts w:hint="eastAsia" w:ascii="Times New Roman" w:hAnsi="Times New Roman" w:cs="Times New Roman"/>
          <w:color w:val="auto"/>
          <w:highlight w:val="none"/>
          <w:lang w:val="en-US" w:eastAsia="zh-CN"/>
        </w:rPr>
        <w:t>6</w:t>
      </w:r>
      <w:r>
        <w:rPr>
          <w:rFonts w:hint="default" w:ascii="Times New Roman" w:hAnsi="Times New Roman" w:cs="Times New Roman"/>
          <w:color w:val="auto"/>
          <w:highlight w:val="none"/>
          <w:lang w:val="en-US" w:eastAsia="zh-CN"/>
        </w:rPr>
        <w:t>.2-1</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选取。</w:t>
      </w:r>
    </w:p>
    <w:p>
      <w:pPr>
        <w:pStyle w:val="14"/>
        <w:spacing w:line="240" w:lineRule="auto"/>
        <w:ind w:firstLine="422"/>
        <w:jc w:val="center"/>
        <w:rPr>
          <w:b/>
          <w:color w:val="auto"/>
          <w:sz w:val="21"/>
          <w:szCs w:val="21"/>
          <w:highlight w:val="none"/>
        </w:rPr>
      </w:pPr>
      <w:r>
        <w:rPr>
          <w:b/>
          <w:color w:val="auto"/>
          <w:sz w:val="21"/>
          <w:szCs w:val="21"/>
          <w:highlight w:val="none"/>
        </w:rPr>
        <w:t>表</w:t>
      </w:r>
      <w:r>
        <w:rPr>
          <w:rFonts w:hint="eastAsia"/>
          <w:b/>
          <w:color w:val="auto"/>
          <w:sz w:val="21"/>
          <w:szCs w:val="21"/>
          <w:highlight w:val="none"/>
          <w:lang w:val="en-US" w:eastAsia="zh-CN"/>
        </w:rPr>
        <w:t>6.2-18</w:t>
      </w:r>
      <w:r>
        <w:rPr>
          <w:b/>
          <w:color w:val="auto"/>
          <w:sz w:val="21"/>
          <w:szCs w:val="21"/>
          <w:highlight w:val="none"/>
        </w:rPr>
        <w:t>不同岩性的K,a值</w:t>
      </w:r>
    </w:p>
    <w:tbl>
      <w:tblPr>
        <w:tblStyle w:val="45"/>
        <w:tblW w:w="928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85" w:type="dxa"/>
          <w:left w:w="108" w:type="dxa"/>
          <w:bottom w:w="85" w:type="dxa"/>
          <w:right w:w="108" w:type="dxa"/>
        </w:tblCellMar>
      </w:tblPr>
      <w:tblGrid>
        <w:gridCol w:w="3157"/>
        <w:gridCol w:w="3065"/>
        <w:gridCol w:w="306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exact"/>
          <w:tblHeader/>
          <w:jc w:val="center"/>
        </w:trPr>
        <w:tc>
          <w:tcPr>
            <w:tcW w:w="3157"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岩性</w:t>
            </w:r>
          </w:p>
        </w:tc>
        <w:tc>
          <w:tcPr>
            <w:tcW w:w="3065"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K</w:t>
            </w:r>
          </w:p>
        </w:tc>
        <w:tc>
          <w:tcPr>
            <w:tcW w:w="3065"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340" w:hRule="exact"/>
          <w:tblHeader/>
          <w:jc w:val="center"/>
        </w:trPr>
        <w:tc>
          <w:tcPr>
            <w:tcW w:w="3157"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坚硬岩石</w:t>
            </w:r>
          </w:p>
        </w:tc>
        <w:tc>
          <w:tcPr>
            <w:tcW w:w="3065"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50～150</w:t>
            </w:r>
          </w:p>
        </w:tc>
        <w:tc>
          <w:tcPr>
            <w:tcW w:w="3065"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1.3～1.5</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340" w:hRule="exact"/>
          <w:tblHeader/>
          <w:jc w:val="center"/>
        </w:trPr>
        <w:tc>
          <w:tcPr>
            <w:tcW w:w="3157"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中硬岩石</w:t>
            </w:r>
          </w:p>
        </w:tc>
        <w:tc>
          <w:tcPr>
            <w:tcW w:w="3065"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150～250</w:t>
            </w:r>
          </w:p>
        </w:tc>
        <w:tc>
          <w:tcPr>
            <w:tcW w:w="3065"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1.5～1.8</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340" w:hRule="exact"/>
          <w:tblHeader/>
          <w:jc w:val="center"/>
        </w:trPr>
        <w:tc>
          <w:tcPr>
            <w:tcW w:w="3157"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软岩石</w:t>
            </w:r>
          </w:p>
        </w:tc>
        <w:tc>
          <w:tcPr>
            <w:tcW w:w="3065"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250～350</w:t>
            </w:r>
          </w:p>
        </w:tc>
        <w:tc>
          <w:tcPr>
            <w:tcW w:w="3065" w:type="dxa"/>
          </w:tcPr>
          <w:p>
            <w:pPr>
              <w:pStyle w:val="78"/>
              <w:spacing w:line="240" w:lineRule="auto"/>
              <w:ind w:firstLine="0" w:firstLineChars="0"/>
              <w:jc w:val="center"/>
              <w:rPr>
                <w:snapToGrid w:val="0"/>
                <w:color w:val="auto"/>
                <w:sz w:val="21"/>
                <w:highlight w:val="none"/>
              </w:rPr>
            </w:pPr>
            <w:r>
              <w:rPr>
                <w:snapToGrid w:val="0"/>
                <w:color w:val="auto"/>
                <w:sz w:val="21"/>
                <w:highlight w:val="none"/>
              </w:rPr>
              <w:t>1.8～2.0</w:t>
            </w:r>
          </w:p>
        </w:tc>
      </w:tr>
    </w:tbl>
    <w:p>
      <w:pPr>
        <w:pStyle w:val="14"/>
        <w:spacing w:line="240" w:lineRule="auto"/>
        <w:ind w:firstLine="422"/>
        <w:jc w:val="center"/>
        <w:rPr>
          <w:b/>
          <w:color w:val="auto"/>
          <w:sz w:val="21"/>
          <w:szCs w:val="21"/>
          <w:highlight w:val="none"/>
        </w:rPr>
      </w:pPr>
    </w:p>
    <w:p>
      <w:pPr>
        <w:pStyle w:val="14"/>
        <w:spacing w:line="240" w:lineRule="auto"/>
        <w:ind w:firstLine="422"/>
        <w:jc w:val="center"/>
        <w:rPr>
          <w:b/>
          <w:color w:val="auto"/>
          <w:sz w:val="21"/>
          <w:szCs w:val="21"/>
          <w:highlight w:val="none"/>
        </w:rPr>
      </w:pPr>
      <w:r>
        <w:rPr>
          <w:b/>
          <w:color w:val="auto"/>
          <w:sz w:val="21"/>
          <w:szCs w:val="21"/>
          <w:highlight w:val="none"/>
        </w:rPr>
        <w:t>表</w:t>
      </w:r>
      <w:r>
        <w:rPr>
          <w:rFonts w:hint="eastAsia"/>
          <w:b/>
          <w:color w:val="auto"/>
          <w:sz w:val="21"/>
          <w:szCs w:val="21"/>
          <w:highlight w:val="none"/>
          <w:lang w:val="en-US" w:eastAsia="zh-CN"/>
        </w:rPr>
        <w:t>6.2-19</w:t>
      </w:r>
      <w:r>
        <w:rPr>
          <w:b/>
          <w:color w:val="auto"/>
          <w:sz w:val="21"/>
          <w:szCs w:val="21"/>
          <w:highlight w:val="none"/>
        </w:rPr>
        <w:t>本项目参数选取结果</w:t>
      </w:r>
    </w:p>
    <w:tbl>
      <w:tblPr>
        <w:tblStyle w:val="45"/>
        <w:tblW w:w="928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85" w:type="dxa"/>
          <w:left w:w="108" w:type="dxa"/>
          <w:bottom w:w="85" w:type="dxa"/>
          <w:right w:w="108" w:type="dxa"/>
        </w:tblCellMar>
      </w:tblPr>
      <w:tblGrid>
        <w:gridCol w:w="3097"/>
        <w:gridCol w:w="3096"/>
        <w:gridCol w:w="309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340" w:hRule="exact"/>
          <w:tblHeader/>
          <w:jc w:val="center"/>
        </w:trPr>
        <w:tc>
          <w:tcPr>
            <w:tcW w:w="3097"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参数</w:t>
            </w:r>
          </w:p>
        </w:tc>
        <w:tc>
          <w:tcPr>
            <w:tcW w:w="3096"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数值</w:t>
            </w:r>
          </w:p>
        </w:tc>
        <w:tc>
          <w:tcPr>
            <w:tcW w:w="3094" w:type="dxa"/>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340" w:hRule="exact"/>
          <w:tblHeader/>
          <w:jc w:val="center"/>
        </w:trPr>
        <w:tc>
          <w:tcPr>
            <w:tcW w:w="3097"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V（cm/s）</w:t>
            </w:r>
          </w:p>
        </w:tc>
        <w:tc>
          <w:tcPr>
            <w:tcW w:w="3096"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2.5</w:t>
            </w:r>
          </w:p>
        </w:tc>
        <w:tc>
          <w:tcPr>
            <w:tcW w:w="3094"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一般民用建筑</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340" w:hRule="exact"/>
          <w:tblHeader/>
          <w:jc w:val="center"/>
        </w:trPr>
        <w:tc>
          <w:tcPr>
            <w:tcW w:w="3097"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K</w:t>
            </w:r>
          </w:p>
        </w:tc>
        <w:tc>
          <w:tcPr>
            <w:tcW w:w="3096"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100</w:t>
            </w:r>
          </w:p>
        </w:tc>
        <w:tc>
          <w:tcPr>
            <w:tcW w:w="3094"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坚硬岩石</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340" w:hRule="exact"/>
          <w:tblHeader/>
          <w:jc w:val="center"/>
        </w:trPr>
        <w:tc>
          <w:tcPr>
            <w:tcW w:w="3097"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a</w:t>
            </w:r>
          </w:p>
        </w:tc>
        <w:tc>
          <w:tcPr>
            <w:tcW w:w="3096" w:type="dxa"/>
            <w:vAlign w:val="center"/>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1.</w:t>
            </w:r>
            <w:r>
              <w:rPr>
                <w:rFonts w:hint="eastAsia"/>
                <w:color w:val="auto"/>
                <w:kern w:val="0"/>
                <w:sz w:val="21"/>
                <w:szCs w:val="21"/>
                <w:highlight w:val="none"/>
              </w:rPr>
              <w:t>4</w:t>
            </w:r>
          </w:p>
        </w:tc>
        <w:tc>
          <w:tcPr>
            <w:tcW w:w="3094" w:type="dxa"/>
          </w:tcPr>
          <w:p>
            <w:pPr>
              <w:autoSpaceDE w:val="0"/>
              <w:autoSpaceDN w:val="0"/>
              <w:spacing w:line="240" w:lineRule="atLeast"/>
              <w:ind w:firstLine="0" w:firstLineChars="0"/>
              <w:jc w:val="center"/>
              <w:rPr>
                <w:color w:val="auto"/>
                <w:kern w:val="0"/>
                <w:sz w:val="21"/>
                <w:szCs w:val="21"/>
                <w:highlight w:val="none"/>
              </w:rPr>
            </w:pPr>
            <w:r>
              <w:rPr>
                <w:color w:val="auto"/>
                <w:kern w:val="0"/>
                <w:sz w:val="21"/>
                <w:szCs w:val="21"/>
                <w:highlight w:val="none"/>
              </w:rPr>
              <w:t>坚硬岩石</w:t>
            </w:r>
          </w:p>
        </w:tc>
      </w:tr>
    </w:tbl>
    <w:p>
      <w:pPr>
        <w:ind w:firstLine="480"/>
        <w:rPr>
          <w:color w:val="auto"/>
          <w:highlight w:val="none"/>
        </w:rPr>
      </w:pPr>
      <w:r>
        <w:rPr>
          <w:rFonts w:hAnsi="宋体"/>
          <w:color w:val="auto"/>
          <w:highlight w:val="none"/>
        </w:rPr>
        <w:t>（</w:t>
      </w:r>
      <w:r>
        <w:rPr>
          <w:color w:val="auto"/>
          <w:highlight w:val="none"/>
        </w:rPr>
        <w:t>2</w:t>
      </w:r>
      <w:r>
        <w:rPr>
          <w:rFonts w:hAnsi="宋体"/>
          <w:color w:val="auto"/>
          <w:highlight w:val="none"/>
        </w:rPr>
        <w:t>）预测结果</w:t>
      </w:r>
    </w:p>
    <w:p>
      <w:pPr>
        <w:ind w:firstLine="480"/>
        <w:rPr>
          <w:color w:val="auto"/>
          <w:highlight w:val="none"/>
        </w:rPr>
      </w:pPr>
      <w:r>
        <w:rPr>
          <w:rFonts w:hAnsi="宋体"/>
          <w:color w:val="auto"/>
          <w:highlight w:val="none"/>
        </w:rPr>
        <w:t>经计算</w:t>
      </w:r>
      <w:r>
        <w:rPr>
          <w:rFonts w:hint="eastAsia" w:hAnsi="宋体"/>
          <w:color w:val="auto"/>
          <w:highlight w:val="none"/>
        </w:rPr>
        <w:t>，</w:t>
      </w:r>
      <w:r>
        <w:rPr>
          <w:rFonts w:hAnsi="宋体"/>
          <w:color w:val="auto"/>
          <w:highlight w:val="none"/>
        </w:rPr>
        <w:t>项目爆破振动安全允许距离为</w:t>
      </w:r>
      <w:r>
        <w:rPr>
          <w:rFonts w:hint="eastAsia"/>
          <w:color w:val="auto"/>
          <w:highlight w:val="none"/>
        </w:rPr>
        <w:t>1</w:t>
      </w:r>
      <w:r>
        <w:rPr>
          <w:rFonts w:hint="eastAsia"/>
          <w:color w:val="auto"/>
          <w:highlight w:val="none"/>
          <w:lang w:val="en-US" w:eastAsia="zh-CN"/>
        </w:rPr>
        <w:t>0</w:t>
      </w:r>
      <w:r>
        <w:rPr>
          <w:rFonts w:hint="eastAsia"/>
          <w:color w:val="auto"/>
          <w:highlight w:val="none"/>
        </w:rPr>
        <w:t>7.93</w:t>
      </w:r>
      <w:r>
        <w:rPr>
          <w:color w:val="auto"/>
          <w:highlight w:val="none"/>
        </w:rPr>
        <w:t>m</w:t>
      </w:r>
      <w:r>
        <w:rPr>
          <w:rFonts w:hAnsi="宋体"/>
          <w:color w:val="auto"/>
          <w:highlight w:val="none"/>
        </w:rPr>
        <w:t>。</w:t>
      </w:r>
    </w:p>
    <w:p>
      <w:pPr>
        <w:ind w:firstLine="480"/>
        <w:rPr>
          <w:color w:val="auto"/>
          <w:highlight w:val="none"/>
        </w:rPr>
      </w:pPr>
      <w:r>
        <w:rPr>
          <w:rFonts w:hAnsi="宋体"/>
          <w:color w:val="auto"/>
          <w:highlight w:val="none"/>
        </w:rPr>
        <w:t>（</w:t>
      </w:r>
      <w:r>
        <w:rPr>
          <w:color w:val="auto"/>
          <w:highlight w:val="none"/>
        </w:rPr>
        <w:t>3</w:t>
      </w:r>
      <w:r>
        <w:rPr>
          <w:rFonts w:hAnsi="宋体"/>
          <w:color w:val="auto"/>
          <w:highlight w:val="none"/>
        </w:rPr>
        <w:t>）分析结论</w:t>
      </w:r>
    </w:p>
    <w:p>
      <w:pPr>
        <w:ind w:firstLine="480"/>
        <w:rPr>
          <w:rFonts w:hAnsi="宋体"/>
          <w:color w:val="auto"/>
          <w:highlight w:val="none"/>
        </w:rPr>
      </w:pPr>
      <w:r>
        <w:rPr>
          <w:rFonts w:hint="eastAsia" w:hAnsi="宋体"/>
          <w:color w:val="auto"/>
          <w:highlight w:val="none"/>
        </w:rPr>
        <w:t>矿山回采落矿采用微差爆破，单段炸药量控制在</w:t>
      </w:r>
      <w:r>
        <w:rPr>
          <w:rFonts w:hint="eastAsia" w:hAnsi="宋体"/>
          <w:color w:val="auto"/>
          <w:highlight w:val="none"/>
          <w:lang w:val="en-US" w:eastAsia="zh-CN"/>
        </w:rPr>
        <w:t>1</w:t>
      </w:r>
      <w:r>
        <w:rPr>
          <w:rFonts w:hint="eastAsia" w:hAnsi="宋体"/>
          <w:color w:val="auto"/>
          <w:highlight w:val="none"/>
        </w:rPr>
        <w:t>00kg以内，地下爆破源距离地表最近的居民超过爆破振动安全允许距。因此采用此种爆破方式，控制单段装药量为</w:t>
      </w:r>
      <w:r>
        <w:rPr>
          <w:rFonts w:hint="eastAsia" w:hAnsi="宋体"/>
          <w:color w:val="auto"/>
          <w:highlight w:val="none"/>
          <w:lang w:val="en-US" w:eastAsia="zh-CN"/>
        </w:rPr>
        <w:t>1</w:t>
      </w:r>
      <w:r>
        <w:rPr>
          <w:rFonts w:hint="eastAsia" w:hAnsi="宋体"/>
          <w:color w:val="auto"/>
          <w:highlight w:val="none"/>
        </w:rPr>
        <w:t>00kg以内，拟建项目地下爆破对地表居民影响</w:t>
      </w:r>
      <w:r>
        <w:rPr>
          <w:rFonts w:hint="eastAsia" w:hAnsi="宋体"/>
          <w:color w:val="auto"/>
          <w:highlight w:val="none"/>
          <w:lang w:val="en-US" w:eastAsia="zh-CN"/>
        </w:rPr>
        <w:t>较</w:t>
      </w:r>
      <w:r>
        <w:rPr>
          <w:rFonts w:hint="eastAsia" w:hAnsi="宋体"/>
          <w:color w:val="auto"/>
          <w:highlight w:val="none"/>
        </w:rPr>
        <w:t>小。</w:t>
      </w:r>
    </w:p>
    <w:p>
      <w:pPr>
        <w:pStyle w:val="78"/>
        <w:ind w:firstLine="488"/>
        <w:rPr>
          <w:color w:val="auto"/>
          <w:highlight w:val="none"/>
        </w:rPr>
      </w:pPr>
      <w:r>
        <w:rPr>
          <w:rFonts w:hint="eastAsia"/>
          <w:color w:val="auto"/>
          <w:highlight w:val="none"/>
        </w:rPr>
        <w:t>为降低爆破队地表居民点影响，评价要求：</w:t>
      </w:r>
    </w:p>
    <w:p>
      <w:pPr>
        <w:pStyle w:val="78"/>
        <w:ind w:firstLine="488"/>
        <w:rPr>
          <w:color w:val="auto"/>
          <w:highlight w:val="none"/>
        </w:rPr>
      </w:pPr>
      <w:r>
        <w:rPr>
          <w:rFonts w:hint="eastAsia"/>
          <w:color w:val="auto"/>
          <w:highlight w:val="none"/>
        </w:rPr>
        <w:t>1）严格控制单次爆破药量；</w:t>
      </w:r>
    </w:p>
    <w:p>
      <w:pPr>
        <w:pStyle w:val="78"/>
        <w:ind w:firstLine="488"/>
        <w:rPr>
          <w:color w:val="auto"/>
          <w:highlight w:val="none"/>
        </w:rPr>
      </w:pPr>
      <w:r>
        <w:rPr>
          <w:rFonts w:hint="eastAsia"/>
          <w:color w:val="auto"/>
          <w:highlight w:val="none"/>
        </w:rPr>
        <w:t>2）尽可能选用低爆速、低威力的炸药；</w:t>
      </w:r>
    </w:p>
    <w:p>
      <w:pPr>
        <w:pStyle w:val="78"/>
        <w:ind w:firstLine="488"/>
        <w:rPr>
          <w:color w:val="auto"/>
          <w:highlight w:val="none"/>
        </w:rPr>
      </w:pPr>
      <w:r>
        <w:rPr>
          <w:rFonts w:hint="eastAsia"/>
          <w:color w:val="auto"/>
          <w:highlight w:val="none"/>
        </w:rPr>
        <w:t>3）爆破采用微差控制爆破技术；</w:t>
      </w:r>
    </w:p>
    <w:p>
      <w:pPr>
        <w:pStyle w:val="78"/>
        <w:ind w:firstLine="488"/>
        <w:rPr>
          <w:color w:val="auto"/>
          <w:highlight w:val="none"/>
        </w:rPr>
      </w:pPr>
      <w:r>
        <w:rPr>
          <w:rFonts w:hint="eastAsia"/>
          <w:color w:val="auto"/>
          <w:highlight w:val="none"/>
        </w:rPr>
        <w:t>4）按地震效应最小的原则确定微差时间。</w:t>
      </w:r>
    </w:p>
    <w:p>
      <w:pPr>
        <w:pStyle w:val="78"/>
        <w:ind w:firstLine="488"/>
        <w:rPr>
          <w:rFonts w:hint="default" w:ascii="Times New Roman" w:hAnsi="Times New Roman" w:eastAsia="宋体" w:cs="Times New Roman"/>
          <w:color w:val="auto"/>
          <w:highlight w:val="none"/>
        </w:rPr>
      </w:pPr>
      <w:r>
        <w:rPr>
          <w:rFonts w:hint="eastAsia"/>
          <w:color w:val="auto"/>
          <w:highlight w:val="none"/>
        </w:rPr>
        <w:t>因此，只要建设单位严格按照设计要求进行爆破作业，本项目建设和生产中爆破振动不会影响周边需要保护的对象。</w:t>
      </w:r>
    </w:p>
    <w:bookmarkEnd w:id="326"/>
    <w:bookmarkEnd w:id="327"/>
    <w:bookmarkEnd w:id="566"/>
    <w:bookmarkEnd w:id="567"/>
    <w:bookmarkEnd w:id="568"/>
    <w:bookmarkEnd w:id="569"/>
    <w:bookmarkEnd w:id="570"/>
    <w:p>
      <w:pPr>
        <w:ind w:firstLine="0" w:firstLineChars="0"/>
        <w:rPr>
          <w:rFonts w:hint="default" w:ascii="Times New Roman" w:hAnsi="Times New Roman" w:eastAsia="宋体" w:cs="Times New Roman"/>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bookmarkStart w:id="571" w:name="_Toc187052637"/>
      <w:bookmarkStart w:id="572" w:name="_Toc395187036"/>
      <w:bookmarkStart w:id="573" w:name="_Toc450827085"/>
      <w:bookmarkStart w:id="574" w:name="_Toc187052260"/>
      <w:bookmarkStart w:id="575" w:name="_Toc187053016"/>
    </w:p>
    <w:p>
      <w:pPr>
        <w:pStyle w:val="27"/>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jc w:val="center"/>
        <w:textAlignment w:val="auto"/>
        <w:rPr>
          <w:color w:val="auto"/>
          <w:highlight w:val="none"/>
        </w:rPr>
      </w:pPr>
      <w:r>
        <w:rPr>
          <w:color w:val="auto"/>
          <w:highlight w:val="none"/>
        </w:rPr>
        <w:drawing>
          <wp:inline distT="0" distB="0" distL="114300" distR="114300">
            <wp:extent cx="7197725" cy="5442585"/>
            <wp:effectExtent l="0" t="0" r="3175" b="5715"/>
            <wp:docPr id="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2"/>
                    <pic:cNvPicPr>
                      <a:picLocks noChangeAspect="1"/>
                    </pic:cNvPicPr>
                  </pic:nvPicPr>
                  <pic:blipFill>
                    <a:blip r:embed="rId232"/>
                    <a:stretch>
                      <a:fillRect/>
                    </a:stretch>
                  </pic:blipFill>
                  <pic:spPr>
                    <a:xfrm>
                      <a:off x="0" y="0"/>
                      <a:ext cx="7197725" cy="5442585"/>
                    </a:xfrm>
                    <a:prstGeom prst="rect">
                      <a:avLst/>
                    </a:prstGeom>
                    <a:noFill/>
                    <a:ln>
                      <a:noFill/>
                    </a:ln>
                  </pic:spPr>
                </pic:pic>
              </a:graphicData>
            </a:graphic>
          </wp:inline>
        </w:drawing>
      </w:r>
    </w:p>
    <w:p>
      <w:pPr>
        <w:pStyle w:val="27"/>
        <w:keepNext w:val="0"/>
        <w:keepLines w:val="0"/>
        <w:pageBreakBefore w:val="0"/>
        <w:widowControl w:val="0"/>
        <w:kinsoku/>
        <w:wordWrap/>
        <w:overflowPunct/>
        <w:topLinePunct w:val="0"/>
        <w:autoSpaceDE/>
        <w:autoSpaceDN/>
        <w:bidi w:val="0"/>
        <w:adjustRightInd w:val="0"/>
        <w:snapToGrid w:val="0"/>
        <w:spacing w:after="0" w:line="240" w:lineRule="atLeast"/>
        <w:ind w:left="0" w:leftChars="0" w:firstLine="0" w:firstLineChars="0"/>
        <w:jc w:val="center"/>
        <w:textAlignment w:val="auto"/>
        <w:rPr>
          <w:color w:val="auto"/>
          <w:highlight w:val="none"/>
        </w:rPr>
      </w:pPr>
      <w:r>
        <w:rPr>
          <w:rFonts w:hint="default" w:ascii="Times New Roman" w:hAnsi="Times New Roman" w:eastAsia="宋体" w:cs="Times New Roman"/>
          <w:b/>
          <w:bCs/>
          <w:color w:val="auto"/>
          <w:highlight w:val="none"/>
          <w:lang w:val="en-US" w:eastAsia="zh-CN"/>
        </w:rPr>
        <w:t>图6.2-2</w:t>
      </w:r>
      <w:r>
        <w:rPr>
          <w:rFonts w:hint="eastAsia" w:cs="Times New Roman"/>
          <w:b/>
          <w:bCs/>
          <w:color w:val="auto"/>
          <w:highlight w:val="none"/>
          <w:lang w:val="en-US" w:eastAsia="zh-CN"/>
        </w:rPr>
        <w:t xml:space="preserve">6  </w:t>
      </w:r>
      <w:r>
        <w:rPr>
          <w:rFonts w:hint="default" w:ascii="Times New Roman" w:hAnsi="Times New Roman" w:eastAsia="宋体" w:cs="Times New Roman"/>
          <w:b/>
          <w:bCs/>
          <w:color w:val="auto"/>
          <w:highlight w:val="none"/>
          <w:lang w:val="en-US" w:eastAsia="zh-CN"/>
        </w:rPr>
        <w:t>项目</w:t>
      </w:r>
      <w:r>
        <w:rPr>
          <w:rFonts w:hint="eastAsia" w:cs="Times New Roman"/>
          <w:b/>
          <w:bCs/>
          <w:color w:val="auto"/>
          <w:sz w:val="24"/>
          <w:szCs w:val="24"/>
          <w:highlight w:val="none"/>
          <w:lang w:val="en-US" w:eastAsia="zh-CN"/>
        </w:rPr>
        <w:t>爆破影响范围</w:t>
      </w:r>
      <w:r>
        <w:rPr>
          <w:rFonts w:hint="default" w:ascii="Times New Roman" w:hAnsi="Times New Roman" w:eastAsia="宋体" w:cs="Times New Roman"/>
          <w:b/>
          <w:bCs/>
          <w:color w:val="auto"/>
          <w:sz w:val="24"/>
          <w:szCs w:val="24"/>
          <w:highlight w:val="none"/>
          <w:lang w:val="en-US" w:eastAsia="zh-CN"/>
        </w:rPr>
        <w:t>图</w:t>
      </w:r>
    </w:p>
    <w:p>
      <w:pPr>
        <w:pStyle w:val="27"/>
        <w:rPr>
          <w:rFonts w:hint="default"/>
          <w:color w:val="auto"/>
          <w:highlight w:val="none"/>
        </w:rPr>
        <w:sectPr>
          <w:pgSz w:w="16840" w:h="11907"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bookmarkEnd w:id="328"/>
    <w:bookmarkEnd w:id="329"/>
    <w:bookmarkEnd w:id="330"/>
    <w:bookmarkEnd w:id="331"/>
    <w:bookmarkEnd w:id="332"/>
    <w:bookmarkEnd w:id="333"/>
    <w:bookmarkEnd w:id="334"/>
    <w:bookmarkEnd w:id="335"/>
    <w:bookmarkEnd w:id="336"/>
    <w:bookmarkEnd w:id="337"/>
    <w:bookmarkEnd w:id="338"/>
    <w:bookmarkEnd w:id="339"/>
    <w:bookmarkEnd w:id="571"/>
    <w:bookmarkEnd w:id="572"/>
    <w:bookmarkEnd w:id="573"/>
    <w:bookmarkEnd w:id="574"/>
    <w:bookmarkEnd w:id="575"/>
    <w:p>
      <w:pPr>
        <w:pStyle w:val="3"/>
        <w:numPr>
          <w:ilvl w:val="0"/>
          <w:numId w:val="12"/>
        </w:numPr>
        <w:bidi w:val="0"/>
        <w:rPr>
          <w:rFonts w:hint="default" w:ascii="Times New Roman" w:hAnsi="Times New Roman" w:eastAsia="宋体" w:cs="Times New Roman"/>
          <w:color w:val="auto"/>
          <w:highlight w:val="none"/>
        </w:rPr>
      </w:pPr>
      <w:bookmarkStart w:id="576" w:name="_Toc368298856"/>
      <w:bookmarkStart w:id="577" w:name="_Toc395187049"/>
      <w:bookmarkStart w:id="578" w:name="_Toc368298948"/>
      <w:bookmarkStart w:id="579" w:name="_Toc319511335"/>
      <w:bookmarkStart w:id="580" w:name="_Toc369000273"/>
      <w:bookmarkStart w:id="581" w:name="_Toc377022588"/>
      <w:bookmarkStart w:id="582" w:name="_Toc316410413"/>
      <w:bookmarkStart w:id="583" w:name="_Toc450827133"/>
      <w:bookmarkStart w:id="584" w:name="_Toc462385329"/>
      <w:bookmarkStart w:id="585" w:name="_Toc15376209"/>
      <w:bookmarkStart w:id="586" w:name="_Toc25917"/>
      <w:bookmarkStart w:id="587" w:name="_Toc515537867"/>
      <w:bookmarkStart w:id="588" w:name="_Toc377022577"/>
      <w:bookmarkStart w:id="589" w:name="_Toc316410390"/>
      <w:bookmarkStart w:id="590" w:name="_Toc369000262"/>
      <w:bookmarkStart w:id="591" w:name="_Toc319511324"/>
      <w:bookmarkStart w:id="592" w:name="_Toc515537864"/>
      <w:bookmarkStart w:id="593" w:name="_Toc368298845"/>
      <w:bookmarkStart w:id="594" w:name="_Toc305953262"/>
      <w:bookmarkStart w:id="595" w:name="_Toc450827101"/>
      <w:bookmarkStart w:id="596" w:name="_Toc368298937"/>
      <w:bookmarkStart w:id="597" w:name="_Toc395187038"/>
      <w:bookmarkStart w:id="598" w:name="_Toc213731990"/>
      <w:bookmarkStart w:id="599" w:name="_Toc15376211"/>
      <w:r>
        <w:rPr>
          <w:rFonts w:hint="default" w:ascii="Times New Roman" w:hAnsi="Times New Roman" w:eastAsia="宋体" w:cs="Times New Roman"/>
          <w:color w:val="auto"/>
          <w:highlight w:val="none"/>
        </w:rPr>
        <w:t>环境风险</w:t>
      </w:r>
      <w:bookmarkEnd w:id="576"/>
      <w:bookmarkEnd w:id="577"/>
      <w:bookmarkEnd w:id="578"/>
      <w:bookmarkEnd w:id="579"/>
      <w:bookmarkEnd w:id="580"/>
      <w:bookmarkEnd w:id="581"/>
      <w:bookmarkEnd w:id="582"/>
      <w:r>
        <w:rPr>
          <w:rFonts w:hint="default" w:ascii="Times New Roman" w:hAnsi="Times New Roman" w:eastAsia="宋体" w:cs="Times New Roman"/>
          <w:color w:val="auto"/>
          <w:highlight w:val="none"/>
        </w:rPr>
        <w:t>评价</w:t>
      </w:r>
      <w:bookmarkEnd w:id="583"/>
      <w:bookmarkEnd w:id="584"/>
      <w:bookmarkEnd w:id="585"/>
      <w:bookmarkEnd w:id="586"/>
      <w:bookmarkEnd w:id="587"/>
    </w:p>
    <w:p>
      <w:pPr>
        <w:pStyle w:val="4"/>
        <w:numPr>
          <w:ilvl w:val="1"/>
          <w:numId w:val="12"/>
        </w:numPr>
        <w:bidi w:val="0"/>
        <w:ind w:left="0" w:leftChars="0" w:firstLineChars="0"/>
        <w:rPr>
          <w:rFonts w:hint="default" w:ascii="Times New Roman" w:hAnsi="Times New Roman" w:eastAsia="宋体" w:cs="Times New Roman"/>
          <w:color w:val="auto"/>
          <w:highlight w:val="none"/>
        </w:rPr>
      </w:pPr>
      <w:bookmarkStart w:id="600" w:name="_Toc6359"/>
      <w:r>
        <w:rPr>
          <w:rFonts w:hint="default" w:ascii="Times New Roman" w:hAnsi="Times New Roman" w:eastAsia="宋体" w:cs="Times New Roman"/>
          <w:color w:val="auto"/>
          <w:highlight w:val="none"/>
        </w:rPr>
        <w:t>风险调查</w:t>
      </w:r>
      <w:bookmarkEnd w:id="600"/>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val="en-US" w:eastAsia="zh-CN"/>
        </w:rPr>
        <w:t>钾长石</w:t>
      </w:r>
      <w:r>
        <w:rPr>
          <w:rFonts w:hint="default" w:ascii="Times New Roman" w:hAnsi="Times New Roman" w:eastAsia="宋体" w:cs="Times New Roman"/>
          <w:color w:val="auto"/>
          <w:highlight w:val="none"/>
        </w:rPr>
        <w:t>井下开采项目，根据生产工艺特点，本项目涉及的危险物质为乳化炸药（主要成分为硝酸铵）。本项目不设置炸药库、油罐等储存设施，井下生产炸药由当地爆破公司统一配送及使用</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运输车队外委社会车辆，</w:t>
      </w:r>
      <w:r>
        <w:rPr>
          <w:rFonts w:hint="default" w:ascii="Times New Roman" w:hAnsi="Times New Roman" w:eastAsia="宋体" w:cs="Times New Roman"/>
          <w:color w:val="auto"/>
          <w:highlight w:val="none"/>
        </w:rPr>
        <w:t>矿山运输汽车等设备均以柴油为动力，柴油由社会运输车辆不定期提供</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项目设置危废暂存间，日常设备维修更换废机油定期委托有资质的单位进行处置。</w:t>
      </w:r>
    </w:p>
    <w:p>
      <w:pPr>
        <w:pStyle w:val="4"/>
        <w:numPr>
          <w:ilvl w:val="1"/>
          <w:numId w:val="12"/>
        </w:numPr>
        <w:bidi w:val="0"/>
        <w:ind w:left="0" w:leftChars="0" w:firstLineChars="0"/>
        <w:rPr>
          <w:rFonts w:hint="default" w:ascii="Times New Roman" w:hAnsi="Times New Roman" w:eastAsia="宋体" w:cs="Times New Roman"/>
          <w:color w:val="auto"/>
          <w:highlight w:val="none"/>
        </w:rPr>
      </w:pPr>
      <w:bookmarkStart w:id="601" w:name="_Toc1532"/>
      <w:r>
        <w:rPr>
          <w:rFonts w:hint="default" w:ascii="Times New Roman" w:hAnsi="Times New Roman" w:eastAsia="宋体" w:cs="Times New Roman"/>
          <w:color w:val="auto"/>
          <w:highlight w:val="none"/>
        </w:rPr>
        <w:t>风险潜势初判</w:t>
      </w:r>
      <w:bookmarkEnd w:id="601"/>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本项目乳化炸药单次最大使用量为0.</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t</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废机油最大储存量0.012t</w:t>
      </w:r>
      <w:r>
        <w:rPr>
          <w:rFonts w:hint="default" w:ascii="Times New Roman" w:hAnsi="Times New Roman" w:eastAsia="宋体" w:cs="Times New Roman"/>
          <w:color w:val="auto"/>
          <w:highlight w:val="none"/>
        </w:rPr>
        <w:t>。根据《建设项目环境风险评价技术导则》（HJ169-2018）附录C.1.1，计算涉及的每种危险物质在厂界内的最大存在总量与其在附录B中对应临界量的比值Q。</w:t>
      </w:r>
    </w:p>
    <w:p>
      <w:pPr>
        <w:pStyle w:val="78"/>
        <w:ind w:left="2432" w:leftChars="200" w:hanging="1952" w:hangingChars="8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计算物质总量与其临界量比值（Q）公式如下</w:t>
      </w:r>
    </w:p>
    <w:p>
      <w:pPr>
        <w:pStyle w:val="78"/>
        <w:ind w:left="2432" w:leftChars="200" w:hanging="1952" w:hangingChars="800"/>
        <w:rPr>
          <w:rFonts w:hint="default" w:ascii="Times New Roman" w:hAnsi="Times New Roman" w:eastAsia="宋体" w:cs="Times New Roman"/>
          <w:color w:val="auto"/>
          <w:highlight w:val="none"/>
          <w:vertAlign w:val="subscript"/>
        </w:rPr>
      </w:pPr>
      <w:r>
        <w:rPr>
          <w:rFonts w:hint="default" w:ascii="Times New Roman" w:hAnsi="Times New Roman" w:eastAsia="宋体" w:cs="Times New Roman"/>
          <w:color w:val="auto"/>
          <w:highlight w:val="none"/>
        </w:rPr>
        <w:t>Q=q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—危险物质的最大存在总量，t;</w:t>
      </w:r>
    </w:p>
    <w:p>
      <w:pPr>
        <w:pStyle w:val="78"/>
        <w:ind w:firstLine="122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n</w:t>
      </w:r>
      <w:r>
        <w:rPr>
          <w:rFonts w:hint="default" w:ascii="Times New Roman" w:hAnsi="Times New Roman" w:eastAsia="宋体" w:cs="Times New Roman"/>
          <w:color w:val="auto"/>
          <w:highlight w:val="none"/>
        </w:rPr>
        <w:t>—每种危险物质的临界量，t。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本项目只涉及危废物质硝酸铵</w:t>
      </w:r>
      <w:r>
        <w:rPr>
          <w:rFonts w:hint="default" w:ascii="Times New Roman" w:hAnsi="Times New Roman" w:eastAsia="宋体" w:cs="Times New Roman"/>
          <w:color w:val="auto"/>
          <w:highlight w:val="none"/>
          <w:lang w:val="en-US" w:eastAsia="zh-CN"/>
        </w:rPr>
        <w:t>和废机油</w:t>
      </w:r>
      <w:r>
        <w:rPr>
          <w:rFonts w:hint="default" w:ascii="Times New Roman" w:hAnsi="Times New Roman" w:eastAsia="宋体" w:cs="Times New Roman"/>
          <w:color w:val="auto"/>
          <w:highlight w:val="none"/>
        </w:rPr>
        <w:t>，其与临界量比值，即：Q=q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/Q</w:t>
      </w:r>
      <w:r>
        <w:rPr>
          <w:rFonts w:hint="default" w:ascii="Times New Roman" w:hAnsi="Times New Roman" w:eastAsia="宋体" w:cs="Times New Roman"/>
          <w:color w:val="auto"/>
          <w:highlight w:val="none"/>
          <w:vertAlign w:val="subscript"/>
        </w:rPr>
        <w:t>1</w:t>
      </w:r>
      <w:r>
        <w:rPr>
          <w:rFonts w:hint="default" w:ascii="Times New Roman" w:hAnsi="Times New Roman" w:eastAsia="宋体" w:cs="Times New Roman"/>
          <w:color w:val="auto"/>
          <w:highlight w:val="none"/>
        </w:rPr>
        <w:t>，经计算Q=0.1t/50t</w:t>
      </w:r>
      <w:r>
        <w:rPr>
          <w:rFonts w:hint="default" w:ascii="Times New Roman" w:hAnsi="Times New Roman" w:eastAsia="宋体" w:cs="Times New Roman"/>
          <w:color w:val="auto"/>
          <w:highlight w:val="none"/>
          <w:lang w:val="en-US" w:eastAsia="zh-CN"/>
        </w:rPr>
        <w:t>+0.012t/2500t</w:t>
      </w:r>
      <w:r>
        <w:rPr>
          <w:rFonts w:hint="default" w:ascii="Times New Roman" w:hAnsi="Times New Roman" w:eastAsia="宋体" w:cs="Times New Roman"/>
          <w:color w:val="auto"/>
          <w:highlight w:val="none"/>
        </w:rPr>
        <w:t>=0.002</w:t>
      </w:r>
      <w:r>
        <w:rPr>
          <w:rFonts w:hint="default" w:ascii="Times New Roman" w:hAnsi="Times New Roman" w:eastAsia="宋体" w:cs="Times New Roman"/>
          <w:color w:val="auto"/>
          <w:highlight w:val="none"/>
          <w:lang w:val="en-US" w:eastAsia="zh-CN"/>
        </w:rPr>
        <w:t>0048</w:t>
      </w:r>
      <w:r>
        <w:rPr>
          <w:rFonts w:hint="default" w:ascii="Times New Roman" w:hAnsi="Times New Roman" w:eastAsia="宋体" w:cs="Times New Roman"/>
          <w:color w:val="auto"/>
          <w:highlight w:val="none"/>
        </w:rPr>
        <w:t>＜1，根据《建设项目环境风险评价技术导则》（HJ169-2018），当Q&lt;1时，该项目环境风险潜势为Ⅰ。</w:t>
      </w:r>
    </w:p>
    <w:p>
      <w:pPr>
        <w:pStyle w:val="4"/>
        <w:numPr>
          <w:ilvl w:val="1"/>
          <w:numId w:val="12"/>
        </w:numPr>
        <w:bidi w:val="0"/>
        <w:ind w:left="0" w:leftChars="0" w:firstLineChars="0"/>
        <w:rPr>
          <w:rFonts w:hint="default" w:ascii="Times New Roman" w:hAnsi="Times New Roman" w:eastAsia="宋体" w:cs="Times New Roman"/>
          <w:color w:val="auto"/>
          <w:highlight w:val="none"/>
        </w:rPr>
      </w:pPr>
      <w:bookmarkStart w:id="602" w:name="_Toc25698"/>
      <w:r>
        <w:rPr>
          <w:rFonts w:hint="default" w:ascii="Times New Roman" w:hAnsi="Times New Roman" w:eastAsia="宋体" w:cs="Times New Roman"/>
          <w:color w:val="auto"/>
          <w:highlight w:val="none"/>
        </w:rPr>
        <w:t>风险评价等级</w:t>
      </w:r>
      <w:bookmarkEnd w:id="602"/>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根据HJ169-2018风险评价工作等级划分，见表</w:t>
      </w: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1。本项目环境风险潜势为Ⅰ，则进行简单分析即可。</w:t>
      </w:r>
    </w:p>
    <w:p>
      <w:pPr>
        <w:pStyle w:val="74"/>
        <w:spacing w:before="48" w:after="48"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7</w:t>
      </w:r>
      <w:r>
        <w:rPr>
          <w:rFonts w:hint="default" w:ascii="Times New Roman" w:hAnsi="Times New Roman" w:eastAsia="宋体"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lang w:val="en-US" w:eastAsia="zh-CN"/>
        </w:rPr>
        <w:t>3</w:t>
      </w:r>
      <w:r>
        <w:rPr>
          <w:rFonts w:hint="default" w:ascii="Times New Roman" w:hAnsi="Times New Roman" w:eastAsia="宋体" w:cs="Times New Roman"/>
          <w:b/>
          <w:color w:val="auto"/>
          <w:sz w:val="21"/>
          <w:szCs w:val="21"/>
          <w:highlight w:val="none"/>
        </w:rPr>
        <w:t>-1评价工作等级划分表</w:t>
      </w:r>
    </w:p>
    <w:tbl>
      <w:tblPr>
        <w:tblStyle w:val="45"/>
        <w:tblW w:w="85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99"/>
        <w:gridCol w:w="1712"/>
        <w:gridCol w:w="1698"/>
        <w:gridCol w:w="1698"/>
        <w:gridCol w:w="16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环境风险潜势</w:t>
            </w:r>
          </w:p>
        </w:tc>
        <w:tc>
          <w:tcPr>
            <w:tcW w:w="171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Ⅳ、Ⅳ</w:t>
            </w:r>
            <w:r>
              <w:rPr>
                <w:rFonts w:hint="default" w:ascii="Times New Roman" w:hAnsi="Times New Roman" w:eastAsia="宋体" w:cs="Times New Roman"/>
                <w:color w:val="auto"/>
                <w:highlight w:val="none"/>
                <w:vertAlign w:val="superscript"/>
              </w:rPr>
              <w:t>+</w:t>
            </w:r>
          </w:p>
        </w:tc>
        <w:tc>
          <w:tcPr>
            <w:tcW w:w="16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Ⅲ</w:t>
            </w:r>
          </w:p>
        </w:tc>
        <w:tc>
          <w:tcPr>
            <w:tcW w:w="16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Ⅱ</w:t>
            </w:r>
          </w:p>
        </w:tc>
        <w:tc>
          <w:tcPr>
            <w:tcW w:w="1698" w:type="dxa"/>
            <w:tcBorders>
              <w:bottom w:val="single" w:color="auto" w:sz="4" w:space="0"/>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9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评价工作等级</w:t>
            </w:r>
          </w:p>
        </w:tc>
        <w:tc>
          <w:tcPr>
            <w:tcW w:w="171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16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169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w:t>
            </w:r>
          </w:p>
        </w:tc>
        <w:tc>
          <w:tcPr>
            <w:tcW w:w="1698" w:type="dxa"/>
            <w:tcBorders>
              <w:top w:val="single" w:color="auto" w:sz="4" w:space="0"/>
              <w:bottom w:val="single" w:color="auto" w:sz="4" w:space="0"/>
            </w:tcBorders>
            <w:shd w:val="clear" w:color="auto" w:fill="D0CECE" w:themeFill="background2" w:themeFillShade="E6"/>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简单分析</w:t>
            </w:r>
            <w:r>
              <w:rPr>
                <w:rFonts w:hint="default" w:ascii="Times New Roman" w:hAnsi="Times New Roman" w:eastAsia="宋体" w:cs="Times New Roman"/>
                <w:color w:val="auto"/>
                <w:highlight w:val="none"/>
                <w:vertAlign w:val="superscript"/>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5" w:type="dxa"/>
            <w:gridSpan w:val="5"/>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vertAlign w:val="superscript"/>
              </w:rPr>
              <w:t>a</w:t>
            </w:r>
            <w:r>
              <w:rPr>
                <w:rFonts w:hint="default" w:ascii="Times New Roman" w:hAnsi="Times New Roman" w:eastAsia="宋体" w:cs="Times New Roman"/>
                <w:color w:val="auto"/>
                <w:highlight w:val="none"/>
              </w:rPr>
              <w:t>是相对于详细评价工作内容而言，在描述危险物质、环境影响途径、环境危害后果、风险防范措施等方面给出定性的说明。</w:t>
            </w:r>
          </w:p>
        </w:tc>
      </w:tr>
    </w:tbl>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本项目环境风险潜势为Ⅰ级，因此环境风险评价等级为简单分析。</w:t>
      </w:r>
    </w:p>
    <w:p>
      <w:pPr>
        <w:pStyle w:val="4"/>
        <w:numPr>
          <w:ilvl w:val="1"/>
          <w:numId w:val="12"/>
        </w:numPr>
        <w:bidi w:val="0"/>
        <w:ind w:left="0" w:leftChars="0" w:firstLineChars="0"/>
        <w:rPr>
          <w:rFonts w:hint="default" w:ascii="Times New Roman" w:hAnsi="Times New Roman" w:eastAsia="宋体" w:cs="Times New Roman"/>
          <w:color w:val="auto"/>
          <w:highlight w:val="none"/>
        </w:rPr>
      </w:pPr>
      <w:bookmarkStart w:id="603" w:name="_Toc24226"/>
      <w:r>
        <w:rPr>
          <w:rFonts w:hint="default" w:ascii="Times New Roman" w:hAnsi="Times New Roman" w:eastAsia="宋体" w:cs="Times New Roman"/>
          <w:color w:val="auto"/>
          <w:highlight w:val="none"/>
        </w:rPr>
        <w:t>环境敏感目标概况</w:t>
      </w:r>
      <w:bookmarkEnd w:id="603"/>
    </w:p>
    <w:p>
      <w:pPr>
        <w:ind w:firstLine="480"/>
        <w:rPr>
          <w:rFonts w:hint="default" w:ascii="Times New Roman" w:hAnsi="Times New Roman" w:eastAsia="宋体" w:cs="Times New Roman"/>
          <w:color w:val="auto"/>
          <w:szCs w:val="16"/>
          <w:highlight w:val="none"/>
        </w:rPr>
      </w:pPr>
      <w:r>
        <w:rPr>
          <w:rFonts w:hint="default" w:ascii="Times New Roman" w:hAnsi="Times New Roman" w:eastAsia="宋体" w:cs="Times New Roman"/>
          <w:color w:val="auto"/>
          <w:szCs w:val="16"/>
          <w:highlight w:val="none"/>
        </w:rPr>
        <w:t>（1）饮用水源</w:t>
      </w:r>
    </w:p>
    <w:p>
      <w:pPr>
        <w:ind w:firstLine="480"/>
        <w:rPr>
          <w:rFonts w:hint="default" w:ascii="Times New Roman" w:hAnsi="Times New Roman" w:eastAsia="宋体" w:cs="Times New Roman"/>
          <w:color w:val="auto"/>
          <w:szCs w:val="16"/>
          <w:highlight w:val="none"/>
        </w:rPr>
      </w:pPr>
      <w:r>
        <w:rPr>
          <w:rFonts w:hint="default" w:ascii="Times New Roman" w:hAnsi="Times New Roman" w:eastAsia="宋体" w:cs="Times New Roman"/>
          <w:color w:val="auto"/>
          <w:szCs w:val="16"/>
          <w:highlight w:val="none"/>
        </w:rPr>
        <w:t>饮用水源保护区：根据实地调查，本项目所在地10km范围内无饮用水源保护区。</w:t>
      </w:r>
    </w:p>
    <w:p>
      <w:pPr>
        <w:ind w:firstLine="480"/>
        <w:rPr>
          <w:rFonts w:hint="default" w:ascii="Times New Roman" w:hAnsi="Times New Roman" w:eastAsia="宋体" w:cs="Times New Roman"/>
          <w:color w:val="auto"/>
          <w:szCs w:val="16"/>
          <w:highlight w:val="none"/>
        </w:rPr>
      </w:pPr>
      <w:r>
        <w:rPr>
          <w:rFonts w:hint="default" w:ascii="Times New Roman" w:hAnsi="Times New Roman" w:eastAsia="宋体" w:cs="Times New Roman"/>
          <w:color w:val="auto"/>
          <w:szCs w:val="16"/>
          <w:highlight w:val="none"/>
        </w:rPr>
        <w:t>（2）生态保护区</w:t>
      </w:r>
    </w:p>
    <w:p>
      <w:pPr>
        <w:ind w:firstLine="480"/>
        <w:rPr>
          <w:rFonts w:hint="default" w:ascii="Times New Roman" w:hAnsi="Times New Roman" w:eastAsia="宋体" w:cs="Times New Roman"/>
          <w:color w:val="auto"/>
          <w:szCs w:val="16"/>
          <w:highlight w:val="none"/>
        </w:rPr>
      </w:pPr>
      <w:r>
        <w:rPr>
          <w:rFonts w:hint="default" w:ascii="Times New Roman" w:hAnsi="Times New Roman" w:eastAsia="宋体" w:cs="Times New Roman"/>
          <w:color w:val="auto"/>
          <w:szCs w:val="16"/>
          <w:highlight w:val="none"/>
        </w:rPr>
        <w:t>生态保护区：根据实地调查，5km范围内无生态保护区。</w:t>
      </w:r>
    </w:p>
    <w:p>
      <w:pPr>
        <w:ind w:firstLine="480"/>
        <w:rPr>
          <w:rFonts w:hint="default" w:ascii="Times New Roman" w:hAnsi="Times New Roman" w:eastAsia="宋体" w:cs="Times New Roman"/>
          <w:color w:val="auto"/>
          <w:szCs w:val="16"/>
          <w:highlight w:val="none"/>
        </w:rPr>
      </w:pPr>
      <w:r>
        <w:rPr>
          <w:rFonts w:hint="default" w:ascii="Times New Roman" w:hAnsi="Times New Roman" w:eastAsia="宋体" w:cs="Times New Roman"/>
          <w:color w:val="auto"/>
          <w:szCs w:val="16"/>
          <w:highlight w:val="none"/>
        </w:rPr>
        <w:t>（3）人口集中区</w:t>
      </w:r>
    </w:p>
    <w:p>
      <w:pPr>
        <w:ind w:firstLine="480"/>
        <w:rPr>
          <w:rFonts w:hint="default" w:ascii="Times New Roman" w:hAnsi="Times New Roman" w:eastAsia="宋体" w:cs="Times New Roman"/>
          <w:color w:val="auto"/>
          <w:szCs w:val="16"/>
          <w:highlight w:val="none"/>
        </w:rPr>
      </w:pPr>
      <w:r>
        <w:rPr>
          <w:rFonts w:hint="default" w:ascii="Times New Roman" w:hAnsi="Times New Roman" w:eastAsia="宋体" w:cs="Times New Roman"/>
          <w:color w:val="auto"/>
          <w:szCs w:val="16"/>
          <w:highlight w:val="none"/>
        </w:rPr>
        <w:t>建设项目周边环境风险受体目标见下</w:t>
      </w:r>
      <w:r>
        <w:rPr>
          <w:rFonts w:hint="eastAsia" w:ascii="Times New Roman" w:hAnsi="Times New Roman" w:eastAsia="宋体" w:cs="Times New Roman"/>
          <w:color w:val="auto"/>
          <w:szCs w:val="16"/>
          <w:highlight w:val="none"/>
          <w:lang w:val="en-US" w:eastAsia="zh-CN"/>
        </w:rPr>
        <w:t>7</w:t>
      </w:r>
      <w:r>
        <w:rPr>
          <w:rFonts w:hint="default" w:ascii="Times New Roman" w:hAnsi="Times New Roman" w:eastAsia="宋体" w:cs="Times New Roman"/>
          <w:color w:val="auto"/>
          <w:szCs w:val="16"/>
          <w:highlight w:val="none"/>
          <w:lang w:eastAsia="zh-CN"/>
        </w:rPr>
        <w:t>.</w:t>
      </w:r>
      <w:r>
        <w:rPr>
          <w:rFonts w:hint="default" w:ascii="Times New Roman" w:hAnsi="Times New Roman" w:eastAsia="宋体" w:cs="Times New Roman"/>
          <w:color w:val="auto"/>
          <w:szCs w:val="16"/>
          <w:highlight w:val="none"/>
          <w:lang w:val="en-US" w:eastAsia="zh-CN"/>
        </w:rPr>
        <w:t>4</w:t>
      </w:r>
      <w:r>
        <w:rPr>
          <w:rFonts w:hint="default" w:ascii="Times New Roman" w:hAnsi="Times New Roman" w:eastAsia="宋体" w:cs="Times New Roman"/>
          <w:color w:val="auto"/>
          <w:szCs w:val="16"/>
          <w:highlight w:val="none"/>
        </w:rPr>
        <w:t>-</w:t>
      </w:r>
      <w:r>
        <w:rPr>
          <w:rFonts w:hint="default" w:ascii="Times New Roman" w:hAnsi="Times New Roman" w:eastAsia="宋体" w:cs="Times New Roman"/>
          <w:color w:val="auto"/>
          <w:szCs w:val="16"/>
          <w:highlight w:val="none"/>
          <w:lang w:val="en-US" w:eastAsia="zh-CN"/>
        </w:rPr>
        <w:t>1</w:t>
      </w:r>
      <w:r>
        <w:rPr>
          <w:rFonts w:hint="default" w:ascii="Times New Roman" w:hAnsi="Times New Roman" w:eastAsia="宋体" w:cs="Times New Roman"/>
          <w:color w:val="auto"/>
          <w:szCs w:val="16"/>
          <w:highlight w:val="none"/>
        </w:rPr>
        <w:t>。</w:t>
      </w:r>
    </w:p>
    <w:p>
      <w:pPr>
        <w:pStyle w:val="83"/>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
          <w:bCs w:val="0"/>
          <w:color w:val="auto"/>
          <w:spacing w:val="0"/>
          <w:kern w:val="2"/>
          <w:sz w:val="21"/>
          <w:szCs w:val="21"/>
          <w:highlight w:val="none"/>
        </w:rPr>
      </w:pPr>
      <w:r>
        <w:rPr>
          <w:rFonts w:hint="default" w:ascii="Times New Roman" w:hAnsi="Times New Roman" w:eastAsia="宋体" w:cs="Times New Roman"/>
          <w:b/>
          <w:bCs w:val="0"/>
          <w:color w:val="auto"/>
          <w:spacing w:val="0"/>
          <w:kern w:val="2"/>
          <w:sz w:val="21"/>
          <w:szCs w:val="21"/>
          <w:highlight w:val="none"/>
        </w:rPr>
        <w:t>表</w:t>
      </w:r>
      <w:r>
        <w:rPr>
          <w:rFonts w:hint="eastAsia" w:ascii="Times New Roman" w:hAnsi="Times New Roman" w:eastAsia="宋体" w:cs="Times New Roman"/>
          <w:b/>
          <w:bCs w:val="0"/>
          <w:color w:val="auto"/>
          <w:spacing w:val="0"/>
          <w:kern w:val="2"/>
          <w:sz w:val="21"/>
          <w:szCs w:val="21"/>
          <w:highlight w:val="none"/>
          <w:lang w:val="en-US" w:eastAsia="zh-CN"/>
        </w:rPr>
        <w:t>7</w:t>
      </w:r>
      <w:r>
        <w:rPr>
          <w:rFonts w:hint="default" w:ascii="Times New Roman" w:hAnsi="Times New Roman" w:eastAsia="宋体" w:cs="Times New Roman"/>
          <w:b/>
          <w:bCs w:val="0"/>
          <w:color w:val="auto"/>
          <w:spacing w:val="0"/>
          <w:kern w:val="2"/>
          <w:sz w:val="21"/>
          <w:szCs w:val="21"/>
          <w:highlight w:val="none"/>
          <w:lang w:eastAsia="zh-CN"/>
        </w:rPr>
        <w:t>.</w:t>
      </w:r>
      <w:r>
        <w:rPr>
          <w:rFonts w:hint="default" w:ascii="Times New Roman" w:hAnsi="Times New Roman" w:eastAsia="宋体" w:cs="Times New Roman"/>
          <w:b/>
          <w:bCs w:val="0"/>
          <w:color w:val="auto"/>
          <w:spacing w:val="0"/>
          <w:kern w:val="2"/>
          <w:sz w:val="21"/>
          <w:szCs w:val="21"/>
          <w:highlight w:val="none"/>
          <w:lang w:val="en-US" w:eastAsia="zh-CN"/>
        </w:rPr>
        <w:t>4</w:t>
      </w:r>
      <w:r>
        <w:rPr>
          <w:rFonts w:hint="default" w:ascii="Times New Roman" w:hAnsi="Times New Roman" w:eastAsia="宋体" w:cs="Times New Roman"/>
          <w:b/>
          <w:bCs w:val="0"/>
          <w:color w:val="auto"/>
          <w:spacing w:val="0"/>
          <w:kern w:val="2"/>
          <w:sz w:val="21"/>
          <w:szCs w:val="21"/>
          <w:highlight w:val="none"/>
        </w:rPr>
        <w:t>-</w:t>
      </w:r>
      <w:r>
        <w:rPr>
          <w:rFonts w:hint="default" w:ascii="Times New Roman" w:hAnsi="Times New Roman" w:eastAsia="宋体" w:cs="Times New Roman"/>
          <w:b/>
          <w:bCs w:val="0"/>
          <w:color w:val="auto"/>
          <w:spacing w:val="0"/>
          <w:kern w:val="2"/>
          <w:sz w:val="21"/>
          <w:szCs w:val="21"/>
          <w:highlight w:val="none"/>
          <w:lang w:val="en-US" w:eastAsia="zh-CN"/>
        </w:rPr>
        <w:t>1</w:t>
      </w:r>
      <w:r>
        <w:rPr>
          <w:rFonts w:hint="default" w:ascii="Times New Roman" w:hAnsi="Times New Roman" w:eastAsia="宋体" w:cs="Times New Roman"/>
          <w:b/>
          <w:bCs w:val="0"/>
          <w:color w:val="auto"/>
          <w:spacing w:val="0"/>
          <w:kern w:val="2"/>
          <w:sz w:val="21"/>
          <w:szCs w:val="21"/>
          <w:highlight w:val="none"/>
        </w:rPr>
        <w:t>环境保护目标</w:t>
      </w:r>
    </w:p>
    <w:tbl>
      <w:tblPr>
        <w:tblStyle w:val="46"/>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14"/>
        <w:gridCol w:w="1312"/>
        <w:gridCol w:w="1348"/>
        <w:gridCol w:w="1368"/>
        <w:gridCol w:w="728"/>
        <w:gridCol w:w="865"/>
        <w:gridCol w:w="867"/>
        <w:gridCol w:w="1125"/>
        <w:gridCol w:w="95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序号</w:t>
            </w:r>
          </w:p>
        </w:tc>
        <w:tc>
          <w:tcPr>
            <w:tcW w:w="707"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1463" w:type="pct"/>
            <w:gridSpan w:val="2"/>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坐标/m</w:t>
            </w:r>
          </w:p>
        </w:tc>
        <w:tc>
          <w:tcPr>
            <w:tcW w:w="389"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保护内容</w:t>
            </w:r>
          </w:p>
        </w:tc>
        <w:tc>
          <w:tcPr>
            <w:tcW w:w="466"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环境功能区</w:t>
            </w:r>
          </w:p>
        </w:tc>
        <w:tc>
          <w:tcPr>
            <w:tcW w:w="467"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相对厂址方位</w:t>
            </w:r>
          </w:p>
        </w:tc>
        <w:tc>
          <w:tcPr>
            <w:tcW w:w="606"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相对厂界距离/m</w:t>
            </w:r>
          </w:p>
        </w:tc>
        <w:tc>
          <w:tcPr>
            <w:tcW w:w="512"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人口</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规模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707" w:type="pct"/>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726" w:type="pct"/>
            <w:vAlign w:val="center"/>
          </w:tcPr>
          <w:p>
            <w:pPr>
              <w:pStyle w:val="104"/>
              <w:jc w:val="center"/>
              <w:rPr>
                <w:rFonts w:hint="eastAsia"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经度</w:t>
            </w:r>
          </w:p>
        </w:tc>
        <w:tc>
          <w:tcPr>
            <w:tcW w:w="736" w:type="pct"/>
            <w:vAlign w:val="center"/>
          </w:tcPr>
          <w:p>
            <w:pPr>
              <w:pStyle w:val="104"/>
              <w:jc w:val="center"/>
              <w:rPr>
                <w:rFonts w:hint="eastAsia"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val="en-US" w:eastAsia="zh-CN"/>
              </w:rPr>
              <w:t>纬度</w:t>
            </w:r>
          </w:p>
        </w:tc>
        <w:tc>
          <w:tcPr>
            <w:tcW w:w="389" w:type="pct"/>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466" w:type="pct"/>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467" w:type="pct"/>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606" w:type="pct"/>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512" w:type="pct"/>
            <w:vMerge w:val="continue"/>
            <w:vAlign w:val="center"/>
          </w:tcPr>
          <w:p>
            <w:pPr>
              <w:pStyle w:val="104"/>
              <w:jc w:val="center"/>
              <w:rPr>
                <w:rFonts w:hint="default" w:ascii="Times New Roman" w:hAnsi="Times New Roman" w:eastAsia="宋体" w:cs="Times New Roman"/>
                <w:color w:val="auto"/>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Merge w:val="restart"/>
            <w:vAlign w:val="center"/>
          </w:tcPr>
          <w:p>
            <w:pPr>
              <w:pStyle w:val="104"/>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环境空气</w:t>
            </w:r>
          </w:p>
        </w:tc>
        <w:tc>
          <w:tcPr>
            <w:tcW w:w="707"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贾家堡子</w:t>
            </w:r>
          </w:p>
        </w:tc>
        <w:tc>
          <w:tcPr>
            <w:tcW w:w="72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123°21′31.16″</w:t>
            </w:r>
          </w:p>
        </w:tc>
        <w:tc>
          <w:tcPr>
            <w:tcW w:w="73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40°25′49.94″</w:t>
            </w:r>
          </w:p>
        </w:tc>
        <w:tc>
          <w:tcPr>
            <w:tcW w:w="389"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居住区</w:t>
            </w:r>
          </w:p>
        </w:tc>
        <w:tc>
          <w:tcPr>
            <w:tcW w:w="466" w:type="pct"/>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二类区</w:t>
            </w:r>
          </w:p>
        </w:tc>
        <w:tc>
          <w:tcPr>
            <w:tcW w:w="467" w:type="pc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w:t>
            </w:r>
          </w:p>
        </w:tc>
        <w:tc>
          <w:tcPr>
            <w:tcW w:w="606" w:type="pct"/>
            <w:vAlign w:val="center"/>
          </w:tcPr>
          <w:p>
            <w:pPr>
              <w:pStyle w:val="104"/>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1837</w:t>
            </w:r>
          </w:p>
        </w:tc>
        <w:tc>
          <w:tcPr>
            <w:tcW w:w="512"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20</w:t>
            </w:r>
            <w:r>
              <w:rPr>
                <w:rFonts w:hint="default" w:ascii="Times New Roman" w:hAnsi="Times New Roman" w:eastAsia="宋体" w:cs="Times New Roman"/>
                <w:color w:val="auto"/>
                <w:sz w:val="18"/>
                <w:szCs w:val="18"/>
                <w:highlight w:val="none"/>
              </w:rPr>
              <w:t>户</w:t>
            </w:r>
          </w:p>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62</w:t>
            </w:r>
            <w:r>
              <w:rPr>
                <w:rFonts w:hint="default" w:ascii="Times New Roman" w:hAnsi="Times New Roman" w:eastAsia="宋体" w:cs="Times New Roman"/>
                <w:color w:val="auto"/>
                <w:sz w:val="18"/>
                <w:szCs w:val="18"/>
                <w:highlight w:val="none"/>
              </w:rPr>
              <w:t>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707"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大何家</w:t>
            </w:r>
            <w:r>
              <w:rPr>
                <w:rFonts w:hint="default" w:ascii="Times New Roman" w:hAnsi="Times New Roman" w:eastAsia="宋体" w:cs="Times New Roman"/>
                <w:color w:val="auto"/>
                <w:sz w:val="18"/>
                <w:szCs w:val="18"/>
                <w:highlight w:val="none"/>
                <w:lang w:eastAsia="zh-CN"/>
              </w:rPr>
              <w:t>堡子</w:t>
            </w:r>
          </w:p>
        </w:tc>
        <w:tc>
          <w:tcPr>
            <w:tcW w:w="72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123°21′6.01″</w:t>
            </w:r>
          </w:p>
        </w:tc>
        <w:tc>
          <w:tcPr>
            <w:tcW w:w="73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40°26′10.66″</w:t>
            </w:r>
          </w:p>
        </w:tc>
        <w:tc>
          <w:tcPr>
            <w:tcW w:w="389"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466"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467" w:type="pct"/>
            <w:vAlign w:val="center"/>
          </w:tcPr>
          <w:p>
            <w:pPr>
              <w:pStyle w:val="10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W</w:t>
            </w:r>
          </w:p>
        </w:tc>
        <w:tc>
          <w:tcPr>
            <w:tcW w:w="606" w:type="pct"/>
            <w:vAlign w:val="center"/>
          </w:tcPr>
          <w:p>
            <w:pPr>
              <w:pStyle w:val="104"/>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2013</w:t>
            </w:r>
          </w:p>
        </w:tc>
        <w:tc>
          <w:tcPr>
            <w:tcW w:w="512"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70</w:t>
            </w:r>
            <w:r>
              <w:rPr>
                <w:rFonts w:hint="default" w:ascii="Times New Roman" w:hAnsi="Times New Roman" w:eastAsia="宋体" w:cs="Times New Roman"/>
                <w:color w:val="auto"/>
                <w:sz w:val="18"/>
                <w:szCs w:val="18"/>
                <w:highlight w:val="none"/>
              </w:rPr>
              <w:t>户</w:t>
            </w:r>
          </w:p>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267</w:t>
            </w:r>
            <w:r>
              <w:rPr>
                <w:rFonts w:hint="default" w:ascii="Times New Roman" w:hAnsi="Times New Roman" w:eastAsia="宋体" w:cs="Times New Roman"/>
                <w:color w:val="auto"/>
                <w:sz w:val="18"/>
                <w:szCs w:val="18"/>
                <w:highlight w:val="none"/>
              </w:rPr>
              <w:t>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707"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闹沟里</w:t>
            </w:r>
          </w:p>
        </w:tc>
        <w:tc>
          <w:tcPr>
            <w:tcW w:w="72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123°22′32.42″</w:t>
            </w:r>
          </w:p>
        </w:tc>
        <w:tc>
          <w:tcPr>
            <w:tcW w:w="73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40°27′46.06″</w:t>
            </w:r>
          </w:p>
        </w:tc>
        <w:tc>
          <w:tcPr>
            <w:tcW w:w="389"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466"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467" w:type="pct"/>
            <w:vAlign w:val="center"/>
          </w:tcPr>
          <w:p>
            <w:pPr>
              <w:pStyle w:val="10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N</w:t>
            </w:r>
          </w:p>
        </w:tc>
        <w:tc>
          <w:tcPr>
            <w:tcW w:w="606" w:type="pct"/>
            <w:vAlign w:val="center"/>
          </w:tcPr>
          <w:p>
            <w:pPr>
              <w:pStyle w:val="104"/>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876</w:t>
            </w:r>
          </w:p>
        </w:tc>
        <w:tc>
          <w:tcPr>
            <w:tcW w:w="512"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30</w:t>
            </w:r>
            <w:r>
              <w:rPr>
                <w:rFonts w:hint="default" w:ascii="Times New Roman" w:hAnsi="Times New Roman" w:eastAsia="宋体" w:cs="Times New Roman"/>
                <w:color w:val="auto"/>
                <w:sz w:val="18"/>
                <w:szCs w:val="18"/>
                <w:highlight w:val="none"/>
              </w:rPr>
              <w:t>户</w:t>
            </w:r>
          </w:p>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113</w:t>
            </w:r>
            <w:r>
              <w:rPr>
                <w:rFonts w:hint="default" w:ascii="Times New Roman" w:hAnsi="Times New Roman" w:eastAsia="宋体" w:cs="Times New Roman"/>
                <w:color w:val="auto"/>
                <w:sz w:val="18"/>
                <w:szCs w:val="18"/>
                <w:highlight w:val="none"/>
              </w:rPr>
              <w:t>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707"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王</w:t>
            </w:r>
            <w:r>
              <w:rPr>
                <w:rFonts w:hint="default" w:ascii="Times New Roman" w:hAnsi="Times New Roman" w:eastAsia="宋体" w:cs="Times New Roman"/>
                <w:color w:val="auto"/>
                <w:sz w:val="18"/>
                <w:szCs w:val="18"/>
                <w:highlight w:val="none"/>
                <w:lang w:eastAsia="zh-CN"/>
              </w:rPr>
              <w:t>家堡子</w:t>
            </w:r>
          </w:p>
        </w:tc>
        <w:tc>
          <w:tcPr>
            <w:tcW w:w="72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123°21′27.24″</w:t>
            </w:r>
          </w:p>
        </w:tc>
        <w:tc>
          <w:tcPr>
            <w:tcW w:w="73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40°27′59.83″</w:t>
            </w:r>
          </w:p>
        </w:tc>
        <w:tc>
          <w:tcPr>
            <w:tcW w:w="389"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466"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467" w:type="pct"/>
            <w:vAlign w:val="center"/>
          </w:tcPr>
          <w:p>
            <w:pPr>
              <w:pStyle w:val="104"/>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NW</w:t>
            </w:r>
          </w:p>
        </w:tc>
        <w:tc>
          <w:tcPr>
            <w:tcW w:w="606" w:type="pct"/>
            <w:vAlign w:val="center"/>
          </w:tcPr>
          <w:p>
            <w:pPr>
              <w:pStyle w:val="104"/>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852</w:t>
            </w:r>
          </w:p>
        </w:tc>
        <w:tc>
          <w:tcPr>
            <w:tcW w:w="512"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30</w:t>
            </w:r>
            <w:r>
              <w:rPr>
                <w:rFonts w:hint="default" w:ascii="Times New Roman" w:hAnsi="Times New Roman" w:eastAsia="宋体" w:cs="Times New Roman"/>
                <w:color w:val="auto"/>
                <w:sz w:val="18"/>
                <w:szCs w:val="18"/>
                <w:highlight w:val="none"/>
              </w:rPr>
              <w:t>户</w:t>
            </w:r>
          </w:p>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110</w:t>
            </w:r>
            <w:r>
              <w:rPr>
                <w:rFonts w:hint="default" w:ascii="Times New Roman" w:hAnsi="Times New Roman" w:eastAsia="宋体" w:cs="Times New Roman"/>
                <w:color w:val="auto"/>
                <w:sz w:val="18"/>
                <w:szCs w:val="18"/>
                <w:highlight w:val="none"/>
              </w:rPr>
              <w:t>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707"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胡家沟</w:t>
            </w:r>
          </w:p>
        </w:tc>
        <w:tc>
          <w:tcPr>
            <w:tcW w:w="72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123°22′15.65″</w:t>
            </w:r>
          </w:p>
        </w:tc>
        <w:tc>
          <w:tcPr>
            <w:tcW w:w="736"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40°25′47.00″</w:t>
            </w:r>
          </w:p>
        </w:tc>
        <w:tc>
          <w:tcPr>
            <w:tcW w:w="389"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466" w:type="pct"/>
            <w:vMerge w:val="continue"/>
            <w:vAlign w:val="center"/>
          </w:tcPr>
          <w:p>
            <w:pPr>
              <w:pStyle w:val="104"/>
              <w:jc w:val="center"/>
              <w:rPr>
                <w:rFonts w:hint="default" w:ascii="Times New Roman" w:hAnsi="Times New Roman" w:eastAsia="宋体" w:cs="Times New Roman"/>
                <w:color w:val="auto"/>
                <w:kern w:val="0"/>
                <w:sz w:val="18"/>
                <w:szCs w:val="18"/>
                <w:highlight w:val="none"/>
              </w:rPr>
            </w:pPr>
          </w:p>
        </w:tc>
        <w:tc>
          <w:tcPr>
            <w:tcW w:w="467" w:type="pct"/>
            <w:vAlign w:val="center"/>
          </w:tcPr>
          <w:p>
            <w:pPr>
              <w:pStyle w:val="104"/>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w:t>
            </w:r>
          </w:p>
        </w:tc>
        <w:tc>
          <w:tcPr>
            <w:tcW w:w="606" w:type="pct"/>
            <w:vAlign w:val="center"/>
          </w:tcPr>
          <w:p>
            <w:pPr>
              <w:pStyle w:val="104"/>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1676</w:t>
            </w:r>
          </w:p>
        </w:tc>
        <w:tc>
          <w:tcPr>
            <w:tcW w:w="512" w:type="pct"/>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27</w:t>
            </w:r>
            <w:r>
              <w:rPr>
                <w:rFonts w:hint="default" w:ascii="Times New Roman" w:hAnsi="Times New Roman" w:eastAsia="宋体" w:cs="Times New Roman"/>
                <w:color w:val="auto"/>
                <w:sz w:val="18"/>
                <w:szCs w:val="18"/>
                <w:highlight w:val="none"/>
              </w:rPr>
              <w:t>户</w:t>
            </w:r>
          </w:p>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val="en-US" w:eastAsia="zh-CN"/>
              </w:rPr>
              <w:t>106</w:t>
            </w:r>
            <w:r>
              <w:rPr>
                <w:rFonts w:hint="default" w:ascii="Times New Roman" w:hAnsi="Times New Roman" w:eastAsia="宋体" w:cs="Times New Roman"/>
                <w:color w:val="auto"/>
                <w:sz w:val="18"/>
                <w:szCs w:val="18"/>
                <w:highlight w:val="none"/>
              </w:rPr>
              <w:t>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Align w:val="center"/>
          </w:tcPr>
          <w:p>
            <w:pPr>
              <w:pStyle w:val="104"/>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地下水</w:t>
            </w:r>
          </w:p>
        </w:tc>
        <w:tc>
          <w:tcPr>
            <w:tcW w:w="2561" w:type="pct"/>
            <w:gridSpan w:val="4"/>
            <w:vAlign w:val="center"/>
          </w:tcPr>
          <w:p>
            <w:pPr>
              <w:pStyle w:val="104"/>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评价范围内的第四系含水层和受采矿影响的基岩裂隙含水层</w:t>
            </w:r>
          </w:p>
        </w:tc>
        <w:tc>
          <w:tcPr>
            <w:tcW w:w="2053" w:type="pct"/>
            <w:gridSpan w:val="4"/>
            <w:vAlign w:val="center"/>
          </w:tcPr>
          <w:p>
            <w:pPr>
              <w:pStyle w:val="104"/>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水质满足《地下水质量标准》（GB/T14848-2017）中的Ⅲ类标准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0" w:hRule="atLeast"/>
          <w:jc w:val="center"/>
        </w:trPr>
        <w:tc>
          <w:tcPr>
            <w:tcW w:w="385" w:type="pct"/>
            <w:vAlign w:val="center"/>
          </w:tcPr>
          <w:p>
            <w:pPr>
              <w:pStyle w:val="104"/>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生态</w:t>
            </w:r>
          </w:p>
        </w:tc>
        <w:tc>
          <w:tcPr>
            <w:tcW w:w="4614" w:type="pct"/>
            <w:gridSpan w:val="8"/>
            <w:vAlign w:val="center"/>
          </w:tcPr>
          <w:p>
            <w:pPr>
              <w:pStyle w:val="104"/>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矿区范围的耕地、植被、土地资源、野生动物等</w:t>
            </w:r>
          </w:p>
        </w:tc>
      </w:tr>
    </w:tbl>
    <w:p>
      <w:pPr>
        <w:pStyle w:val="4"/>
        <w:numPr>
          <w:ilvl w:val="1"/>
          <w:numId w:val="12"/>
        </w:numPr>
        <w:bidi w:val="0"/>
        <w:ind w:left="0" w:leftChars="0" w:firstLineChars="0"/>
        <w:rPr>
          <w:rFonts w:hint="default" w:ascii="Times New Roman" w:hAnsi="Times New Roman" w:eastAsia="宋体" w:cs="Times New Roman"/>
          <w:color w:val="auto"/>
          <w:highlight w:val="none"/>
        </w:rPr>
      </w:pPr>
      <w:bookmarkStart w:id="604" w:name="_Toc23231"/>
      <w:bookmarkStart w:id="605" w:name="_Toc515537869"/>
      <w:r>
        <w:rPr>
          <w:rFonts w:hint="default" w:ascii="Times New Roman" w:hAnsi="Times New Roman" w:eastAsia="宋体" w:cs="Times New Roman"/>
          <w:color w:val="auto"/>
          <w:highlight w:val="none"/>
        </w:rPr>
        <w:t>环境风险识别</w:t>
      </w:r>
      <w:bookmarkEnd w:id="604"/>
    </w:p>
    <w:p>
      <w:pPr>
        <w:pStyle w:val="78"/>
        <w:ind w:firstLine="48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本项目只涉及危废物质硝酸铵</w:t>
      </w:r>
      <w:r>
        <w:rPr>
          <w:rFonts w:hint="default" w:ascii="Times New Roman" w:hAnsi="Times New Roman" w:eastAsia="宋体" w:cs="Times New Roman"/>
          <w:color w:val="auto"/>
          <w:highlight w:val="none"/>
          <w:lang w:val="en-US" w:eastAsia="zh-CN"/>
        </w:rPr>
        <w:t>和废机油，其中</w:t>
      </w:r>
      <w:r>
        <w:rPr>
          <w:rFonts w:hint="default" w:ascii="Times New Roman" w:hAnsi="Times New Roman" w:eastAsia="宋体" w:cs="Times New Roman"/>
          <w:color w:val="auto"/>
          <w:highlight w:val="none"/>
        </w:rPr>
        <w:t>井下生产炸药由当地爆破公司统一配送及使用</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废机油暂存于危废暂存间定期委托有资质的单位处理，储存量极小，危废暂存间做好防渗，对环境影响不大。</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（1）物质危险性识别</w:t>
      </w:r>
    </w:p>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本项目井下爆破使用的炸药主要成分为硝酸铵，根据《建设项目环境风险评价技术导则》附录B，硝酸铵为本项目主要的危险性物质，硝酸铵的危险特性见表</w:t>
      </w:r>
      <w:r>
        <w:rPr>
          <w:rFonts w:hint="eastAsia" w:ascii="Times New Roman" w:hAnsi="Times New Roman" w:eastAsia="宋体" w:cs="Times New Roman"/>
          <w:color w:val="auto"/>
          <w:kern w:val="0"/>
          <w:highlight w:val="none"/>
          <w:lang w:val="en-US" w:eastAsia="zh-CN"/>
        </w:rPr>
        <w:t>7</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lang w:val="en-US" w:eastAsia="zh-CN"/>
        </w:rPr>
        <w:t>5</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1</w:t>
      </w:r>
      <w:r>
        <w:rPr>
          <w:rFonts w:hint="default" w:ascii="Times New Roman" w:hAnsi="Times New Roman" w:eastAsia="宋体" w:cs="Times New Roman"/>
          <w:color w:val="auto"/>
          <w:kern w:val="0"/>
          <w:highlight w:val="none"/>
        </w:rPr>
        <w:t>。</w:t>
      </w:r>
    </w:p>
    <w:p>
      <w:pPr>
        <w:pStyle w:val="83"/>
        <w:spacing w:before="120" w:beforeLines="50" w:line="240" w:lineRule="atLeast"/>
        <w:ind w:firstLine="0" w:firstLineChars="0"/>
        <w:jc w:val="center"/>
        <w:rPr>
          <w:rFonts w:hint="default" w:ascii="Times New Roman" w:hAnsi="Times New Roman" w:eastAsia="宋体" w:cs="Times New Roman"/>
          <w:b/>
          <w:bCs w:val="0"/>
          <w:color w:val="auto"/>
          <w:spacing w:val="0"/>
          <w:kern w:val="2"/>
          <w:sz w:val="21"/>
          <w:szCs w:val="21"/>
          <w:highlight w:val="none"/>
        </w:rPr>
      </w:pPr>
      <w:r>
        <w:rPr>
          <w:rFonts w:hint="default" w:ascii="Times New Roman" w:hAnsi="Times New Roman" w:eastAsia="宋体" w:cs="Times New Roman"/>
          <w:b/>
          <w:bCs w:val="0"/>
          <w:color w:val="auto"/>
          <w:spacing w:val="0"/>
          <w:kern w:val="2"/>
          <w:sz w:val="21"/>
          <w:szCs w:val="21"/>
          <w:highlight w:val="none"/>
        </w:rPr>
        <w:t>表</w:t>
      </w:r>
      <w:r>
        <w:rPr>
          <w:rFonts w:hint="eastAsia" w:ascii="Times New Roman" w:hAnsi="Times New Roman" w:eastAsia="宋体" w:cs="Times New Roman"/>
          <w:b/>
          <w:bCs w:val="0"/>
          <w:color w:val="auto"/>
          <w:spacing w:val="0"/>
          <w:kern w:val="2"/>
          <w:sz w:val="21"/>
          <w:szCs w:val="21"/>
          <w:highlight w:val="none"/>
          <w:lang w:val="en-US" w:eastAsia="zh-CN"/>
        </w:rPr>
        <w:t>7</w:t>
      </w:r>
      <w:r>
        <w:rPr>
          <w:rFonts w:hint="default" w:ascii="Times New Roman" w:hAnsi="Times New Roman" w:eastAsia="宋体" w:cs="Times New Roman"/>
          <w:b/>
          <w:bCs w:val="0"/>
          <w:color w:val="auto"/>
          <w:spacing w:val="0"/>
          <w:kern w:val="2"/>
          <w:sz w:val="21"/>
          <w:szCs w:val="21"/>
          <w:highlight w:val="none"/>
          <w:lang w:eastAsia="zh-CN"/>
        </w:rPr>
        <w:t>.</w:t>
      </w:r>
      <w:r>
        <w:rPr>
          <w:rFonts w:hint="default" w:ascii="Times New Roman" w:hAnsi="Times New Roman" w:eastAsia="宋体" w:cs="Times New Roman"/>
          <w:b/>
          <w:bCs w:val="0"/>
          <w:color w:val="auto"/>
          <w:spacing w:val="0"/>
          <w:kern w:val="2"/>
          <w:sz w:val="21"/>
          <w:szCs w:val="21"/>
          <w:highlight w:val="none"/>
          <w:lang w:val="en-US" w:eastAsia="zh-CN"/>
        </w:rPr>
        <w:t>5</w:t>
      </w:r>
      <w:r>
        <w:rPr>
          <w:rFonts w:hint="default" w:ascii="Times New Roman" w:hAnsi="Times New Roman" w:eastAsia="宋体" w:cs="Times New Roman"/>
          <w:b/>
          <w:bCs w:val="0"/>
          <w:color w:val="auto"/>
          <w:spacing w:val="0"/>
          <w:kern w:val="2"/>
          <w:sz w:val="21"/>
          <w:szCs w:val="21"/>
          <w:highlight w:val="none"/>
        </w:rPr>
        <w:t>-</w:t>
      </w:r>
      <w:r>
        <w:rPr>
          <w:rFonts w:hint="default" w:ascii="Times New Roman" w:hAnsi="Times New Roman" w:eastAsia="宋体" w:cs="Times New Roman"/>
          <w:b/>
          <w:bCs w:val="0"/>
          <w:color w:val="auto"/>
          <w:spacing w:val="0"/>
          <w:kern w:val="2"/>
          <w:sz w:val="21"/>
          <w:szCs w:val="21"/>
          <w:highlight w:val="none"/>
          <w:lang w:val="en-US" w:eastAsia="zh-CN"/>
        </w:rPr>
        <w:t>1</w:t>
      </w:r>
      <w:r>
        <w:rPr>
          <w:rFonts w:hint="default" w:ascii="Times New Roman" w:hAnsi="Times New Roman" w:eastAsia="宋体" w:cs="Times New Roman"/>
          <w:b/>
          <w:bCs w:val="0"/>
          <w:color w:val="auto"/>
          <w:spacing w:val="0"/>
          <w:kern w:val="2"/>
          <w:sz w:val="21"/>
          <w:szCs w:val="21"/>
          <w:highlight w:val="none"/>
        </w:rPr>
        <w:t>硝酸铵的特性及危险特性</w:t>
      </w:r>
    </w:p>
    <w:tbl>
      <w:tblPr>
        <w:tblStyle w:val="45"/>
        <w:tblW w:w="928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477"/>
        <w:gridCol w:w="2769"/>
        <w:gridCol w:w="1384"/>
        <w:gridCol w:w="365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国标编号</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1942CAS号6484-52-2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中文名称</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硝酸铵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别名</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硝铵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分子式</w:t>
            </w:r>
          </w:p>
        </w:tc>
        <w:tc>
          <w:tcPr>
            <w:tcW w:w="2769"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NH</w:t>
            </w:r>
            <w:r>
              <w:rPr>
                <w:rFonts w:hint="default" w:ascii="Times New Roman" w:hAnsi="Times New Roman" w:eastAsia="宋体" w:cs="Times New Roman"/>
                <w:bCs/>
                <w:color w:val="auto"/>
                <w:highlight w:val="none"/>
                <w:vertAlign w:val="subscript"/>
              </w:rPr>
              <w:t>4</w:t>
            </w:r>
            <w:r>
              <w:rPr>
                <w:rFonts w:hint="default" w:ascii="Times New Roman" w:hAnsi="Times New Roman" w:eastAsia="宋体" w:cs="Times New Roman"/>
                <w:bCs/>
                <w:color w:val="auto"/>
                <w:highlight w:val="none"/>
              </w:rPr>
              <w:t>NO</w:t>
            </w:r>
            <w:r>
              <w:rPr>
                <w:rFonts w:hint="default" w:ascii="Times New Roman" w:hAnsi="Times New Roman" w:eastAsia="宋体" w:cs="Times New Roman"/>
                <w:bCs/>
                <w:color w:val="auto"/>
                <w:highlight w:val="none"/>
                <w:vertAlign w:val="subscript"/>
              </w:rPr>
              <w:t>3</w:t>
            </w:r>
          </w:p>
        </w:tc>
        <w:tc>
          <w:tcPr>
            <w:tcW w:w="1384"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外观与性状</w:t>
            </w:r>
          </w:p>
        </w:tc>
        <w:tc>
          <w:tcPr>
            <w:tcW w:w="365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无色无臭的透明结晶或呈白色小颗粒，有潮解性。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分子量</w:t>
            </w:r>
          </w:p>
        </w:tc>
        <w:tc>
          <w:tcPr>
            <w:tcW w:w="2769"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80.05</w:t>
            </w:r>
          </w:p>
        </w:tc>
        <w:tc>
          <w:tcPr>
            <w:tcW w:w="1384"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蒸汽压</w:t>
            </w:r>
          </w:p>
        </w:tc>
        <w:tc>
          <w:tcPr>
            <w:tcW w:w="365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熔点</w:t>
            </w:r>
          </w:p>
        </w:tc>
        <w:tc>
          <w:tcPr>
            <w:tcW w:w="2769"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bCs/>
                <w:color w:val="auto"/>
                <w:highlight w:val="none"/>
              </w:rPr>
              <w:t>169.6℃</w:t>
            </w:r>
            <w:r>
              <w:rPr>
                <w:rFonts w:hint="default" w:ascii="Times New Roman" w:hAnsi="Times New Roman" w:eastAsia="宋体" w:cs="Times New Roman"/>
                <w:color w:val="auto"/>
                <w:highlight w:val="none"/>
              </w:rPr>
              <w:t>沸点：210℃</w:t>
            </w:r>
          </w:p>
        </w:tc>
        <w:tc>
          <w:tcPr>
            <w:tcW w:w="1384"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溶解性</w:t>
            </w:r>
          </w:p>
        </w:tc>
        <w:tc>
          <w:tcPr>
            <w:tcW w:w="365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溶于水、乙醇、丙酮、氨水，不溶于乙醚</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密度</w:t>
            </w:r>
          </w:p>
        </w:tc>
        <w:tc>
          <w:tcPr>
            <w:tcW w:w="2769"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相对密度(水=1)1.72</w:t>
            </w:r>
          </w:p>
        </w:tc>
        <w:tc>
          <w:tcPr>
            <w:tcW w:w="1384"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用途</w:t>
            </w:r>
          </w:p>
        </w:tc>
        <w:tc>
          <w:tcPr>
            <w:tcW w:w="365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用作分析试剂、氧化剂、致冷剂、烟火和炸药原料。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禁配物</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强还原剂、强酸、易燃或可燃物、活性金属粉末。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健康</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危害</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呼吸道、眼及皮肤有刺激性。接触后可引起恶心、呕吐、头痛、虚弱、无力和虚脱等。大量接触可引起高铁血红蛋白血症，影响血液的携氧能力，出现紫绀、头痛、头晕、虚脱，甚至死亡。口服引起剧烈腹痛、呕吐、血便、休克、全身抽搐、昏迷，甚至死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毒理学资料</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LD</w:t>
            </w:r>
            <w:r>
              <w:rPr>
                <w:rFonts w:hint="default" w:ascii="Times New Roman" w:hAnsi="Times New Roman" w:eastAsia="宋体" w:cs="Times New Roman"/>
                <w:bCs/>
                <w:color w:val="auto"/>
                <w:highlight w:val="none"/>
                <w:vertAlign w:val="subscript"/>
              </w:rPr>
              <w:t>50</w:t>
            </w:r>
            <w:r>
              <w:rPr>
                <w:rFonts w:hint="default" w:ascii="Times New Roman" w:hAnsi="Times New Roman" w:eastAsia="宋体" w:cs="Times New Roman"/>
                <w:bCs/>
                <w:color w:val="auto"/>
                <w:highlight w:val="none"/>
              </w:rPr>
              <w:t>：4820mg/kg(小鼠经口)</w:t>
            </w:r>
          </w:p>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LD</w:t>
            </w:r>
            <w:r>
              <w:rPr>
                <w:rFonts w:hint="default" w:ascii="Times New Roman" w:hAnsi="Times New Roman" w:eastAsia="宋体" w:cs="Times New Roman"/>
                <w:bCs/>
                <w:color w:val="auto"/>
                <w:highlight w:val="none"/>
                <w:vertAlign w:val="subscript"/>
              </w:rPr>
              <w:t>50</w:t>
            </w:r>
            <w:r>
              <w:rPr>
                <w:rFonts w:hint="default" w:ascii="Times New Roman" w:hAnsi="Times New Roman" w:eastAsia="宋体" w:cs="Times New Roman"/>
                <w:bCs/>
                <w:color w:val="auto"/>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特性</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特性:强氧化剂。遇可燃物着火时，能助长火势。与可燃物粉末混合能发生激烈反应而爆炸。受强烈震动也会起爆。急剧加热时可发生爆炸。与还原剂、有机物、易燃物如硫、磷或金属粉末等混合可形成爆炸性混合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灭火方式</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消防人员须佩戴</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"https://baike.so.com/doc/5585473-5798067.html" \t "https://baike.so.com/doc/_blank"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防毒面具</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、穿全身消防服，在上风向灭火。切勿将水流直接射至熔融物，以免引起严重的流淌火灾或引起剧烈的沸溅。遇大火，消防人员须在有防护掩蔽处操作。灭火剂:水、雾状水。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泄漏应急处置</w:t>
            </w:r>
          </w:p>
        </w:tc>
        <w:tc>
          <w:tcPr>
            <w:tcW w:w="7810" w:type="dxa"/>
            <w:gridSpan w:val="3"/>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隔离泄漏污染区，限制出入。建议应急处理人员戴防尘面具(全面罩)，穿防毒服。不要直接接触泄漏物。勿使泄漏物与还原剂、有机物、易燃物或金属粉末接触。小量泄漏:小心扫起，收集于干燥、洁净、有盖的容器中。大量泄漏:收集回收或运至废物处理场所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477"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处置与储存</w:t>
            </w:r>
          </w:p>
        </w:tc>
        <w:tc>
          <w:tcPr>
            <w:tcW w:w="7810" w:type="dxa"/>
            <w:gridSpan w:val="3"/>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操作注意事项:密闭操作，加强通风。操作人员必须经过专门培训，严格遵守操作规程。建议操作人员佩戴自吸过滤式防尘口罩，戴化学安全防护眼镜，穿聚乙烯防毒服，戴橡胶手套。远离火种、热源，工作场所严禁吸烟。远离易燃、可燃物。避免产生粉尘。避免与还原剂、酸类、活性金属粉末接触。搬运时要轻装轻卸，防止包装及容器损坏。配备相应品种和数量的消防器材及</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"https://baike.so.com/doc/7889213-8163308.html" \t "https://baike.so.com/doc/_blank"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泄漏应急处理</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设备。倒空的容器可能残留有害物。</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②储存注意事项:储存于阴凉、通风的</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HYPERLINK "https://baike.so.com/doc/3755535-3945329.html" \t "https://baike.so.com/doc/_blank" </w:instrText>
            </w:r>
            <w:r>
              <w:rPr>
                <w:rFonts w:hint="default" w:ascii="Times New Roman" w:hAnsi="Times New Roman" w:eastAsia="宋体" w:cs="Times New Roman"/>
                <w:color w:val="auto"/>
                <w:highlight w:val="none"/>
              </w:rPr>
              <w:fldChar w:fldCharType="separate"/>
            </w:r>
            <w:r>
              <w:rPr>
                <w:rFonts w:hint="default" w:ascii="Times New Roman" w:hAnsi="Times New Roman" w:eastAsia="宋体" w:cs="Times New Roman"/>
                <w:color w:val="auto"/>
                <w:highlight w:val="none"/>
              </w:rPr>
              <w:t>库房</w: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。远离火种、热源。应与易(可)燃物、还原剂、酸类、活性金属粉末分开存放，切忌混储。储区应备有合适的材料收容泄漏物。禁止震动、撞击和摩擦。</w:t>
            </w:r>
          </w:p>
        </w:tc>
      </w:tr>
    </w:tbl>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本项目使用的炸药（硝酸铵）具有爆炸特性，但不是有毒有害物质。主要分布于井巷爆破点。</w:t>
      </w:r>
    </w:p>
    <w:p>
      <w:pPr>
        <w:pStyle w:val="83"/>
        <w:spacing w:before="120" w:beforeLines="50" w:line="240" w:lineRule="atLeast"/>
        <w:ind w:firstLine="0" w:firstLineChars="0"/>
        <w:jc w:val="center"/>
        <w:rPr>
          <w:rFonts w:hint="default" w:ascii="Times New Roman" w:hAnsi="Times New Roman" w:eastAsia="宋体" w:cs="Times New Roman"/>
          <w:b/>
          <w:bCs w:val="0"/>
          <w:color w:val="auto"/>
          <w:spacing w:val="0"/>
          <w:kern w:val="2"/>
          <w:sz w:val="21"/>
          <w:szCs w:val="21"/>
          <w:highlight w:val="none"/>
        </w:rPr>
      </w:pPr>
      <w:r>
        <w:rPr>
          <w:rFonts w:hint="default" w:ascii="Times New Roman" w:hAnsi="Times New Roman" w:eastAsia="宋体" w:cs="Times New Roman"/>
          <w:b/>
          <w:bCs w:val="0"/>
          <w:color w:val="auto"/>
          <w:spacing w:val="0"/>
          <w:kern w:val="2"/>
          <w:sz w:val="21"/>
          <w:szCs w:val="21"/>
          <w:highlight w:val="none"/>
        </w:rPr>
        <w:t>表</w:t>
      </w:r>
      <w:r>
        <w:rPr>
          <w:rFonts w:hint="eastAsia" w:ascii="Times New Roman" w:hAnsi="Times New Roman" w:eastAsia="宋体" w:cs="Times New Roman"/>
          <w:b/>
          <w:bCs w:val="0"/>
          <w:color w:val="auto"/>
          <w:spacing w:val="0"/>
          <w:kern w:val="2"/>
          <w:sz w:val="21"/>
          <w:szCs w:val="21"/>
          <w:highlight w:val="none"/>
          <w:lang w:val="en-US" w:eastAsia="zh-CN"/>
        </w:rPr>
        <w:t>7</w:t>
      </w:r>
      <w:r>
        <w:rPr>
          <w:rFonts w:hint="default" w:ascii="Times New Roman" w:hAnsi="Times New Roman" w:eastAsia="宋体" w:cs="Times New Roman"/>
          <w:b/>
          <w:bCs w:val="0"/>
          <w:color w:val="auto"/>
          <w:spacing w:val="0"/>
          <w:kern w:val="2"/>
          <w:sz w:val="21"/>
          <w:szCs w:val="21"/>
          <w:highlight w:val="none"/>
          <w:lang w:eastAsia="zh-CN"/>
        </w:rPr>
        <w:t>.</w:t>
      </w:r>
      <w:r>
        <w:rPr>
          <w:rFonts w:hint="default" w:ascii="Times New Roman" w:hAnsi="Times New Roman" w:eastAsia="宋体" w:cs="Times New Roman"/>
          <w:b/>
          <w:bCs w:val="0"/>
          <w:color w:val="auto"/>
          <w:spacing w:val="0"/>
          <w:kern w:val="2"/>
          <w:sz w:val="21"/>
          <w:szCs w:val="21"/>
          <w:highlight w:val="none"/>
          <w:lang w:val="en-US" w:eastAsia="zh-CN"/>
        </w:rPr>
        <w:t>5</w:t>
      </w:r>
      <w:r>
        <w:rPr>
          <w:rFonts w:hint="default" w:ascii="Times New Roman" w:hAnsi="Times New Roman" w:eastAsia="宋体" w:cs="Times New Roman"/>
          <w:b/>
          <w:bCs w:val="0"/>
          <w:color w:val="auto"/>
          <w:spacing w:val="0"/>
          <w:kern w:val="2"/>
          <w:sz w:val="21"/>
          <w:szCs w:val="21"/>
          <w:highlight w:val="none"/>
        </w:rPr>
        <w:t>-</w:t>
      </w:r>
      <w:r>
        <w:rPr>
          <w:rFonts w:hint="default" w:ascii="Times New Roman" w:hAnsi="Times New Roman" w:eastAsia="宋体" w:cs="Times New Roman"/>
          <w:b/>
          <w:bCs w:val="0"/>
          <w:color w:val="auto"/>
          <w:spacing w:val="0"/>
          <w:kern w:val="2"/>
          <w:sz w:val="21"/>
          <w:szCs w:val="21"/>
          <w:highlight w:val="none"/>
          <w:lang w:val="en-US" w:eastAsia="zh-CN"/>
        </w:rPr>
        <w:t>2机油理化性质及危险性分析表</w:t>
      </w:r>
    </w:p>
    <w:tbl>
      <w:tblPr>
        <w:tblStyle w:val="45"/>
        <w:tblW w:w="928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50"/>
        <w:gridCol w:w="1020"/>
        <w:gridCol w:w="832"/>
        <w:gridCol w:w="926"/>
        <w:gridCol w:w="927"/>
        <w:gridCol w:w="2220"/>
        <w:gridCol w:w="221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名称</w:t>
            </w:r>
          </w:p>
        </w:tc>
        <w:tc>
          <w:tcPr>
            <w:tcW w:w="3705" w:type="dxa"/>
            <w:gridSpan w:val="4"/>
            <w:tcBorders>
              <w:tl2br w:val="nil"/>
              <w:tr2bl w:val="nil"/>
            </w:tcBorders>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Cs/>
                <w:color w:val="auto"/>
                <w:highlight w:val="none"/>
                <w:lang w:val="en-US" w:eastAsia="zh-CN"/>
              </w:rPr>
              <w:t>机油</w:t>
            </w:r>
          </w:p>
        </w:tc>
        <w:tc>
          <w:tcPr>
            <w:tcW w:w="2220" w:type="dxa"/>
            <w:tcBorders>
              <w:tl2br w:val="nil"/>
              <w:tr2bl w:val="nil"/>
            </w:tcBorders>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毒性</w:t>
            </w:r>
          </w:p>
        </w:tc>
        <w:tc>
          <w:tcPr>
            <w:tcW w:w="2212" w:type="dxa"/>
            <w:tcBorders>
              <w:tl2br w:val="nil"/>
              <w:tr2bl w:val="nil"/>
            </w:tcBorders>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有毒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vMerge w:val="restart"/>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理化特性</w:t>
            </w:r>
          </w:p>
        </w:tc>
        <w:tc>
          <w:tcPr>
            <w:tcW w:w="102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熔点℃</w:t>
            </w:r>
          </w:p>
        </w:tc>
        <w:tc>
          <w:tcPr>
            <w:tcW w:w="832" w:type="dxa"/>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无</w:t>
            </w:r>
          </w:p>
        </w:tc>
        <w:tc>
          <w:tcPr>
            <w:tcW w:w="926"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沸点℃</w:t>
            </w:r>
          </w:p>
        </w:tc>
        <w:tc>
          <w:tcPr>
            <w:tcW w:w="927" w:type="dxa"/>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290-554</w:t>
            </w:r>
          </w:p>
        </w:tc>
        <w:tc>
          <w:tcPr>
            <w:tcW w:w="222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相对密度(水=1)</w:t>
            </w:r>
          </w:p>
        </w:tc>
        <w:tc>
          <w:tcPr>
            <w:tcW w:w="2212" w:type="dxa"/>
            <w:tcBorders>
              <w:tl2br w:val="nil"/>
              <w:tr2bl w:val="nil"/>
            </w:tcBorders>
            <w:vAlign w:val="center"/>
          </w:tcPr>
          <w:p>
            <w:pPr>
              <w:pStyle w:val="104"/>
              <w:jc w:val="center"/>
              <w:rPr>
                <w:rFonts w:hint="default" w:ascii="Times New Roman" w:hAnsi="Times New Roman" w:eastAsia="宋体" w:cs="Times New Roman"/>
                <w:color w:val="auto"/>
                <w:highlight w:val="none"/>
                <w:vertAlign w:val="superscript"/>
                <w:lang w:val="en-US" w:eastAsia="zh-CN"/>
              </w:rPr>
            </w:pPr>
            <w:r>
              <w:rPr>
                <w:rFonts w:hint="default" w:ascii="Times New Roman" w:hAnsi="Times New Roman" w:eastAsia="宋体" w:cs="Times New Roman"/>
                <w:color w:val="auto"/>
                <w:highlight w:val="none"/>
                <w:lang w:val="en-US" w:eastAsia="zh-CN"/>
              </w:rPr>
              <w:t>869kg/m</w:t>
            </w:r>
            <w:r>
              <w:rPr>
                <w:rFonts w:hint="default" w:ascii="Times New Roman" w:hAnsi="Times New Roman" w:eastAsia="宋体" w:cs="Times New Roman"/>
                <w:color w:val="auto"/>
                <w:highlight w:val="none"/>
                <w:vertAlign w:val="superscript"/>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vMerge w:val="continue"/>
            <w:tcBorders>
              <w:tl2br w:val="nil"/>
              <w:tr2bl w:val="nil"/>
            </w:tcBorders>
            <w:vAlign w:val="center"/>
          </w:tcPr>
          <w:p>
            <w:pPr>
              <w:pStyle w:val="104"/>
              <w:jc w:val="center"/>
              <w:rPr>
                <w:rFonts w:hint="default" w:ascii="Times New Roman" w:hAnsi="Times New Roman" w:eastAsia="宋体" w:cs="Times New Roman"/>
                <w:color w:val="auto"/>
                <w:highlight w:val="none"/>
              </w:rPr>
            </w:pPr>
          </w:p>
        </w:tc>
        <w:tc>
          <w:tcPr>
            <w:tcW w:w="1020" w:type="dxa"/>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稳定性</w:t>
            </w:r>
          </w:p>
        </w:tc>
        <w:tc>
          <w:tcPr>
            <w:tcW w:w="832" w:type="dxa"/>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稳定</w:t>
            </w:r>
          </w:p>
        </w:tc>
        <w:tc>
          <w:tcPr>
            <w:tcW w:w="926" w:type="dxa"/>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闪点</w:t>
            </w:r>
            <w:r>
              <w:rPr>
                <w:rFonts w:hint="default" w:ascii="Times New Roman" w:hAnsi="Times New Roman" w:eastAsia="宋体" w:cs="Times New Roman"/>
                <w:color w:val="auto"/>
                <w:highlight w:val="none"/>
              </w:rPr>
              <w:t>℃</w:t>
            </w:r>
          </w:p>
        </w:tc>
        <w:tc>
          <w:tcPr>
            <w:tcW w:w="927" w:type="dxa"/>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240</w:t>
            </w:r>
          </w:p>
        </w:tc>
        <w:tc>
          <w:tcPr>
            <w:tcW w:w="222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相对</w:t>
            </w:r>
            <w:r>
              <w:rPr>
                <w:rFonts w:hint="default" w:ascii="Times New Roman" w:hAnsi="Times New Roman" w:eastAsia="宋体" w:cs="Times New Roman"/>
                <w:color w:val="auto"/>
                <w:highlight w:val="none"/>
                <w:lang w:val="en-US" w:eastAsia="zh-CN"/>
              </w:rPr>
              <w:t>蒸汽</w:t>
            </w:r>
            <w:r>
              <w:rPr>
                <w:rFonts w:hint="default" w:ascii="Times New Roman" w:hAnsi="Times New Roman" w:eastAsia="宋体" w:cs="Times New Roman"/>
                <w:color w:val="auto"/>
                <w:highlight w:val="none"/>
              </w:rPr>
              <w:t>密度(</w:t>
            </w:r>
            <w:r>
              <w:rPr>
                <w:rFonts w:hint="default" w:ascii="Times New Roman" w:hAnsi="Times New Roman" w:eastAsia="宋体" w:cs="Times New Roman"/>
                <w:color w:val="auto"/>
                <w:highlight w:val="none"/>
                <w:lang w:val="en-US" w:eastAsia="zh-CN"/>
              </w:rPr>
              <w:t>空气</w:t>
            </w:r>
            <w:r>
              <w:rPr>
                <w:rFonts w:hint="default" w:ascii="Times New Roman" w:hAnsi="Times New Roman" w:eastAsia="宋体" w:cs="Times New Roman"/>
                <w:color w:val="auto"/>
                <w:highlight w:val="none"/>
              </w:rPr>
              <w:t>=1)</w:t>
            </w:r>
          </w:p>
        </w:tc>
        <w:tc>
          <w:tcPr>
            <w:tcW w:w="2212" w:type="dxa"/>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Cs/>
                <w:color w:val="auto"/>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vMerge w:val="continue"/>
            <w:tcBorders>
              <w:tl2br w:val="nil"/>
              <w:tr2bl w:val="nil"/>
            </w:tcBorders>
            <w:vAlign w:val="center"/>
          </w:tcPr>
          <w:p>
            <w:pPr>
              <w:pStyle w:val="104"/>
              <w:jc w:val="center"/>
              <w:rPr>
                <w:rFonts w:hint="default" w:ascii="Times New Roman" w:hAnsi="Times New Roman" w:eastAsia="宋体" w:cs="Times New Roman"/>
                <w:color w:val="auto"/>
                <w:highlight w:val="none"/>
              </w:rPr>
            </w:pPr>
          </w:p>
        </w:tc>
        <w:tc>
          <w:tcPr>
            <w:tcW w:w="1852" w:type="dxa"/>
            <w:gridSpan w:val="2"/>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危险特性</w:t>
            </w:r>
          </w:p>
        </w:tc>
        <w:tc>
          <w:tcPr>
            <w:tcW w:w="1853" w:type="dxa"/>
            <w:gridSpan w:val="2"/>
            <w:tcBorders>
              <w:tl2br w:val="nil"/>
              <w:tr2bl w:val="nil"/>
            </w:tcBorders>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1"/>
                <w:szCs w:val="24"/>
                <w:highlight w:val="none"/>
              </w:rPr>
              <w:t>遇明火、高热可</w:t>
            </w:r>
            <w:r>
              <w:rPr>
                <w:rFonts w:hint="default" w:ascii="Times New Roman" w:hAnsi="Times New Roman" w:eastAsia="宋体" w:cs="Times New Roman"/>
                <w:color w:val="auto"/>
                <w:sz w:val="21"/>
                <w:szCs w:val="24"/>
                <w:highlight w:val="none"/>
                <w:lang w:val="en-US" w:eastAsia="zh-CN"/>
              </w:rPr>
              <w:t>燃</w:t>
            </w:r>
          </w:p>
        </w:tc>
        <w:tc>
          <w:tcPr>
            <w:tcW w:w="222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4"/>
                <w:highlight w:val="none"/>
              </w:rPr>
              <w:t>避免接触条件</w:t>
            </w:r>
          </w:p>
        </w:tc>
        <w:tc>
          <w:tcPr>
            <w:tcW w:w="2212"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4"/>
                <w:highlight w:val="none"/>
              </w:rPr>
              <w:t>极端温度与阳光直晒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健康危害</w:t>
            </w:r>
          </w:p>
        </w:tc>
        <w:tc>
          <w:tcPr>
            <w:tcW w:w="8137" w:type="dxa"/>
            <w:gridSpan w:val="6"/>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急性吸入，可出现乏力、头晕、头痛、恶心，严重者可引起油脂性肺炎。慢接触者，暴露部位可发生油性痤疮和接触性皮炎。可引起神经衰弱综合征，呼吸道和眼刺激症状及慢性油脂性肺炎。有资料报道，接触石油润滑油类的工人，有致癌的病例报告。</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侵入途径：吸入、食入</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个人防护</w:t>
            </w:r>
          </w:p>
        </w:tc>
        <w:tc>
          <w:tcPr>
            <w:tcW w:w="8137" w:type="dxa"/>
            <w:gridSpan w:val="6"/>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呼吸系统防护：空气中浓度超标时，必须佩戴自吸过滤式防毒面具（半面罩）。紧急事态抢救或撤离时，应该佩戴空气呼吸器。</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眼睛防护：戴化学安全防护眼镜。</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身体防护：穿防毒物渗透工作服</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手防护：戴橡胶耐油手套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操作处理方法</w:t>
            </w:r>
          </w:p>
        </w:tc>
        <w:tc>
          <w:tcPr>
            <w:tcW w:w="8137" w:type="dxa"/>
            <w:gridSpan w:val="6"/>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密闭操作，注意通风。操作人员必须经过专门培训，严格遵守操作规程。建议操作人员佩戴自吸过滤式防毒面具（半面罩），戴化学安全防护眼镜，穿防毒物渗透工作服，戴橡胶耐油手套。远离火种、热源，工作场所严禁吸烟。使用防爆型的通风系统和设备，防止蒸气泄漏到工作场所空气中。避免与氧化剂接触。搬运时要轻装轻卸，防止包装及容器损坏。</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配备相应品种和数量的消防器材及泄漏应急处理设备。倒空的容器可能残留有害物。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急救措施</w:t>
            </w:r>
          </w:p>
        </w:tc>
        <w:tc>
          <w:tcPr>
            <w:tcW w:w="8137" w:type="dxa"/>
            <w:gridSpan w:val="6"/>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皮肤接触：用肥皂和水清洗接触的部位。如果产品被注入皮下或者人体任何部位，无论伤口的外观或大小如何，被注射者必须立即由医生依照外科急救进行检查。即使高压注入后的最初症状轻微或者无症状，在事故最初几个小时内及早进行外科处理可以显著减少最终伤害的程度。</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眼睛接触：用水彻底冲洗。若发生刺激，寻求医疗援助。</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食入：通常不需急救。如果感觉不适请就医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运输注意事项</w:t>
            </w:r>
          </w:p>
        </w:tc>
        <w:tc>
          <w:tcPr>
            <w:tcW w:w="8137" w:type="dxa"/>
            <w:gridSpan w:val="6"/>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输前应先检查包装容器是否完整、密封，运输过程中要确保容器不泄露、不倒塌、不坠落、不损坏。严禁与氧化剂、食用化学品等混装混运。运输车辆必须彻底清洗、消毒，否则不得装运其它物品。船运时，配装位置应远离卧室、厨房、并与机舱、电源、火源等部位隔离。公路运输时要按规定路线行驶。</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储存注意事项</w:t>
            </w:r>
          </w:p>
        </w:tc>
        <w:tc>
          <w:tcPr>
            <w:tcW w:w="8137" w:type="dxa"/>
            <w:gridSpan w:val="6"/>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储存于阴凉、通风的库房。远离火种、热源。应与氧化剂分开存放，切忌混储。配备相应品种和数量的消防器材。储区应备有泄漏应急处理设备和合适的收容材料。</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泄露处理</w:t>
            </w:r>
          </w:p>
        </w:tc>
        <w:tc>
          <w:tcPr>
            <w:tcW w:w="8137" w:type="dxa"/>
            <w:gridSpan w:val="6"/>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迅速撤离泄漏污染区人员至安全区，并进行隔离，严格限制出入。切断火源。建议应急处理人员带自给正压式呼吸器，穿防毒服。尽可能切断泄漏源。防止进入下水道、排洪沟等限制性空间。小量泄漏：用砂土或其他不燃材料吸附或吸收。大量泄漏：构筑围堤或挖坑收容。用泵转移至槽车或专用收集器内，回收或运至废物处理场所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150" w:type="dxa"/>
            <w:tcBorders>
              <w:tl2br w:val="nil"/>
              <w:tr2bl w:val="nil"/>
            </w:tcBorders>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消防措施</w:t>
            </w:r>
          </w:p>
        </w:tc>
        <w:tc>
          <w:tcPr>
            <w:tcW w:w="8137" w:type="dxa"/>
            <w:gridSpan w:val="6"/>
            <w:tcBorders>
              <w:tl2br w:val="nil"/>
              <w:tr2bl w:val="nil"/>
            </w:tcBorders>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消防人员须佩戴防毒面具、穿全身消防服，在上风向灭火。尽可能将容器从火场移至空旷处。喷水保持火场容器冷却，直至灭火结束。处在火场中的容器若已变色或从安全泄压装置中产生声音，逆序马上撤离。</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灭火器：雾状水、泡沫、干粉、二氧化碳、砂土。</w:t>
            </w:r>
          </w:p>
        </w:tc>
      </w:tr>
    </w:tbl>
    <w:p>
      <w:pPr>
        <w:pStyle w:val="37"/>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highlight w:val="none"/>
          <w:lang w:val="en-US" w:eastAsia="zh-CN"/>
        </w:rPr>
        <w:t>本项目废机油暂存于危废暂存间定期委托有资质的单位处理，储存量极小，危废暂存间做好防渗，对环境影响不大。</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（2）生产系统危险性识别</w:t>
      </w:r>
    </w:p>
    <w:p>
      <w:pPr>
        <w:autoSpaceDE w:val="0"/>
        <w:autoSpaceDN w:val="0"/>
        <w:ind w:firstLine="48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根据工艺流程，本项目生产工艺涉及危险物质的单元主要是井下爆破，爆破一次，可供井下1~5天生产。单次最大使用乳化炸药（主要成分硝酸铵）为0.</w:t>
      </w:r>
      <w:r>
        <w:rPr>
          <w:rFonts w:hint="default" w:ascii="Times New Roman" w:hAnsi="Times New Roman" w:eastAsia="宋体" w:cs="Times New Roman"/>
          <w:color w:val="auto"/>
          <w:kern w:val="0"/>
          <w:highlight w:val="none"/>
          <w:lang w:val="en-US" w:eastAsia="zh-CN"/>
        </w:rPr>
        <w:t>1</w:t>
      </w:r>
      <w:r>
        <w:rPr>
          <w:rFonts w:hint="default" w:ascii="Times New Roman" w:hAnsi="Times New Roman" w:eastAsia="宋体" w:cs="Times New Roman"/>
          <w:color w:val="auto"/>
          <w:kern w:val="0"/>
          <w:highlight w:val="none"/>
        </w:rPr>
        <w:t>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本项目主要危险物质为井下爆破使用的炸药（主要成分硝酸铵），本项目工业场地不设置炸药库，不设置炸药的临时储存等场所，即运即用，全部委托当地爆破公司。根据分析，</w:t>
      </w:r>
      <w:r>
        <w:rPr>
          <w:rFonts w:hint="default" w:ascii="Times New Roman" w:hAnsi="Times New Roman" w:eastAsia="宋体" w:cs="Times New Roman"/>
          <w:color w:val="auto"/>
          <w:highlight w:val="none"/>
        </w:rPr>
        <w:t>爆破炸药在工业场地内遇引爆源或组装操作不当导致的爆炸事故，结合国内其它同类项目遇到的类似风险，分析得出造成爆炸事故的主要原因如下：</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①炸药的暴力装卸；</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②存在明火等引爆源；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③炸药违章发放。</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rPr>
        <w:t>本项目产生的废机油置于油桶中，放置于危废暂存间。建设项目风险事故主要体现在废机油泄漏、火灾、污染方面</w:t>
      </w:r>
      <w:r>
        <w:rPr>
          <w:rFonts w:hint="default" w:ascii="Times New Roman" w:hAnsi="Times New Roman" w:eastAsia="宋体" w:cs="Times New Roman"/>
          <w:color w:val="auto"/>
          <w:sz w:val="24"/>
          <w:szCs w:val="24"/>
          <w:highlight w:val="none"/>
          <w:lang w:eastAsia="zh-CN"/>
        </w:rPr>
        <w:t>。</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（3）可能影响环境的途径</w:t>
      </w:r>
    </w:p>
    <w:p>
      <w:pPr>
        <w:spacing w:beforeLines="0" w:afterLines="0"/>
        <w:jc w:val="left"/>
        <w:rPr>
          <w:rFonts w:hint="default" w:ascii="Times New Roman" w:hAnsi="Times New Roman" w:eastAsia="宋体" w:cs="Times New Roman"/>
          <w:color w:val="auto"/>
          <w:kern w:val="0"/>
          <w:highlight w:val="none"/>
          <w:lang w:eastAsia="zh-CN"/>
        </w:rPr>
      </w:pPr>
      <w:r>
        <w:rPr>
          <w:rFonts w:hint="default" w:ascii="Times New Roman" w:hAnsi="Times New Roman" w:eastAsia="宋体" w:cs="Times New Roman"/>
          <w:color w:val="auto"/>
          <w:kern w:val="0"/>
          <w:highlight w:val="none"/>
        </w:rPr>
        <w:t>炸药爆炸后产生的有害物质主要氮氧化物和爆炸粉尘，主要通过大气环境传播，对周围居民生活及大气环境带来污染</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sz w:val="24"/>
          <w:szCs w:val="24"/>
          <w:highlight w:val="none"/>
        </w:rPr>
        <w:t>废机油由于某些原因导致泄露，并且未得到及时有效的控制，造成污染事故和火灾事故</w:t>
      </w:r>
    </w:p>
    <w:p>
      <w:pPr>
        <w:pStyle w:val="4"/>
        <w:numPr>
          <w:ilvl w:val="1"/>
          <w:numId w:val="12"/>
        </w:numPr>
        <w:bidi w:val="0"/>
        <w:ind w:left="0" w:leftChars="0" w:firstLineChars="0"/>
        <w:rPr>
          <w:rFonts w:hint="default" w:ascii="Times New Roman" w:hAnsi="Times New Roman" w:eastAsia="宋体" w:cs="Times New Roman"/>
          <w:color w:val="auto"/>
          <w:highlight w:val="none"/>
        </w:rPr>
      </w:pPr>
      <w:bookmarkStart w:id="606" w:name="_Toc25665"/>
      <w:r>
        <w:rPr>
          <w:rFonts w:hint="default" w:ascii="Times New Roman" w:hAnsi="Times New Roman" w:eastAsia="宋体" w:cs="Times New Roman"/>
          <w:color w:val="auto"/>
          <w:highlight w:val="none"/>
        </w:rPr>
        <w:t>环境风险分析</w:t>
      </w:r>
      <w:bookmarkEnd w:id="606"/>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（1）废机油泄漏、火灾对环境的影响</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①地下水环境影响：可能会导致地下水水质因子短时间内超标；</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②土壤环境影响：可能会导致土壤因子短时间内超标；</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③环境空气影响：火灾必然将短时间内形成一定量的有毒有害气体，将导致</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当地大气环境中的有毒有害气体瞬时超标，给矿区大气环境带来污染；</w:t>
      </w:r>
    </w:p>
    <w:p>
      <w:pPr>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④生态环境影响：可能污染周边的植物，并可能造成植物死亡。</w:t>
      </w:r>
    </w:p>
    <w:p>
      <w:pPr>
        <w:numPr>
          <w:ilvl w:val="0"/>
          <w:numId w:val="17"/>
        </w:numPr>
        <w:ind w:left="1440" w:leftChars="0" w:hanging="72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炸药意外爆炸对环境的影响</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rPr>
        <w:t>根据分析本项目炸药发生爆炸可能对周围环境产生影响，主要发生在工业场地装卸处或者井下巷道，乳化炸药遇到明火爆炸产生的有害气体主要是氮氧化物及爆炸粉尘。</w:t>
      </w:r>
      <w:r>
        <w:rPr>
          <w:rFonts w:hint="default" w:ascii="Times New Roman" w:hAnsi="Times New Roman" w:eastAsia="宋体" w:cs="Times New Roman"/>
          <w:color w:val="auto"/>
          <w:highlight w:val="none"/>
        </w:rPr>
        <w:t>爆炸后短时间内形成一定量的有毒有害气体，将导致大气环境中的有毒有害气体瞬时超标。由于本项目单次使用量最大为0.</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t，使用量较小，产生的有害气体也相对较少。</w:t>
      </w:r>
    </w:p>
    <w:p>
      <w:pPr>
        <w:autoSpaceDE w:val="0"/>
        <w:autoSpaceDN w:val="0"/>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highlight w:val="none"/>
        </w:rPr>
        <w:t>对大气环境的影响</w:t>
      </w:r>
    </w:p>
    <w:p>
      <w:pPr>
        <w:ind w:firstLine="48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本项目位于山区，炸药爆炸为瞬间产生，本项目单次使用炸药量较小，产生的有害气体及粉尘也相对较小，</w:t>
      </w:r>
      <w:r>
        <w:rPr>
          <w:rFonts w:hint="default" w:ascii="Times New Roman" w:hAnsi="Times New Roman" w:eastAsia="宋体" w:cs="Times New Roman"/>
          <w:color w:val="auto"/>
          <w:highlight w:val="none"/>
        </w:rPr>
        <w:t>对环境的影响是暂时的，随着时间的推移，其将会逐渐稀释甚至消失。短时间内对大气环境影响较小。</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highlight w:val="none"/>
        </w:rPr>
        <w:t>对周围居民的影响</w:t>
      </w:r>
    </w:p>
    <w:p>
      <w:pPr>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rPr>
        <w:t>距离本项目工业场地最近居民距离为</w:t>
      </w:r>
      <w:r>
        <w:rPr>
          <w:rFonts w:hint="default" w:ascii="Times New Roman" w:hAnsi="Times New Roman" w:eastAsia="宋体" w:cs="Times New Roman"/>
          <w:color w:val="auto"/>
          <w:highlight w:val="none"/>
          <w:lang w:val="en-US" w:eastAsia="zh-CN"/>
        </w:rPr>
        <w:t>106</w:t>
      </w:r>
      <w:r>
        <w:rPr>
          <w:rFonts w:hint="default" w:ascii="Times New Roman" w:hAnsi="Times New Roman" w:eastAsia="宋体" w:cs="Times New Roman"/>
          <w:color w:val="auto"/>
          <w:highlight w:val="none"/>
        </w:rPr>
        <w:t>m，井下巷道或地表发生爆炸时，对地表最近居民影响较小。</w:t>
      </w:r>
    </w:p>
    <w:p>
      <w:pPr>
        <w:pStyle w:val="4"/>
        <w:numPr>
          <w:ilvl w:val="1"/>
          <w:numId w:val="12"/>
        </w:numPr>
        <w:bidi w:val="0"/>
        <w:ind w:left="0" w:leftChars="0" w:firstLineChars="0"/>
        <w:rPr>
          <w:rFonts w:hint="default" w:ascii="Times New Roman" w:hAnsi="Times New Roman" w:eastAsia="宋体" w:cs="Times New Roman"/>
          <w:color w:val="auto"/>
          <w:highlight w:val="none"/>
        </w:rPr>
      </w:pPr>
      <w:bookmarkStart w:id="607" w:name="_Toc21213"/>
      <w:r>
        <w:rPr>
          <w:rFonts w:hint="default" w:ascii="Times New Roman" w:hAnsi="Times New Roman" w:eastAsia="宋体" w:cs="Times New Roman"/>
          <w:color w:val="auto"/>
          <w:highlight w:val="none"/>
        </w:rPr>
        <w:t>环境风险防治措施</w:t>
      </w:r>
      <w:bookmarkEnd w:id="605"/>
      <w:r>
        <w:rPr>
          <w:rFonts w:hint="default" w:ascii="Times New Roman" w:hAnsi="Times New Roman" w:eastAsia="宋体" w:cs="Times New Roman"/>
          <w:color w:val="auto"/>
          <w:highlight w:val="none"/>
        </w:rPr>
        <w:t>及应急要求</w:t>
      </w:r>
      <w:bookmarkEnd w:id="607"/>
    </w:p>
    <w:p>
      <w:pPr>
        <w:pStyle w:val="78"/>
        <w:numPr>
          <w:ilvl w:val="0"/>
          <w:numId w:val="18"/>
        </w:numPr>
        <w:ind w:firstLine="488"/>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爆炸防范措施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建设单位应从以下几个方面做好炸药的风险防范措施：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①炸药运输及装卸期间，工业场地严禁烟火，防治炸药遇到明火后发生事故；</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②严禁作业人员穿化纤衣服；</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③搬运和储存火工品必须符合有关规定并严禁撞击，摔打火工品；</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④事故状态下，安排专员进行疏散通道，并进行安置；</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⑤炸药运输及装卸前，采用洒水车定期湿润地面，并安排洒水车在工业场地待命</w:t>
      </w:r>
      <w:r>
        <w:rPr>
          <w:rFonts w:hint="default" w:ascii="Times New Roman" w:hAnsi="Times New Roman" w:eastAsia="宋体" w:cs="Times New Roman"/>
          <w:bCs/>
          <w:color w:val="auto"/>
          <w:highlight w:val="none"/>
        </w:rPr>
        <w:t>。</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2、废机油泄漏防范措施</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（1）危废暂存间采用防风、防雨、防晒、防渗处理，防止危险废物在贮存时可能产生的废液渗漏对地下水的污染。</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（2）危废暂存间有标识，定期委托有资质单位对废机油及废油桶进行处置。</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3、火灾防范措施</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（1）加强易燃品管理</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建筑符合《建筑设计防火规范》(GB50016—2014)的有关规定；易燃原料统一管理，周围设置警示牌，配备消防器材，并由专人负责管理。</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（2）火灾应急处理措施</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一旦发生事故，应马上发出火灾警报，迅速疏散非应急人员；停止矿区内的全部生产活动；向应急中心汇报事情的事态，初步预测可能对人员、管线和设备等造成的危害；调整应急人员及装备，组成火灾事故应急救援队，在现场指挥人员的指挥下，及时开展灭火行动；针对火灾现场的人员和管线设备等，采取保护性措施，如开启水喷淋为其他未燃烧的储存设施喷洒冷却水，降低火焰辐射强度，减轻人员伤亡和避免火灾蔓延；在条件允许的情况下，灭火队员应站在火焰的上风向或者侧风向，保证人员安全；灭火行动应坚持到火焰全部熄灭为止，并应仔细查看现场，防止死灰复燃现象发生。</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（3）消防抢险措施</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消防人员到位，围出安全隔离区；调集启动消防水泵确保事故现场用水。救援人员发出火灾警报，疏散无关人员，停止矿区一切生产活动。</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4、应急预案</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（1）环境风险应急预案</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企业应编制环境风向应急预案，并定期演练，加强对重大环境风险事故的处理能力。</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（2）事故应急响应</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发生事故后企业有关人员应及时向主管部门报告，告知事故类型、发生地点、事故概况等，并立即采取紧急措施，进行相关人员撤离，设立警示牌。</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（3）事故应急处理</w:t>
      </w:r>
    </w:p>
    <w:p>
      <w:pPr>
        <w:pStyle w:val="78"/>
        <w:ind w:firstLine="488"/>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根据本项目实际情况，设立事故应急小组，明确应急救援小组的组成、分工和职责，并配合专业救援队伍展开救援工作。事故救援结束后，展开事故调查。处理分析并总结经验，整理事故档案。</w:t>
      </w:r>
    </w:p>
    <w:p>
      <w:pPr>
        <w:pStyle w:val="4"/>
        <w:numPr>
          <w:ilvl w:val="1"/>
          <w:numId w:val="12"/>
        </w:numPr>
        <w:bidi w:val="0"/>
        <w:ind w:left="0" w:leftChars="0" w:firstLineChars="0"/>
        <w:rPr>
          <w:rFonts w:hint="default" w:ascii="Times New Roman" w:hAnsi="Times New Roman" w:eastAsia="宋体" w:cs="Times New Roman"/>
          <w:color w:val="auto"/>
          <w:highlight w:val="none"/>
        </w:rPr>
      </w:pPr>
      <w:bookmarkStart w:id="608" w:name="_Toc6030"/>
      <w:r>
        <w:rPr>
          <w:rFonts w:hint="default" w:ascii="Times New Roman" w:hAnsi="Times New Roman" w:eastAsia="宋体" w:cs="Times New Roman"/>
          <w:color w:val="auto"/>
          <w:highlight w:val="none"/>
        </w:rPr>
        <w:t>结论</w:t>
      </w:r>
      <w:bookmarkEnd w:id="608"/>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风险评价通过对建设项目在生产过程中存在的物质风险识别，分析风险因素对项目周围人群和周边环境造成的不利影响程度，确定了乳化炸药（硝酸铵）</w:t>
      </w:r>
      <w:r>
        <w:rPr>
          <w:rFonts w:hint="default" w:ascii="Times New Roman" w:hAnsi="Times New Roman" w:eastAsia="宋体" w:cs="Times New Roman"/>
          <w:color w:val="auto"/>
          <w:highlight w:val="none"/>
          <w:lang w:val="en-US" w:eastAsia="zh-CN"/>
        </w:rPr>
        <w:t>和废机油</w:t>
      </w:r>
      <w:r>
        <w:rPr>
          <w:rFonts w:hint="default" w:ascii="Times New Roman" w:hAnsi="Times New Roman" w:eastAsia="宋体" w:cs="Times New Roman"/>
          <w:color w:val="auto"/>
          <w:highlight w:val="none"/>
        </w:rPr>
        <w:t>为主要危险物质。系统阐述了可能导致该事故的原因，针对性的提出了环境风险防范措施及应急措施。评价认为工程建设方按评价要求在采取了有效的防范措施基础上，对于不确定性及未可预见的风险发生采取相应的应急预案后，可将环境风险降低到最低程度，一旦发生风险，其环境影响程度是可控制的、有限的，从环境风险评价的角度上分析，该项目的风险水平及影响程度是可防控的，项目建设是可行的。</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本项目环境风险简单分析内容见表</w:t>
      </w:r>
      <w:r>
        <w:rPr>
          <w:rFonts w:hint="eastAsia"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w:t>
      </w:r>
    </w:p>
    <w:p>
      <w:pPr>
        <w:spacing w:line="240" w:lineRule="auto"/>
        <w:ind w:firstLine="0" w:firstLineChars="0"/>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w:t>
      </w:r>
      <w:r>
        <w:rPr>
          <w:rFonts w:hint="eastAsia" w:ascii="Times New Roman" w:hAnsi="Times New Roman" w:eastAsia="宋体" w:cs="Times New Roman"/>
          <w:b/>
          <w:color w:val="auto"/>
          <w:szCs w:val="21"/>
          <w:highlight w:val="none"/>
          <w:lang w:val="en-US" w:eastAsia="zh-CN"/>
        </w:rPr>
        <w:t>7</w:t>
      </w:r>
      <w:r>
        <w:rPr>
          <w:rFonts w:hint="default" w:ascii="Times New Roman" w:hAnsi="Times New Roman" w:eastAsia="宋体" w:cs="Times New Roman"/>
          <w:b/>
          <w:color w:val="auto"/>
          <w:szCs w:val="21"/>
          <w:highlight w:val="none"/>
          <w:lang w:eastAsia="zh-CN"/>
        </w:rPr>
        <w:t>.</w:t>
      </w:r>
      <w:r>
        <w:rPr>
          <w:rFonts w:hint="default" w:ascii="Times New Roman" w:hAnsi="Times New Roman" w:eastAsia="宋体" w:cs="Times New Roman"/>
          <w:b/>
          <w:color w:val="auto"/>
          <w:szCs w:val="21"/>
          <w:highlight w:val="none"/>
          <w:lang w:val="en-US" w:eastAsia="zh-CN"/>
        </w:rPr>
        <w:t>8</w:t>
      </w:r>
      <w:r>
        <w:rPr>
          <w:rFonts w:hint="default" w:ascii="Times New Roman" w:hAnsi="Times New Roman" w:eastAsia="宋体" w:cs="Times New Roman"/>
          <w:b/>
          <w:color w:val="auto"/>
          <w:szCs w:val="21"/>
          <w:highlight w:val="none"/>
        </w:rPr>
        <w:t>-</w:t>
      </w:r>
      <w:r>
        <w:rPr>
          <w:rFonts w:hint="default" w:ascii="Times New Roman" w:hAnsi="Times New Roman" w:eastAsia="宋体" w:cs="Times New Roman"/>
          <w:b/>
          <w:color w:val="auto"/>
          <w:szCs w:val="21"/>
          <w:highlight w:val="none"/>
          <w:lang w:val="en-US" w:eastAsia="zh-CN"/>
        </w:rPr>
        <w:t>1</w:t>
      </w:r>
      <w:r>
        <w:rPr>
          <w:rFonts w:hint="default" w:ascii="Times New Roman" w:hAnsi="Times New Roman" w:eastAsia="宋体" w:cs="Times New Roman"/>
          <w:b/>
          <w:color w:val="auto"/>
          <w:szCs w:val="21"/>
          <w:highlight w:val="none"/>
        </w:rPr>
        <w:t>建设项目环境风险简单分析内容表</w:t>
      </w:r>
    </w:p>
    <w:tbl>
      <w:tblPr>
        <w:tblStyle w:val="45"/>
        <w:tblW w:w="928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0"/>
        <w:gridCol w:w="1181"/>
        <w:gridCol w:w="1741"/>
        <w:gridCol w:w="1363"/>
        <w:gridCol w:w="1921"/>
        <w:gridCol w:w="14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建设项目名称</w:t>
            </w:r>
          </w:p>
        </w:tc>
        <w:tc>
          <w:tcPr>
            <w:tcW w:w="7697" w:type="dxa"/>
            <w:gridSpan w:val="5"/>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岫岩满族自治县苏子沟镇大何家堡村钾长石矿开采15万ta钾长石矿石项目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建设地点</w:t>
            </w:r>
          </w:p>
        </w:tc>
        <w:tc>
          <w:tcPr>
            <w:tcW w:w="118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辽宁省</w:t>
            </w:r>
          </w:p>
        </w:tc>
        <w:tc>
          <w:tcPr>
            <w:tcW w:w="174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鞍山市</w:t>
            </w:r>
          </w:p>
        </w:tc>
        <w:tc>
          <w:tcPr>
            <w:tcW w:w="1363"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岫岩县</w:t>
            </w:r>
          </w:p>
        </w:tc>
        <w:tc>
          <w:tcPr>
            <w:tcW w:w="1921" w:type="dxa"/>
            <w:vAlign w:val="center"/>
          </w:tcPr>
          <w:p>
            <w:pPr>
              <w:pStyle w:val="104"/>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苏子沟镇何家堡村</w:t>
            </w:r>
          </w:p>
        </w:tc>
        <w:tc>
          <w:tcPr>
            <w:tcW w:w="149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地理坐标</w:t>
            </w:r>
          </w:p>
        </w:tc>
        <w:tc>
          <w:tcPr>
            <w:tcW w:w="118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经度</w:t>
            </w:r>
          </w:p>
        </w:tc>
        <w:tc>
          <w:tcPr>
            <w:tcW w:w="174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40°26′59.14054″</w:t>
            </w:r>
          </w:p>
        </w:tc>
        <w:tc>
          <w:tcPr>
            <w:tcW w:w="1363"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纬度</w:t>
            </w:r>
          </w:p>
        </w:tc>
        <w:tc>
          <w:tcPr>
            <w:tcW w:w="3412" w:type="dxa"/>
            <w:gridSpan w:val="2"/>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123°22′15.15743″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主要危险物质及分布</w:t>
            </w:r>
          </w:p>
        </w:tc>
        <w:tc>
          <w:tcPr>
            <w:tcW w:w="7697" w:type="dxa"/>
            <w:gridSpan w:val="5"/>
            <w:vAlign w:val="center"/>
          </w:tcPr>
          <w:p>
            <w:pPr>
              <w:pStyle w:val="10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硝酸铵主要分布于工业场地井口及井下巷道</w:t>
            </w:r>
            <w:r>
              <w:rPr>
                <w:rFonts w:hint="default" w:ascii="Times New Roman" w:hAnsi="Times New Roman" w:eastAsia="宋体" w:cs="Times New Roman"/>
                <w:color w:val="auto"/>
                <w:sz w:val="21"/>
                <w:szCs w:val="21"/>
                <w:highlight w:val="none"/>
                <w:lang w:val="en-US" w:eastAsia="zh-CN"/>
              </w:rPr>
              <w:t>、废机油暂存于危废暂存间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环境影响途径及危害后果</w:t>
            </w:r>
          </w:p>
        </w:tc>
        <w:tc>
          <w:tcPr>
            <w:tcW w:w="7697" w:type="dxa"/>
            <w:gridSpan w:val="5"/>
            <w:vAlign w:val="center"/>
          </w:tcPr>
          <w:p>
            <w:pPr>
              <w:pStyle w:val="104"/>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①火灾、爆炸产生的危害主要是对地面生态环境的危害，将可能污染燃烧范围内的植物，造成植物死亡。</w:t>
            </w:r>
          </w:p>
          <w:p>
            <w:pPr>
              <w:pStyle w:val="104"/>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②火灾必然将短时间内形成一定量的有毒有害气体，将导致大气环境中的有毒有害气体瞬时超标。给矿区大气环境带来污染。</w:t>
            </w:r>
          </w:p>
          <w:p>
            <w:pPr>
              <w:pStyle w:val="104"/>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③爆炸必然将短时间内形成大量氮气和二氧化氮，将会瞬间充斥于矿区大气环境中，给矿区大气环境带来污染。</w:t>
            </w:r>
          </w:p>
          <w:p>
            <w:pPr>
              <w:pStyle w:val="104"/>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④废机油泄露可能造成项目区域地下水水质因子和土壤因子短时间内超标。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9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风险防范措施要求</w:t>
            </w:r>
          </w:p>
        </w:tc>
        <w:tc>
          <w:tcPr>
            <w:tcW w:w="7697" w:type="dxa"/>
            <w:gridSpan w:val="5"/>
            <w:vAlign w:val="center"/>
          </w:tcPr>
          <w:p>
            <w:pPr>
              <w:pStyle w:val="104"/>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1、当地公安部门对炸药进行派送，并由公安部门进行爆破作业；</w:t>
            </w:r>
          </w:p>
          <w:p>
            <w:pPr>
              <w:pStyle w:val="104"/>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2、炸药运输及装卸期间，工业场地严禁烟火，防治炸药遇到明火后发生事故；</w:t>
            </w:r>
          </w:p>
          <w:p>
            <w:pPr>
              <w:pStyle w:val="104"/>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3、严禁作业人员穿化纤衣服；</w:t>
            </w:r>
          </w:p>
          <w:p>
            <w:pPr>
              <w:pStyle w:val="104"/>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4、事故状态下，安排专员进行疏散通道，并进行安置；</w:t>
            </w:r>
          </w:p>
          <w:p>
            <w:pPr>
              <w:pStyle w:val="104"/>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5、危废暂存间采用防风、防雨、防晒、防渗处理，防止危险废物在贮存时可能产生的废液渗漏对地下水的污染。危废暂存间有标识，定期委托有资质单位对废机油及废油桶进行处置。</w:t>
            </w:r>
          </w:p>
          <w:p>
            <w:pPr>
              <w:pStyle w:val="104"/>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6、加强巡视。</w:t>
            </w:r>
          </w:p>
          <w:p>
            <w:pPr>
              <w:pStyle w:val="104"/>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7、制订应急预案。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7" w:type="dxa"/>
            <w:gridSpan w:val="6"/>
            <w:vAlign w:val="center"/>
          </w:tcPr>
          <w:p>
            <w:pPr>
              <w:pStyle w:val="104"/>
              <w:jc w:val="left"/>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填表说明（列出项目相关信息及评价说明）</w:t>
            </w:r>
          </w:p>
          <w:p>
            <w:pPr>
              <w:pStyle w:val="104"/>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1、项目名称：岫岩满族自治县苏子沟镇大何家堡村钾长石矿开采15万ta钾长石矿石项目；</w:t>
            </w:r>
          </w:p>
          <w:p>
            <w:pPr>
              <w:pStyle w:val="104"/>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2、建设单位：岫岩满族自治县苏子沟镇大何家堡村钾长石矿；</w:t>
            </w:r>
          </w:p>
          <w:p>
            <w:pPr>
              <w:pStyle w:val="104"/>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3、建设地点：辽宁省鞍山市岫岩县苏子沟镇何家堡村；</w:t>
            </w:r>
          </w:p>
          <w:p>
            <w:pPr>
              <w:pStyle w:val="104"/>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4、建设性质：</w:t>
            </w:r>
            <w:r>
              <w:rPr>
                <w:rFonts w:hint="eastAsia" w:ascii="Times New Roman" w:hAnsi="Times New Roman" w:eastAsia="宋体" w:cs="Times New Roman"/>
                <w:color w:val="auto"/>
                <w:sz w:val="21"/>
                <w:szCs w:val="21"/>
                <w:highlight w:val="none"/>
                <w:lang w:val="en-US" w:eastAsia="zh-CN"/>
              </w:rPr>
              <w:t>扩建</w:t>
            </w:r>
            <w:r>
              <w:rPr>
                <w:rFonts w:hint="default" w:ascii="Times New Roman" w:hAnsi="Times New Roman" w:eastAsia="宋体" w:cs="Times New Roman"/>
                <w:color w:val="auto"/>
                <w:sz w:val="21"/>
                <w:szCs w:val="21"/>
                <w:highlight w:val="none"/>
                <w:lang w:eastAsia="zh-CN"/>
              </w:rPr>
              <w:t>；</w:t>
            </w:r>
          </w:p>
          <w:p>
            <w:pPr>
              <w:pStyle w:val="104"/>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5、项目建设投资：1006.67万元；</w:t>
            </w:r>
          </w:p>
          <w:p>
            <w:pPr>
              <w:pStyle w:val="104"/>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6、建设规模：开采</w:t>
            </w:r>
            <w:r>
              <w:rPr>
                <w:rFonts w:hint="default" w:ascii="Times New Roman" w:hAnsi="Times New Roman" w:eastAsia="宋体" w:cs="Times New Roman"/>
                <w:color w:val="auto"/>
                <w:sz w:val="21"/>
                <w:szCs w:val="21"/>
                <w:highlight w:val="none"/>
                <w:lang w:val="en-US" w:eastAsia="zh-CN"/>
              </w:rPr>
              <w:t>钾长石</w:t>
            </w:r>
            <w:r>
              <w:rPr>
                <w:rFonts w:hint="default" w:ascii="Times New Roman" w:hAnsi="Times New Roman" w:eastAsia="宋体" w:cs="Times New Roman"/>
                <w:color w:val="auto"/>
                <w:sz w:val="21"/>
                <w:szCs w:val="21"/>
                <w:highlight w:val="none"/>
                <w:lang w:eastAsia="zh-CN"/>
              </w:rPr>
              <w:t>能力</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eastAsia="zh-CN"/>
              </w:rPr>
              <w:t>万吨/年；</w:t>
            </w:r>
          </w:p>
          <w:p>
            <w:pPr>
              <w:pStyle w:val="104"/>
              <w:keepNext w:val="0"/>
              <w:keepLines w:val="0"/>
              <w:pageBreakBefore w:val="0"/>
              <w:widowControl w:val="0"/>
              <w:kinsoku/>
              <w:wordWrap/>
              <w:overflowPunct/>
              <w:topLinePunct w:val="0"/>
              <w:autoSpaceDE/>
              <w:autoSpaceDN/>
              <w:bidi w:val="0"/>
              <w:adjustRightInd w:val="0"/>
              <w:snapToGrid w:val="0"/>
              <w:ind w:firstLine="420" w:firstLineChars="200"/>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本项目涉及的硝酸铵及废机油属危险性物质，硝酸铵单次最大使用量约为0.</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t，废机油</w:t>
            </w:r>
            <w:r>
              <w:rPr>
                <w:rFonts w:hint="eastAsia" w:cs="Times New Roman"/>
                <w:color w:val="auto"/>
                <w:sz w:val="21"/>
                <w:szCs w:val="21"/>
                <w:highlight w:val="none"/>
                <w:lang w:val="en-US" w:eastAsia="zh-CN"/>
              </w:rPr>
              <w:t>最大储存</w:t>
            </w:r>
            <w:r>
              <w:rPr>
                <w:rFonts w:hint="default" w:ascii="Times New Roman" w:hAnsi="Times New Roman" w:eastAsia="宋体" w:cs="Times New Roman"/>
                <w:color w:val="auto"/>
                <w:sz w:val="21"/>
                <w:szCs w:val="21"/>
                <w:highlight w:val="none"/>
                <w:lang w:eastAsia="zh-CN"/>
              </w:rPr>
              <w:t>量约为0.0</w:t>
            </w:r>
            <w:r>
              <w:rPr>
                <w:rFonts w:hint="default"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lang w:eastAsia="zh-CN"/>
              </w:rPr>
              <w:t>t/a，其与临界量比值，即：Q=q1/Q1+q2/Q2，经计算Q=0.</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eastAsia="zh-CN"/>
              </w:rPr>
              <w:t>/50+0.0</w:t>
            </w:r>
            <w:r>
              <w:rPr>
                <w:rFonts w:hint="default"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lang w:eastAsia="zh-CN"/>
              </w:rPr>
              <w:t>/2500=0.0020048＜1，因此本项目环境风险潜势为Ⅰ，仅对风险进行简单分析即可。</w:t>
            </w:r>
          </w:p>
        </w:tc>
      </w:tr>
    </w:tbl>
    <w:p>
      <w:pPr>
        <w:bidi w:val="0"/>
        <w:rPr>
          <w:rFonts w:hint="default" w:ascii="Times New Roman" w:hAnsi="Times New Roman" w:eastAsia="宋体" w:cs="Times New Roman"/>
          <w:color w:val="auto"/>
          <w:highlight w:val="none"/>
        </w:rPr>
        <w:sectPr>
          <w:headerReference r:id="rId28" w:type="default"/>
          <w:footerReference r:id="rId29" w:type="default"/>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3"/>
        <w:numPr>
          <w:ilvl w:val="0"/>
          <w:numId w:val="12"/>
        </w:numPr>
        <w:rPr>
          <w:rFonts w:hint="default" w:ascii="Times New Roman" w:hAnsi="Times New Roman" w:eastAsia="宋体" w:cs="Times New Roman"/>
          <w:color w:val="auto"/>
          <w:highlight w:val="none"/>
        </w:rPr>
      </w:pPr>
      <w:bookmarkStart w:id="609" w:name="_Toc16924"/>
      <w:r>
        <w:rPr>
          <w:rFonts w:hint="default" w:ascii="Times New Roman" w:hAnsi="Times New Roman" w:eastAsia="宋体" w:cs="Times New Roman"/>
          <w:color w:val="auto"/>
          <w:highlight w:val="none"/>
        </w:rPr>
        <w:t>污染防治措施</w:t>
      </w:r>
      <w:bookmarkEnd w:id="588"/>
      <w:bookmarkEnd w:id="589"/>
      <w:bookmarkEnd w:id="590"/>
      <w:bookmarkEnd w:id="591"/>
      <w:bookmarkEnd w:id="592"/>
      <w:bookmarkEnd w:id="593"/>
      <w:bookmarkEnd w:id="594"/>
      <w:bookmarkEnd w:id="595"/>
      <w:bookmarkEnd w:id="596"/>
      <w:bookmarkEnd w:id="597"/>
      <w:bookmarkEnd w:id="598"/>
      <w:r>
        <w:rPr>
          <w:rFonts w:hint="default" w:ascii="Times New Roman" w:hAnsi="Times New Roman" w:eastAsia="宋体" w:cs="Times New Roman"/>
          <w:color w:val="auto"/>
          <w:highlight w:val="none"/>
        </w:rPr>
        <w:t>及可行性分析</w:t>
      </w:r>
      <w:bookmarkEnd w:id="599"/>
      <w:bookmarkEnd w:id="609"/>
    </w:p>
    <w:p>
      <w:pPr>
        <w:pStyle w:val="4"/>
        <w:bidi w:val="0"/>
        <w:ind w:left="0" w:leftChars="0" w:firstLineChars="0"/>
        <w:rPr>
          <w:rFonts w:hint="default"/>
          <w:color w:val="auto"/>
          <w:highlight w:val="none"/>
        </w:rPr>
      </w:pPr>
      <w:bookmarkStart w:id="610" w:name="_Toc368298846"/>
      <w:bookmarkStart w:id="611" w:name="_Toc377022578"/>
      <w:bookmarkStart w:id="612" w:name="_Toc369000263"/>
      <w:bookmarkStart w:id="613" w:name="_Toc368298938"/>
      <w:bookmarkStart w:id="614" w:name="_Toc316410391"/>
      <w:bookmarkStart w:id="615" w:name="_Toc515537865"/>
      <w:bookmarkStart w:id="616" w:name="_Toc319511325"/>
      <w:bookmarkStart w:id="617" w:name="_Toc213731991"/>
      <w:bookmarkStart w:id="618" w:name="_Toc395187039"/>
      <w:bookmarkStart w:id="619" w:name="_Toc450827102"/>
      <w:bookmarkStart w:id="620" w:name="_Toc305953263"/>
      <w:bookmarkStart w:id="621" w:name="_Toc6653"/>
      <w:bookmarkStart w:id="622" w:name="_Toc15376212"/>
      <w:r>
        <w:rPr>
          <w:rFonts w:hint="default"/>
          <w:color w:val="auto"/>
          <w:highlight w:val="none"/>
          <w:lang w:eastAsia="zh-CN"/>
        </w:rPr>
        <w:t>基建期</w:t>
      </w:r>
      <w:r>
        <w:rPr>
          <w:rFonts w:hint="default"/>
          <w:color w:val="auto"/>
          <w:highlight w:val="none"/>
        </w:rPr>
        <w:t>污染防治措施</w:t>
      </w:r>
      <w:bookmarkEnd w:id="610"/>
      <w:bookmarkEnd w:id="611"/>
      <w:bookmarkEnd w:id="612"/>
      <w:bookmarkEnd w:id="613"/>
      <w:bookmarkEnd w:id="614"/>
      <w:bookmarkEnd w:id="615"/>
      <w:bookmarkEnd w:id="616"/>
      <w:bookmarkEnd w:id="617"/>
      <w:bookmarkEnd w:id="618"/>
      <w:bookmarkEnd w:id="619"/>
      <w:bookmarkEnd w:id="620"/>
      <w:r>
        <w:rPr>
          <w:rFonts w:hint="default"/>
          <w:color w:val="auto"/>
          <w:highlight w:val="none"/>
        </w:rPr>
        <w:t>及可行性分析</w:t>
      </w:r>
      <w:bookmarkEnd w:id="621"/>
      <w:bookmarkEnd w:id="622"/>
    </w:p>
    <w:p>
      <w:pPr>
        <w:pStyle w:val="5"/>
        <w:bidi w:val="0"/>
        <w:rPr>
          <w:rFonts w:hint="default"/>
          <w:color w:val="auto"/>
          <w:highlight w:val="none"/>
        </w:rPr>
      </w:pPr>
      <w:r>
        <w:rPr>
          <w:rFonts w:hint="default"/>
          <w:color w:val="auto"/>
          <w:highlight w:val="none"/>
        </w:rPr>
        <w:t>大气污染防治措施</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为减小</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对环境空气的影响，评价建议采取如下防治措施：</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（1）在采掘场工作面，应制定洒水降尘制度，配套洒水设备，专人负责，定期洒水，在大风日要加大洒水量和洒水次数；车辆应定期进行清洗，清除表面粘附的泥土等采掘场；</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临时道路应每天洒水4～5次，并及时清扫道路，必要时使用化学抑尘剂抑尘；土石排入</w:t>
      </w:r>
      <w:r>
        <w:rPr>
          <w:rFonts w:hint="eastAsia" w:cs="Times New Roman"/>
          <w:color w:val="auto"/>
          <w:highlight w:val="none"/>
          <w:lang w:val="en-US" w:eastAsia="zh-CN"/>
        </w:rPr>
        <w:t>历史采坑</w:t>
      </w:r>
      <w:r>
        <w:rPr>
          <w:rFonts w:hint="default" w:ascii="Times New Roman" w:hAnsi="Times New Roman" w:eastAsia="宋体" w:cs="Times New Roman"/>
          <w:color w:val="auto"/>
          <w:highlight w:val="none"/>
        </w:rPr>
        <w:t>后应及时碾压，以减少扬尘。</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间应合理安排作业时间，加强施工管理，在大风天气条件下，建议停止施工，尽量减少建设空气污染影响。</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工业场地建设仅在土石方工程阶段在有风条件下产生的扬尘影响范围较大，其它建设阶段影响小，通过遮盖、洒水可使物料堆场的扬尘量减少90%。评价要求项目物料堆场严格设置在工业场地内，施工过程中使用的水泥和其它细颗粒散装原料，应贮存于库房内或密闭存放，避免露天堆放，若露天堆放应加以覆盖；细颗粒物料运输应采用密闭式槽车运输，装卸时要采取措施减少扬尘量。</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（4）临时性用地使用完毕后应恢复植被，防止水土流失。</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对于施工现场运输车辆，要求参与施工的各种车辆和作业机械，应该具有尾气年检合格证；运输车辆使用清洁燃料，以尽量减少汽车尾气的外排；在使用期间要保证其正常运行，经常检修保养，防止非正常运行造成尾气超标排放；做好施工现场的交通组织，避免因施工造成的交通阻塞，减少运输车辆怠速产生的废气排放。</w:t>
      </w:r>
    </w:p>
    <w:p>
      <w:pPr>
        <w:pStyle w:val="5"/>
        <w:bidi w:val="0"/>
        <w:rPr>
          <w:rFonts w:hint="default"/>
          <w:color w:val="auto"/>
          <w:highlight w:val="none"/>
        </w:rPr>
      </w:pPr>
      <w:r>
        <w:rPr>
          <w:rFonts w:hint="default"/>
          <w:color w:val="auto"/>
          <w:highlight w:val="none"/>
        </w:rPr>
        <w:t>废水污染防治措施</w:t>
      </w:r>
    </w:p>
    <w:p>
      <w:pPr>
        <w:spacing w:beforeLines="0" w:afterLines="0"/>
        <w:jc w:val="left"/>
        <w:rPr>
          <w:rFonts w:hint="eastAsia" w:ascii="宋体" w:hAnsi="宋体" w:eastAsia="宋体"/>
          <w:color w:val="auto"/>
          <w:sz w:val="24"/>
          <w:szCs w:val="24"/>
          <w:highlight w:val="none"/>
          <w:lang w:val="en-US" w:eastAsia="zh-CN"/>
        </w:rPr>
      </w:pPr>
      <w:r>
        <w:rPr>
          <w:rFonts w:hint="eastAsia" w:ascii="宋体" w:hAnsi="宋体" w:eastAsia="宋体"/>
          <w:color w:val="auto"/>
          <w:sz w:val="24"/>
          <w:szCs w:val="24"/>
          <w:highlight w:val="none"/>
        </w:rPr>
        <w:t>基建期污废水排放对地下水水质的影响防治</w:t>
      </w:r>
      <w:r>
        <w:rPr>
          <w:rFonts w:hint="eastAsia" w:ascii="宋体" w:hAnsi="宋体" w:eastAsia="宋体"/>
          <w:color w:val="auto"/>
          <w:sz w:val="24"/>
          <w:szCs w:val="24"/>
          <w:highlight w:val="none"/>
          <w:lang w:val="en-US" w:eastAsia="zh-CN"/>
        </w:rPr>
        <w:t>如下：</w:t>
      </w:r>
    </w:p>
    <w:p>
      <w:pPr>
        <w:spacing w:beforeLines="0" w:afterLines="0"/>
        <w:jc w:val="left"/>
        <w:rPr>
          <w:rFonts w:hint="eastAsia" w:ascii="宋体" w:hAnsi="宋体" w:eastAsia="宋体"/>
          <w:color w:val="auto"/>
          <w:sz w:val="24"/>
          <w:szCs w:val="24"/>
          <w:highlight w:val="none"/>
        </w:rPr>
      </w:pPr>
      <w:r>
        <w:rPr>
          <w:rFonts w:hint="eastAsia" w:ascii="宋体" w:hAnsi="宋体" w:eastAsia="宋体"/>
          <w:color w:val="auto"/>
          <w:sz w:val="24"/>
          <w:szCs w:val="24"/>
          <w:highlight w:val="none"/>
        </w:rPr>
        <w:t>①基建期施工场地主要为大型机械设备工作场所，大部施工人员集中在工业场地施工区。该项目基建期水污染源主要为施工人员产生的生活污水。</w:t>
      </w:r>
    </w:p>
    <w:p>
      <w:pPr>
        <w:bidi w:val="0"/>
        <w:rPr>
          <w:rFonts w:hint="eastAsia"/>
          <w:color w:val="auto"/>
          <w:highlight w:val="none"/>
        </w:rPr>
      </w:pPr>
      <w:r>
        <w:rPr>
          <w:rFonts w:hint="eastAsia"/>
          <w:color w:val="auto"/>
          <w:highlight w:val="none"/>
        </w:rPr>
        <w:t>②施工利用项目原有旱厕，要求旱厕做好防渗、密闭措施，粪便定期清淘，进行无害化处理，其建筑及卫生要求应达到GB19379-2012《农村户厕卫生规范》。</w:t>
      </w:r>
    </w:p>
    <w:p>
      <w:pPr>
        <w:bidi w:val="0"/>
        <w:rPr>
          <w:rFonts w:hint="eastAsia"/>
          <w:color w:val="auto"/>
          <w:highlight w:val="none"/>
        </w:rPr>
      </w:pPr>
      <w:r>
        <w:rPr>
          <w:rFonts w:hint="eastAsia"/>
          <w:color w:val="auto"/>
          <w:highlight w:val="none"/>
        </w:rPr>
        <w:t>③矿井基建期污水全部排入防渗旱厕中，由于旱厕旱厕已采取防渗、密闭措施，且粪便定期清淘，进行无害化处理，因此建设期污水对地下水水质影响可忽略。</w:t>
      </w:r>
    </w:p>
    <w:p>
      <w:pPr>
        <w:bidi w:val="0"/>
        <w:rPr>
          <w:rFonts w:hint="eastAsia"/>
          <w:color w:val="auto"/>
          <w:highlight w:val="none"/>
        </w:rPr>
      </w:pPr>
      <w:r>
        <w:rPr>
          <w:rFonts w:hint="eastAsia"/>
          <w:color w:val="auto"/>
          <w:highlight w:val="none"/>
        </w:rPr>
        <w:t>④在施工现场设置固定的冲洗场，设备及车辆定期冲洗，不允许将冲洗水随时随地排放，在冲洗场设废水沉淀池，沉淀后的中水回用于建设过程。</w:t>
      </w:r>
    </w:p>
    <w:p>
      <w:pPr>
        <w:bidi w:val="0"/>
        <w:rPr>
          <w:rFonts w:hint="eastAsia"/>
          <w:color w:val="auto"/>
          <w:highlight w:val="none"/>
        </w:rPr>
      </w:pPr>
      <w:r>
        <w:rPr>
          <w:rFonts w:hint="eastAsia"/>
          <w:color w:val="auto"/>
          <w:highlight w:val="none"/>
        </w:rPr>
        <w:t>⑤在降雨时对某些建筑材料及时遮盖以减少雨水冲刷产生污水。</w:t>
      </w:r>
    </w:p>
    <w:p>
      <w:pPr>
        <w:bidi w:val="0"/>
        <w:rPr>
          <w:rFonts w:hint="default"/>
          <w:color w:val="auto"/>
          <w:highlight w:val="none"/>
        </w:rPr>
      </w:pPr>
      <w:r>
        <w:rPr>
          <w:rFonts w:hint="eastAsia"/>
          <w:color w:val="auto"/>
          <w:highlight w:val="none"/>
        </w:rPr>
        <w:t>⑥大巷掘进过程中产生的废水必须排入地面场地</w:t>
      </w:r>
      <w:r>
        <w:rPr>
          <w:rFonts w:hint="eastAsia"/>
          <w:color w:val="auto"/>
          <w:highlight w:val="none"/>
          <w:lang w:val="en-US" w:eastAsia="zh-CN"/>
        </w:rPr>
        <w:t>蓄</w:t>
      </w:r>
      <w:r>
        <w:rPr>
          <w:rFonts w:hint="eastAsia"/>
          <w:color w:val="auto"/>
          <w:highlight w:val="none"/>
        </w:rPr>
        <w:t>水池中与施工废水一并沉淀处理，处理后废水回用于施工或场地降尘洒水。</w:t>
      </w:r>
    </w:p>
    <w:p>
      <w:pPr>
        <w:pStyle w:val="5"/>
        <w:bidi w:val="0"/>
        <w:rPr>
          <w:rFonts w:hint="default"/>
          <w:color w:val="auto"/>
          <w:highlight w:val="none"/>
        </w:rPr>
      </w:pPr>
      <w:bookmarkStart w:id="623" w:name="_Toc213731994"/>
      <w:bookmarkStart w:id="624" w:name="_Toc316410394"/>
      <w:bookmarkStart w:id="625" w:name="_Toc450827105"/>
      <w:r>
        <w:rPr>
          <w:rFonts w:hint="default"/>
          <w:color w:val="auto"/>
          <w:highlight w:val="none"/>
        </w:rPr>
        <w:t>固体废物</w:t>
      </w:r>
      <w:bookmarkEnd w:id="623"/>
      <w:bookmarkEnd w:id="624"/>
      <w:bookmarkEnd w:id="625"/>
      <w:r>
        <w:rPr>
          <w:rFonts w:hint="default"/>
          <w:color w:val="auto"/>
          <w:highlight w:val="none"/>
        </w:rPr>
        <w:t>污染防治措施</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施工期主要固体废物为主要为</w:t>
      </w:r>
      <w:r>
        <w:rPr>
          <w:rFonts w:hint="default" w:ascii="Times New Roman" w:hAnsi="Times New Roman" w:eastAsia="宋体" w:cs="Times New Roman"/>
          <w:color w:val="auto"/>
          <w:highlight w:val="none"/>
          <w:lang w:val="en-US" w:eastAsia="zh-CN"/>
        </w:rPr>
        <w:t>露天采场</w:t>
      </w:r>
      <w:r>
        <w:rPr>
          <w:rFonts w:hint="default" w:ascii="Times New Roman" w:hAnsi="Times New Roman" w:eastAsia="宋体" w:cs="Times New Roman"/>
          <w:color w:val="auto"/>
          <w:highlight w:val="none"/>
        </w:rPr>
        <w:t>剥离的表土</w:t>
      </w:r>
      <w:r>
        <w:rPr>
          <w:rFonts w:hint="default" w:ascii="Times New Roman" w:hAnsi="Times New Roman" w:eastAsia="宋体" w:cs="Times New Roman"/>
          <w:color w:val="auto"/>
          <w:highlight w:val="none"/>
          <w:lang w:val="en-US" w:eastAsia="zh-CN"/>
        </w:rPr>
        <w:t>、地下开采系统基建废石</w:t>
      </w:r>
      <w:r>
        <w:rPr>
          <w:rFonts w:hint="default" w:ascii="Times New Roman" w:hAnsi="Times New Roman" w:eastAsia="宋体" w:cs="Times New Roman"/>
          <w:color w:val="auto"/>
          <w:highlight w:val="none"/>
        </w:rPr>
        <w:t>和较少量的建筑垃圾。此外，在地面建筑工程施工期间，还有少量的生活垃圾产生。</w:t>
      </w:r>
    </w:p>
    <w:p>
      <w:pPr>
        <w:numPr>
          <w:ilvl w:val="0"/>
          <w:numId w:val="0"/>
        </w:numPr>
        <w:bidi w:val="0"/>
        <w:ind w:left="480" w:leftChars="0"/>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硐室和大巷开凿排出的岩石</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lang w:val="en-US" w:eastAsia="zh-CN"/>
        </w:rPr>
        <w:t>钾长石</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矿产资源开发利用方案》</w:t>
      </w:r>
      <w:r>
        <w:rPr>
          <w:rFonts w:hint="default" w:ascii="Times New Roman" w:hAnsi="Times New Roman" w:eastAsia="宋体" w:cs="Times New Roman"/>
          <w:color w:val="auto"/>
          <w:highlight w:val="none"/>
          <w:lang w:eastAsia="zh-CN"/>
        </w:rPr>
        <w:t>，地下开采基建期排出废石全部用于回填地表老采坑及修筑工业场地、修筑运输道路。</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露天采场</w:t>
      </w:r>
      <w:r>
        <w:rPr>
          <w:rFonts w:hint="default" w:ascii="Times New Roman" w:hAnsi="Times New Roman" w:eastAsia="宋体" w:cs="Times New Roman"/>
          <w:color w:val="auto"/>
          <w:highlight w:val="none"/>
        </w:rPr>
        <w:t>剥离的表土</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矿山原收集的表土已用于近两年治理恢复工作，无堆存表土。矿山基建先期剥离表土可运至老采场直接用于复垦</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后期剥离的表土可临时堆放在新建采场底部平台，后期用于复垦。</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3、建筑垃圾</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建筑垃圾主要包括土建施工过程中废弃的碎砖、石、砼块等和各类包装箱、纸等，产生量较少。施工阶段首先对建筑垃圾中可回收利用部分进行回收，不能利用部分全部用作场地平整或填垫路基使用，不排放。</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4、生活垃圾</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基建期</w:t>
      </w:r>
      <w:r>
        <w:rPr>
          <w:rFonts w:hint="default" w:ascii="Times New Roman" w:hAnsi="Times New Roman" w:eastAsia="宋体" w:cs="Times New Roman"/>
          <w:color w:val="auto"/>
          <w:highlight w:val="none"/>
        </w:rPr>
        <w:t>生活垃圾委托当地环卫部门及时清运。</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综上所述，本项目</w:t>
      </w:r>
      <w:r>
        <w:rPr>
          <w:rFonts w:hint="default" w:ascii="Times New Roman" w:hAnsi="Times New Roman" w:eastAsia="宋体" w:cs="Times New Roman"/>
          <w:color w:val="auto"/>
          <w:highlight w:val="none"/>
          <w:lang w:val="en-US" w:eastAsia="zh-CN"/>
        </w:rPr>
        <w:t>基建期</w:t>
      </w:r>
      <w:r>
        <w:rPr>
          <w:rFonts w:hint="default" w:ascii="Times New Roman" w:hAnsi="Times New Roman" w:eastAsia="宋体" w:cs="Times New Roman"/>
          <w:color w:val="auto"/>
          <w:highlight w:val="none"/>
        </w:rPr>
        <w:t>固体废物按照废物的性质分别进行合理的处置，固废处置率100%，对周围环境影响较小。</w:t>
      </w:r>
    </w:p>
    <w:p>
      <w:pPr>
        <w:pStyle w:val="5"/>
        <w:bidi w:val="0"/>
        <w:rPr>
          <w:rFonts w:hint="default"/>
          <w:color w:val="auto"/>
          <w:highlight w:val="none"/>
        </w:rPr>
      </w:pPr>
      <w:bookmarkStart w:id="626" w:name="_Toc213731995"/>
      <w:bookmarkStart w:id="627" w:name="_Toc450827106"/>
      <w:bookmarkStart w:id="628" w:name="_Toc316410395"/>
      <w:r>
        <w:rPr>
          <w:rFonts w:hint="default"/>
          <w:color w:val="auto"/>
          <w:highlight w:val="none"/>
        </w:rPr>
        <w:t>噪声</w:t>
      </w:r>
      <w:bookmarkEnd w:id="626"/>
      <w:bookmarkEnd w:id="627"/>
      <w:bookmarkEnd w:id="628"/>
      <w:r>
        <w:rPr>
          <w:rFonts w:hint="default"/>
          <w:color w:val="auto"/>
          <w:highlight w:val="none"/>
        </w:rPr>
        <w:t>污染防治措施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为将</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的噪声影响缩减到尽可能低的程度，建议采取如下措施：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加强管理，文明施工，严格遵守《建筑施工场界环境噪声排放标准》（GB12523-2011）中的规定要求。合理安排施工时间、施工工序，避免大量高噪声设备同时施工，夜间禁止施工。如需施工工艺特殊要求必须进行夜间施工时须向当地环境保护行政主管部门进行申请，待批准后方可进行施工。</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（2）物料进场安排在白天，避免夜间影响。</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设备选型上应采用低噪声设备。固定机械设备如挖土、运土机械（如挖土机、推土机等）可通过排气管消声器和隔离发动机振动部件的方法降低噪声。设备常因松动部件的振动或消声器的损坏而增加其工作时的噪声级，因此应对动力机械设备进行定期的维修、养护。</w:t>
      </w:r>
    </w:p>
    <w:p>
      <w:pPr>
        <w:pStyle w:val="5"/>
        <w:bidi w:val="0"/>
        <w:rPr>
          <w:rFonts w:hint="default"/>
          <w:color w:val="auto"/>
          <w:highlight w:val="none"/>
        </w:rPr>
      </w:pPr>
      <w:r>
        <w:rPr>
          <w:rFonts w:hint="eastAsia"/>
          <w:color w:val="auto"/>
          <w:highlight w:val="none"/>
          <w:lang w:val="en-US" w:eastAsia="zh-CN"/>
        </w:rPr>
        <w:t>土壤</w:t>
      </w:r>
      <w:r>
        <w:rPr>
          <w:rFonts w:hint="default"/>
          <w:color w:val="auto"/>
          <w:highlight w:val="none"/>
        </w:rPr>
        <w:t>污染防治措施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造成土地及植被的损毁。为减少以上对土壤的影响，应采取下列措施：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（1）加强已损毁土壤及植被周围环境的保护工作，把破坏程度降到最低。</w:t>
      </w:r>
    </w:p>
    <w:p>
      <w:pPr>
        <w:pStyle w:val="78"/>
        <w:ind w:firstLine="488"/>
        <w:rPr>
          <w:rFonts w:hint="default" w:ascii="Times New Roman" w:hAnsi="Times New Roman" w:eastAsia="宋体" w:cs="Times New Roman"/>
          <w:color w:val="auto"/>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rPr>
        <w:t>（2）服务期满后按照相关土地恢复治理方案要求，对工业场地进行恢复、治理及复垦。</w:t>
      </w:r>
    </w:p>
    <w:p>
      <w:pPr>
        <w:pStyle w:val="4"/>
        <w:bidi w:val="0"/>
        <w:ind w:left="0" w:leftChars="0" w:firstLineChars="0"/>
        <w:rPr>
          <w:rFonts w:hint="default"/>
          <w:color w:val="auto"/>
          <w:highlight w:val="none"/>
        </w:rPr>
      </w:pPr>
      <w:bookmarkStart w:id="629" w:name="_Toc369000264"/>
      <w:bookmarkStart w:id="630" w:name="_Toc450827107"/>
      <w:bookmarkStart w:id="631" w:name="_Toc515537866"/>
      <w:bookmarkStart w:id="632" w:name="_Toc395187040"/>
      <w:bookmarkStart w:id="633" w:name="_Toc368298939"/>
      <w:bookmarkStart w:id="634" w:name="_Toc377022579"/>
      <w:bookmarkStart w:id="635" w:name="_Toc368298847"/>
      <w:bookmarkStart w:id="636" w:name="_Toc1898"/>
      <w:bookmarkStart w:id="637" w:name="_Toc15376213"/>
      <w:r>
        <w:rPr>
          <w:rFonts w:hint="default"/>
          <w:color w:val="auto"/>
          <w:highlight w:val="none"/>
        </w:rPr>
        <w:t>运营期污染防治措施</w:t>
      </w:r>
      <w:bookmarkEnd w:id="629"/>
      <w:bookmarkEnd w:id="630"/>
      <w:bookmarkEnd w:id="631"/>
      <w:bookmarkEnd w:id="632"/>
      <w:bookmarkEnd w:id="633"/>
      <w:bookmarkEnd w:id="634"/>
      <w:bookmarkEnd w:id="635"/>
      <w:r>
        <w:rPr>
          <w:rFonts w:hint="default"/>
          <w:color w:val="auto"/>
          <w:highlight w:val="none"/>
        </w:rPr>
        <w:t>及可行性分析</w:t>
      </w:r>
      <w:bookmarkEnd w:id="636"/>
      <w:bookmarkEnd w:id="637"/>
    </w:p>
    <w:p>
      <w:pPr>
        <w:pStyle w:val="5"/>
        <w:bidi w:val="0"/>
        <w:rPr>
          <w:rFonts w:hint="default"/>
          <w:color w:val="auto"/>
          <w:highlight w:val="none"/>
        </w:rPr>
      </w:pPr>
      <w:r>
        <w:rPr>
          <w:rFonts w:hint="default"/>
          <w:color w:val="auto"/>
          <w:highlight w:val="none"/>
        </w:rPr>
        <w:t>大气污染防治措施</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（一）防治措施</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本项目所排放的大气污染物主要来自</w:t>
      </w:r>
      <w:r>
        <w:rPr>
          <w:rFonts w:hint="eastAsia" w:ascii="Times New Roman" w:hAnsi="Times New Roman" w:eastAsia="宋体" w:cs="Times New Roman"/>
          <w:color w:val="auto"/>
          <w:highlight w:val="none"/>
          <w:lang w:val="en-US" w:eastAsia="zh-CN"/>
        </w:rPr>
        <w:t>露天及</w:t>
      </w:r>
      <w:r>
        <w:rPr>
          <w:rFonts w:hint="default" w:ascii="Times New Roman" w:hAnsi="Times New Roman" w:eastAsia="宋体" w:cs="Times New Roman"/>
          <w:color w:val="auto"/>
          <w:highlight w:val="none"/>
        </w:rPr>
        <w:t>地下开采、废石装卸、道路运输产生的粉尘。</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eastAsia" w:ascii="Times New Roman" w:hAnsi="Times New Roman" w:eastAsia="宋体" w:cs="Times New Roman"/>
          <w:color w:val="auto"/>
          <w:highlight w:val="none"/>
          <w:lang w:val="en-US" w:eastAsia="zh-CN"/>
        </w:rPr>
        <w:t>露天及</w:t>
      </w:r>
      <w:r>
        <w:rPr>
          <w:rFonts w:hint="default" w:ascii="Times New Roman" w:hAnsi="Times New Roman" w:eastAsia="宋体" w:cs="Times New Roman"/>
          <w:color w:val="auto"/>
          <w:highlight w:val="none"/>
        </w:rPr>
        <w:t>地下开采粉尘防治</w:t>
      </w:r>
    </w:p>
    <w:p>
      <w:pPr>
        <w:pStyle w:val="78"/>
        <w:ind w:firstLine="488"/>
        <w:rPr>
          <w:rFonts w:hint="default" w:ascii="Times New Roman" w:hAnsi="Times New Roman" w:eastAsia="宋体" w:cs="Times New Roman"/>
          <w:color w:val="auto"/>
          <w:highlight w:val="none"/>
        </w:rPr>
      </w:pP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lang w:val="en-US" w:eastAsia="zh-CN"/>
        </w:rPr>
        <w:t>露天开采采用湿式凿岩，作业面喷雾洒水等措施后，</w:t>
      </w:r>
      <w:r>
        <w:rPr>
          <w:rFonts w:hint="default" w:ascii="Times New Roman" w:hAnsi="Times New Roman" w:eastAsia="宋体" w:cs="Times New Roman"/>
          <w:color w:val="auto"/>
          <w:highlight w:val="none"/>
          <w:vertAlign w:val="baseline"/>
          <w:lang w:val="en-US" w:eastAsia="zh-CN"/>
        </w:rPr>
        <w:t>排放的废气对周围环境影响较小。</w:t>
      </w:r>
      <w:r>
        <w:rPr>
          <w:rFonts w:hint="default" w:ascii="Times New Roman" w:hAnsi="Times New Roman" w:eastAsia="宋体" w:cs="Times New Roman"/>
          <w:color w:val="auto"/>
          <w:highlight w:val="none"/>
        </w:rPr>
        <w:t>井下凿岩穿孔采用湿式作业，在主要产尘点安装喷雾器喷水洒尘；铲装、爆破作业进行喷水降尘；对主要入风平巷、凿进工作面作业前和装矿时定期洒水，增加矿石含水率。最后粉尘通过井下通风装置外排到地面。</w:t>
      </w:r>
    </w:p>
    <w:p>
      <w:pPr>
        <w:spacing w:beforeLines="0" w:afterLines="0"/>
        <w:jc w:val="left"/>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塑料代替一部分炮泥装入炮眼的水封爆破。爆破时，水袋破裂形成细小水雾，以达到防止粉尘飞扬的目的。</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3）爆堆和装卸作业点经常进行洒水。</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4）定期清洗岩壁。</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本项目针对开采过程中产生的粉尘、扬尘所采用的防治措施均为目前矿山开采较成熟的措施，其治理效果明显，已经被矿山开采企业普遍认可，采用以上各种降尘措施后，风井内粉尘含量可降至1.0mg/m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以下。经预测，由风机排出的粉尘、</w:t>
      </w:r>
      <w:r>
        <w:rPr>
          <w:rFonts w:hint="eastAsia" w:cs="Times New Roman"/>
          <w:color w:val="auto"/>
          <w:sz w:val="24"/>
          <w:szCs w:val="24"/>
          <w:highlight w:val="none"/>
          <w:lang w:val="en-US" w:eastAsia="zh-CN"/>
        </w:rPr>
        <w:t>临时排岩场</w:t>
      </w:r>
      <w:r>
        <w:rPr>
          <w:rFonts w:hint="default" w:ascii="Times New Roman" w:hAnsi="Times New Roman" w:eastAsia="宋体" w:cs="Times New Roman"/>
          <w:color w:val="auto"/>
          <w:sz w:val="24"/>
          <w:szCs w:val="24"/>
          <w:highlight w:val="none"/>
        </w:rPr>
        <w:t>扬尘及倒装场装卸扬尘在矿界处的浓度符合《大气污染物综合排放标准》（GB16297-1996）中颗粒物无组织1.0mg/m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的排放限值。因此，项目拟采用的大气污染防治措施在技术上是可行。</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w:t>
      </w:r>
      <w:r>
        <w:rPr>
          <w:rFonts w:hint="eastAsia" w:cs="Times New Roman"/>
          <w:color w:val="auto"/>
          <w:sz w:val="24"/>
          <w:szCs w:val="24"/>
          <w:highlight w:val="none"/>
          <w:lang w:val="en-US" w:eastAsia="zh-CN"/>
        </w:rPr>
        <w:t>排岩</w:t>
      </w:r>
      <w:r>
        <w:rPr>
          <w:rFonts w:hint="default" w:ascii="Times New Roman" w:hAnsi="Times New Roman" w:eastAsia="宋体" w:cs="Times New Roman"/>
          <w:color w:val="auto"/>
          <w:sz w:val="24"/>
          <w:szCs w:val="24"/>
          <w:highlight w:val="none"/>
        </w:rPr>
        <w:t>场及装卸起尘</w:t>
      </w:r>
    </w:p>
    <w:p>
      <w:pPr>
        <w:spacing w:beforeLines="0" w:afterLines="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本项目矿区内设有</w:t>
      </w:r>
      <w:r>
        <w:rPr>
          <w:rFonts w:hint="eastAsia" w:cs="Times New Roman"/>
          <w:color w:val="auto"/>
          <w:sz w:val="24"/>
          <w:szCs w:val="24"/>
          <w:highlight w:val="none"/>
          <w:lang w:val="en-US" w:eastAsia="zh-CN"/>
        </w:rPr>
        <w:t>临时排岩场</w:t>
      </w:r>
      <w:r>
        <w:rPr>
          <w:rFonts w:hint="default" w:ascii="Times New Roman" w:hAnsi="Times New Roman" w:eastAsia="宋体" w:cs="Times New Roman"/>
          <w:color w:val="auto"/>
          <w:sz w:val="24"/>
          <w:szCs w:val="24"/>
          <w:highlight w:val="none"/>
        </w:rPr>
        <w:t>，粉尘的产生量与矿岩的块度、含湿量和装运量有关。矿岩铲装、卸车过程中产生的扬尘采取定期洒水措施；在矿岩装卸过程中应尽量降低矿岩落料的高差，以减少粉尘飞扬，减少矿岩运转过程中粉尘的产生。采用活动软管喷洒装置对堆场进行喷雾洒水、防风抑尘网等抑尘措施，从而减少铲卸车过程、堆场产生的无组织排放粉尘量。</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（3）道路运输起尘防治</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矿区道路已经形成，本项目利用原有道路中途途经敏感点的路线进行硬化，道路两侧加强绿化。</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矿山汽车运输路面扬尘浓度大小受风速、路面岩石性质、汽车行驶速度等多方面因素影响。针对无组织道路扬尘采取以下措施进行污染防治：</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1）对运输道路采取洒水车洒水降尘，视天气状况适当调整洒水频率和洒水量，在干旱大风天气增加洒水频次，可有效控制道路扬尘影响。</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2）限制车速，车速在30km/h以下，可有效抑制粉尘的产生。</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3）加强对运输车辆装载量的管理，严禁超载；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4）加盖苫布，防止矿石遗落；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5）对运输道路定期维护，保持路面平整，避免坑凹出现；</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6）保持出入口通道及道路两侧范围内的整洁，降低扬尘；</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7）运输道路沿线边坡和路两侧绿化，可起到防止水土流失、降尘作用。</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（二）环境空气污染防治措施可行性分析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（1）湿式凿岩、井下喷水防尘等措施，为广泛应用于矿山开采的通用治理技术，所用设备简单、操作方便、投资少，措施是合理可行的。</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根据生产经验，降低装卸高度可以有效地减少起尘，装卸高度减少一半，起尘量减少52%；增加废石含水量也能有效抑制起尘，增加含水量2.5%，起尘量可以减少一半。同样风速也能减少起尘，风速降低一半，起尘量可减少70%。</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运输道路硬化、洒水抑尘、限制车速、车辆加盖篷布以及车辆清洗是常用的道路扬尘治理技术，在矿山使用普遍，效果明显。在采取上述措施后，矿石运输过程中产生的少量扬尘对道路沿线两侧居民影响较小，道路扬尘污染防治措施可行。</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针对开采过程产生的粉尘、扬尘所采用的的防治措施均为目前矿山开采所采用的成熟的措施。其治理效果明显，已经被矿山开采企业普遍认可，技术上可行；这些措施投资少，运行效果可靠，运行费用低，企业可接受，所以经济上可行。本项目采取的大气污染防治措施合理可行。</w:t>
      </w:r>
    </w:p>
    <w:p>
      <w:pPr>
        <w:pStyle w:val="5"/>
        <w:bidi w:val="0"/>
        <w:rPr>
          <w:rFonts w:hint="default"/>
          <w:color w:val="auto"/>
          <w:highlight w:val="none"/>
        </w:rPr>
      </w:pPr>
      <w:r>
        <w:rPr>
          <w:rFonts w:hint="default"/>
          <w:color w:val="auto"/>
          <w:highlight w:val="none"/>
          <w:lang w:val="en-US" w:eastAsia="zh-CN"/>
        </w:rPr>
        <w:t>地表水</w:t>
      </w:r>
      <w:r>
        <w:rPr>
          <w:rFonts w:hint="default"/>
          <w:color w:val="auto"/>
          <w:highlight w:val="none"/>
        </w:rPr>
        <w:t>污染防治措施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（1）生活污水</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活污水由旱厕处理，定期清掏，不外排。本项目所雇用工人均为周边村民，生活用水主要为饮用水及一般生活用水，通过外运水的形式提供。主要的排水为人体代谢物，即粪便。粪便可以用于农作物做有机肥，是一种农村常用的绿叶肥。项目周边分布有村庄，因此通过设置旱厕，定期清掏的方式即可以避免生活废水对环境的污染，又可充分利用资源。环评要求做好旱厕防渗、密闭措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通过上述分析，环评人为本项目采取的生活污水治理措施合理可行。</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矿井涌水</w:t>
      </w:r>
      <w:r>
        <w:rPr>
          <w:rFonts w:hint="eastAsia" w:ascii="Times New Roman" w:hAnsi="Times New Roman" w:eastAsia="宋体" w:cs="Times New Roman"/>
          <w:color w:val="auto"/>
          <w:highlight w:val="none"/>
          <w:lang w:val="en-US" w:eastAsia="zh-CN"/>
        </w:rPr>
        <w:t>和</w:t>
      </w:r>
      <w:r>
        <w:rPr>
          <w:rFonts w:hint="eastAsia" w:cs="Times New Roman"/>
          <w:color w:val="auto"/>
          <w:highlight w:val="none"/>
          <w:lang w:val="en-US" w:eastAsia="zh-CN"/>
        </w:rPr>
        <w:t>采坑集水</w:t>
      </w:r>
      <w:r>
        <w:rPr>
          <w:rFonts w:hint="default" w:ascii="Times New Roman" w:hAnsi="Times New Roman" w:eastAsia="宋体" w:cs="Times New Roman"/>
          <w:color w:val="auto"/>
          <w:highlight w:val="none"/>
          <w:lang w:val="en-US" w:eastAsia="zh-CN"/>
        </w:rPr>
        <w:t>综合利用</w:t>
      </w:r>
      <w:r>
        <w:rPr>
          <w:rFonts w:hint="default" w:ascii="Times New Roman" w:hAnsi="Times New Roman" w:eastAsia="宋体" w:cs="Times New Roman"/>
          <w:color w:val="auto"/>
          <w:highlight w:val="none"/>
        </w:rPr>
        <w:t>可行性分析</w:t>
      </w:r>
    </w:p>
    <w:p>
      <w:pPr>
        <w:pStyle w:val="78"/>
        <w:ind w:firstLine="488" w:firstLineChars="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1</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井下涌水</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井下涌水经沉淀后接入矿区内高位水池，全部复用于井下凿岩、井下防尘、矿岩装卸洒水、道路洒水、车辆清洗水、绿化用水等，不外排。</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矿井井下排水的实质为地下水的疏散，其在输送过程中带入部分泥沙。经过沉淀后的井下涌水可满足矿山生产、防尘洒水及选矿厂需求。根据开发利用方案，本项目矿井最大涌水量为</w:t>
      </w:r>
      <w:r>
        <w:rPr>
          <w:rFonts w:hint="eastAsia"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/d。矿井涌水</w:t>
      </w:r>
      <w:r>
        <w:rPr>
          <w:rFonts w:hint="default" w:ascii="Times New Roman" w:hAnsi="Times New Roman" w:eastAsia="宋体" w:cs="Times New Roman"/>
          <w:color w:val="auto"/>
          <w:highlight w:val="none"/>
          <w:lang w:val="en-US" w:eastAsia="zh-CN"/>
        </w:rPr>
        <w:t>部分</w:t>
      </w:r>
      <w:r>
        <w:rPr>
          <w:rFonts w:hint="default" w:ascii="Times New Roman" w:hAnsi="Times New Roman" w:eastAsia="宋体" w:cs="Times New Roman"/>
          <w:color w:val="auto"/>
          <w:highlight w:val="none"/>
        </w:rPr>
        <w:t>被项目自身所利用。非正常工况下，出现矿井涌水不能回用的情况，可暂存于</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个蓄水池（共</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00</w:t>
      </w:r>
      <w:r>
        <w:rPr>
          <w:rFonts w:hint="default" w:ascii="Times New Roman" w:hAnsi="Times New Roman" w:eastAsia="宋体" w:cs="Times New Roman"/>
          <w:color w:val="auto"/>
          <w:highlight w:val="none"/>
        </w:rPr>
        <w:t>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）。事故状况下，项目可储存</w:t>
      </w:r>
      <w:r>
        <w:rPr>
          <w:rFonts w:hint="eastAsia"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天的矿井最大涌水量。可全部用于矿山抑尘、绿化用水等。</w:t>
      </w:r>
    </w:p>
    <w:p>
      <w:pPr>
        <w:ind w:firstLine="480"/>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2</w:t>
      </w:r>
      <w:r>
        <w:rPr>
          <w:rFonts w:hint="eastAsia" w:ascii="Times New Roman" w:hAnsi="Times New Roman" w:eastAsia="宋体" w:cs="Times New Roman"/>
          <w:bCs/>
          <w:color w:val="auto"/>
          <w:highlight w:val="none"/>
          <w:lang w:eastAsia="zh-CN"/>
        </w:rPr>
        <w:t>）</w:t>
      </w:r>
      <w:r>
        <w:rPr>
          <w:rFonts w:hint="eastAsia" w:cs="Times New Roman"/>
          <w:bCs/>
          <w:color w:val="auto"/>
          <w:highlight w:val="none"/>
          <w:lang w:val="en-US" w:eastAsia="zh-CN"/>
        </w:rPr>
        <w:t>采坑集水</w:t>
      </w:r>
    </w:p>
    <w:p>
      <w:pPr>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highlight w:val="none"/>
          <w:lang w:val="en-US" w:eastAsia="zh-CN"/>
        </w:rPr>
        <w:t>根据开发利用方案，矿区水文地质条件简单，矿床充水主要为大气降水，本区年平均降水量为854.5mm，最多年达1248.1mm，最少年为485.0mm，年蒸发量为1210.5mm，蒸发量多大于降水量。露天一、二采场均为山坡露天式，少量</w:t>
      </w:r>
      <w:r>
        <w:rPr>
          <w:rFonts w:hint="eastAsia" w:cs="Times New Roman"/>
          <w:color w:val="auto"/>
          <w:highlight w:val="none"/>
          <w:lang w:val="en-US" w:eastAsia="zh-CN"/>
        </w:rPr>
        <w:t>采坑集水</w:t>
      </w:r>
      <w:r>
        <w:rPr>
          <w:rFonts w:hint="default" w:ascii="Times New Roman" w:hAnsi="Times New Roman" w:eastAsia="宋体" w:cs="Times New Roman"/>
          <w:color w:val="auto"/>
          <w:highlight w:val="none"/>
          <w:lang w:val="en-US" w:eastAsia="zh-CN"/>
        </w:rPr>
        <w:t>排出至沉淀池回用于钻孔、堆场及道路洒水降尘等。暴雨期间的</w:t>
      </w:r>
      <w:r>
        <w:rPr>
          <w:rFonts w:hint="eastAsia" w:cs="Times New Roman"/>
          <w:color w:val="auto"/>
          <w:highlight w:val="none"/>
          <w:lang w:val="en-US" w:eastAsia="zh-CN"/>
        </w:rPr>
        <w:t>采坑集水</w:t>
      </w:r>
      <w:r>
        <w:rPr>
          <w:rFonts w:hint="eastAsia" w:ascii="Times New Roman" w:hAnsi="Times New Roman" w:cs="Times New Roman"/>
          <w:color w:val="auto"/>
          <w:highlight w:val="none"/>
          <w:lang w:val="en-US" w:eastAsia="zh-CN"/>
        </w:rPr>
        <w:t>最大量为</w:t>
      </w:r>
      <w:r>
        <w:rPr>
          <w:rFonts w:hint="default" w:ascii="Times New Roman" w:hAnsi="Times New Roman" w:eastAsia="宋体" w:cs="Times New Roman"/>
          <w:color w:val="auto"/>
          <w:sz w:val="24"/>
          <w:szCs w:val="24"/>
          <w:highlight w:val="none"/>
        </w:rPr>
        <w:t>358m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highlight w:val="none"/>
          <w:lang w:val="en-US" w:eastAsia="zh-CN"/>
        </w:rPr>
        <w:t>露天一、二采场分别</w:t>
      </w:r>
      <w:r>
        <w:rPr>
          <w:rFonts w:hint="default" w:ascii="Times New Roman" w:hAnsi="Times New Roman" w:eastAsia="宋体" w:cs="Times New Roman"/>
          <w:color w:val="auto"/>
          <w:sz w:val="24"/>
          <w:szCs w:val="24"/>
          <w:highlight w:val="none"/>
        </w:rPr>
        <w:t>建1座容积</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00m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rPr>
        <w:t>初期雨水收集池，沉淀后回用于场地抑尘洒水。</w:t>
      </w:r>
    </w:p>
    <w:p>
      <w:pPr>
        <w:ind w:firstLine="48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由上述分析可知，本项目井下排水</w:t>
      </w:r>
      <w:r>
        <w:rPr>
          <w:rFonts w:hint="eastAsia" w:ascii="Times New Roman" w:hAnsi="Times New Roman" w:cs="Times New Roman"/>
          <w:bCs/>
          <w:color w:val="auto"/>
          <w:highlight w:val="none"/>
          <w:lang w:val="en-US" w:eastAsia="zh-CN"/>
        </w:rPr>
        <w:t>和</w:t>
      </w:r>
      <w:r>
        <w:rPr>
          <w:rFonts w:hint="eastAsia" w:cs="Times New Roman"/>
          <w:bCs/>
          <w:color w:val="auto"/>
          <w:highlight w:val="none"/>
          <w:lang w:val="en-US" w:eastAsia="zh-CN"/>
        </w:rPr>
        <w:t>采坑集水</w:t>
      </w:r>
      <w:r>
        <w:rPr>
          <w:rFonts w:hint="default" w:ascii="Times New Roman" w:hAnsi="Times New Roman" w:eastAsia="宋体" w:cs="Times New Roman"/>
          <w:bCs/>
          <w:color w:val="auto"/>
          <w:highlight w:val="none"/>
        </w:rPr>
        <w:t>全部复用不外排是可行的</w:t>
      </w:r>
      <w:r>
        <w:rPr>
          <w:rFonts w:hint="default" w:ascii="Times New Roman" w:hAnsi="Times New Roman" w:eastAsia="宋体" w:cs="Times New Roman"/>
          <w:bCs/>
          <w:color w:val="auto"/>
          <w:highlight w:val="none"/>
          <w:lang w:eastAsia="zh-CN"/>
        </w:rPr>
        <w:t>，</w:t>
      </w:r>
      <w:r>
        <w:rPr>
          <w:rFonts w:hint="default" w:ascii="Times New Roman" w:hAnsi="Times New Roman" w:eastAsia="宋体" w:cs="Times New Roman"/>
          <w:bCs/>
          <w:color w:val="auto"/>
          <w:highlight w:val="none"/>
          <w:lang w:val="en-US" w:eastAsia="zh-CN"/>
        </w:rPr>
        <w:t>项目对地表水环境影响不大</w:t>
      </w:r>
      <w:r>
        <w:rPr>
          <w:rFonts w:hint="default" w:ascii="Times New Roman" w:hAnsi="Times New Roman" w:eastAsia="宋体" w:cs="Times New Roman"/>
          <w:bCs/>
          <w:color w:val="auto"/>
          <w:highlight w:val="none"/>
        </w:rPr>
        <w:t>。</w:t>
      </w:r>
    </w:p>
    <w:p>
      <w:pPr>
        <w:pStyle w:val="5"/>
        <w:bidi w:val="0"/>
        <w:rPr>
          <w:rFonts w:hint="default"/>
          <w:color w:val="auto"/>
          <w:highlight w:val="none"/>
        </w:rPr>
      </w:pPr>
      <w:bookmarkStart w:id="638" w:name="_Toc316410399"/>
      <w:bookmarkStart w:id="639" w:name="_Toc450827110"/>
      <w:r>
        <w:rPr>
          <w:rFonts w:hint="default"/>
          <w:color w:val="auto"/>
          <w:highlight w:val="none"/>
        </w:rPr>
        <w:t>地下水污染防治措施</w:t>
      </w:r>
      <w:bookmarkEnd w:id="638"/>
      <w:bookmarkEnd w:id="639"/>
    </w:p>
    <w:p>
      <w:pPr>
        <w:bidi w:val="0"/>
        <w:rPr>
          <w:rFonts w:hint="default"/>
          <w:color w:val="auto"/>
          <w:highlight w:val="none"/>
        </w:rPr>
      </w:pPr>
      <w:r>
        <w:rPr>
          <w:rFonts w:hint="default"/>
          <w:color w:val="auto"/>
          <w:highlight w:val="none"/>
        </w:rPr>
        <w:t>根据项目特点和当地实际情况，按照</w:t>
      </w:r>
      <w:r>
        <w:rPr>
          <w:rFonts w:hint="eastAsia"/>
          <w:color w:val="auto"/>
          <w:highlight w:val="none"/>
          <w:lang w:eastAsia="zh-CN"/>
        </w:rPr>
        <w:t>“</w:t>
      </w:r>
      <w:r>
        <w:rPr>
          <w:rFonts w:hint="default"/>
          <w:color w:val="auto"/>
          <w:highlight w:val="none"/>
        </w:rPr>
        <w:t>源头控制，分区防治，污染监控，应急响应</w:t>
      </w:r>
      <w:r>
        <w:rPr>
          <w:rFonts w:hint="eastAsia"/>
          <w:color w:val="auto"/>
          <w:highlight w:val="none"/>
          <w:lang w:eastAsia="zh-CN"/>
        </w:rPr>
        <w:t>”</w:t>
      </w:r>
      <w:r>
        <w:rPr>
          <w:rFonts w:hint="default"/>
          <w:color w:val="auto"/>
          <w:highlight w:val="none"/>
        </w:rPr>
        <w:t>的地下水污染防治总体原则保护地下水。</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bookmarkStart w:id="640" w:name="_Toc439598387"/>
      <w:bookmarkStart w:id="641" w:name="_Toc351048262"/>
      <w:bookmarkStart w:id="642" w:name="_Toc310712333"/>
      <w:bookmarkStart w:id="643" w:name="_Toc420260289"/>
      <w:bookmarkStart w:id="644" w:name="_Toc363640833"/>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.2.3.1污染源控制措施</w:t>
      </w:r>
      <w:bookmarkEnd w:id="640"/>
      <w:bookmarkEnd w:id="641"/>
      <w:bookmarkEnd w:id="642"/>
      <w:bookmarkEnd w:id="643"/>
      <w:bookmarkEnd w:id="644"/>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（1）减少污染物排放量</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项目废水主要是矿井涌水和生活污水，项目矿山应按照设计及环评要求，建成后矿井涌水和生活污水均能得到有效处理并且全部回用于生产、降尘等，有效降低废水污染物排放量。从而最大限度减少污染物的排放，减轻地下水污染负荷；加强对废石处置的管理，本项目产生的</w:t>
      </w:r>
      <w:r>
        <w:rPr>
          <w:rFonts w:hint="default" w:ascii="Times New Roman" w:hAnsi="Times New Roman" w:eastAsia="宋体" w:cs="Times New Roman"/>
          <w:color w:val="auto"/>
          <w:highlight w:val="none"/>
          <w:lang w:val="en-US" w:eastAsia="zh-CN"/>
        </w:rPr>
        <w:t>开采</w:t>
      </w:r>
      <w:r>
        <w:rPr>
          <w:rFonts w:hint="default" w:ascii="Times New Roman" w:hAnsi="Times New Roman" w:eastAsia="宋体" w:cs="Times New Roman"/>
          <w:color w:val="auto"/>
          <w:highlight w:val="none"/>
        </w:rPr>
        <w:t>废石</w:t>
      </w:r>
      <w:r>
        <w:rPr>
          <w:rFonts w:hint="default" w:ascii="Times New Roman" w:hAnsi="Times New Roman" w:eastAsia="宋体" w:cs="Times New Roman"/>
          <w:color w:val="auto"/>
          <w:highlight w:val="none"/>
          <w:lang w:val="en-US" w:eastAsia="zh-CN"/>
        </w:rPr>
        <w:t>开采结束后</w:t>
      </w:r>
      <w:r>
        <w:rPr>
          <w:rFonts w:hint="default" w:ascii="Times New Roman" w:hAnsi="Times New Roman" w:eastAsia="宋体" w:cs="Times New Roman"/>
          <w:color w:val="auto"/>
          <w:highlight w:val="none"/>
        </w:rPr>
        <w:t>均应全部回填井下采空区</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防止废石经淋滤对地下水的污染；对</w:t>
      </w:r>
      <w:r>
        <w:rPr>
          <w:rFonts w:hint="default" w:ascii="Times New Roman" w:hAnsi="Times New Roman" w:eastAsia="宋体" w:cs="Times New Roman"/>
          <w:color w:val="auto"/>
          <w:highlight w:val="none"/>
          <w:lang w:val="en-US" w:eastAsia="zh-CN"/>
        </w:rPr>
        <w:t>已开采完的平硐和硐口工业</w:t>
      </w:r>
      <w:r>
        <w:rPr>
          <w:rFonts w:hint="default" w:ascii="Times New Roman" w:hAnsi="Times New Roman" w:eastAsia="宋体" w:cs="Times New Roman"/>
          <w:color w:val="auto"/>
          <w:highlight w:val="none"/>
        </w:rPr>
        <w:t>场地清理后</w:t>
      </w:r>
      <w:r>
        <w:rPr>
          <w:rFonts w:hint="default" w:ascii="Times New Roman" w:hAnsi="Times New Roman" w:eastAsia="宋体" w:cs="Times New Roman"/>
          <w:color w:val="auto"/>
          <w:highlight w:val="none"/>
          <w:lang w:val="en-US" w:eastAsia="zh-CN"/>
        </w:rPr>
        <w:t>立即进行</w:t>
      </w:r>
      <w:r>
        <w:rPr>
          <w:rFonts w:hint="default" w:ascii="Times New Roman" w:hAnsi="Times New Roman" w:eastAsia="宋体" w:cs="Times New Roman"/>
          <w:color w:val="auto"/>
          <w:highlight w:val="none"/>
        </w:rPr>
        <w:t>平整，全面覆土、植被恢复。</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（2）防止污染物的跑、冒、滴、漏</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对管道、设备、污水储存及处理构筑物、危废暂存间等区域，地面采用混凝土铺砌，同时加强设备维护，防止漏油现象发生。</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（3）生活垃圾及其它固废</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矿山生活垃圾集中收集后能回用的尽量回用，不能回用的堆肥后用于矿区绿化。其它固废均按环保要求进行处置或综合利用，禁止随意堆放或排弃。</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bookmarkStart w:id="645" w:name="_Toc420260290"/>
      <w:bookmarkStart w:id="646" w:name="_Toc439598388"/>
      <w:bookmarkStart w:id="647" w:name="_Toc363640834"/>
      <w:bookmarkStart w:id="648" w:name="_Toc310712334"/>
      <w:bookmarkStart w:id="649" w:name="_Toc351048263"/>
      <w:bookmarkStart w:id="650" w:name="_Toc317674963"/>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.2.3.2分区防渗控制措施</w:t>
      </w:r>
      <w:bookmarkEnd w:id="645"/>
      <w:bookmarkEnd w:id="646"/>
      <w:bookmarkEnd w:id="647"/>
      <w:bookmarkEnd w:id="648"/>
      <w:bookmarkEnd w:id="649"/>
      <w:bookmarkEnd w:id="650"/>
    </w:p>
    <w:p>
      <w:pPr>
        <w:ind w:firstLine="488"/>
        <w:rPr>
          <w:rFonts w:hint="default" w:ascii="Times New Roman" w:hAnsi="Times New Roman" w:eastAsia="宋体" w:cs="Times New Roman"/>
          <w:color w:val="auto"/>
          <w:spacing w:val="2"/>
          <w:kern w:val="0"/>
          <w:szCs w:val="21"/>
          <w:highlight w:val="none"/>
        </w:rPr>
      </w:pPr>
      <w:bookmarkStart w:id="651" w:name="_Toc420260293"/>
      <w:bookmarkStart w:id="652" w:name="_Toc439598391"/>
      <w:r>
        <w:rPr>
          <w:rFonts w:hint="default" w:ascii="Times New Roman" w:hAnsi="Times New Roman" w:eastAsia="宋体" w:cs="Times New Roman"/>
          <w:color w:val="auto"/>
          <w:spacing w:val="2"/>
          <w:kern w:val="0"/>
          <w:szCs w:val="21"/>
          <w:highlight w:val="none"/>
        </w:rPr>
        <w:t>根据HJ610-2016《环境影响评价技术导则地下水》，本项目对地下水水质可能产生影响的主要是</w:t>
      </w:r>
      <w:r>
        <w:rPr>
          <w:rFonts w:hint="default" w:ascii="Times New Roman" w:hAnsi="Times New Roman" w:eastAsia="宋体" w:cs="Times New Roman"/>
          <w:color w:val="auto"/>
          <w:spacing w:val="2"/>
          <w:kern w:val="0"/>
          <w:szCs w:val="21"/>
          <w:highlight w:val="none"/>
          <w:lang w:val="en-US" w:eastAsia="zh-CN"/>
        </w:rPr>
        <w:t>废石临时堆场、沉淀池</w:t>
      </w:r>
      <w:r>
        <w:rPr>
          <w:rFonts w:hint="default" w:ascii="Times New Roman" w:hAnsi="Times New Roman" w:eastAsia="宋体" w:cs="Times New Roman"/>
          <w:color w:val="auto"/>
          <w:spacing w:val="2"/>
          <w:kern w:val="0"/>
          <w:szCs w:val="21"/>
          <w:highlight w:val="none"/>
        </w:rPr>
        <w:t>等新建工程。此部分设施当发生泄漏时可及时发现和处理，因此，项目污染控制难易程度为易；同时项目工业场地区天然包气带岩土层单层厚度0.5m≤Mb＜1.0m，渗透系数K≤10</w:t>
      </w:r>
      <w:r>
        <w:rPr>
          <w:rFonts w:hint="default" w:ascii="Times New Roman" w:hAnsi="Times New Roman" w:eastAsia="宋体" w:cs="Times New Roman"/>
          <w:color w:val="auto"/>
          <w:spacing w:val="2"/>
          <w:kern w:val="0"/>
          <w:szCs w:val="21"/>
          <w:highlight w:val="none"/>
          <w:vertAlign w:val="superscript"/>
        </w:rPr>
        <w:t>-7</w:t>
      </w:r>
      <w:r>
        <w:rPr>
          <w:rFonts w:hint="default" w:ascii="Times New Roman" w:hAnsi="Times New Roman" w:eastAsia="宋体" w:cs="Times New Roman"/>
          <w:color w:val="auto"/>
          <w:spacing w:val="2"/>
          <w:kern w:val="0"/>
          <w:szCs w:val="21"/>
          <w:highlight w:val="none"/>
        </w:rPr>
        <w:t>cm/s，且分布连续、稳定，因此，项目包气带防污性能中等。</w:t>
      </w:r>
    </w:p>
    <w:p>
      <w:p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spacing w:val="2"/>
          <w:kern w:val="0"/>
          <w:szCs w:val="21"/>
          <w:highlight w:val="none"/>
        </w:rPr>
        <w:t>本项目危险废物暂存库中暂存的废机油，如发生泄漏可能会对地下水产生影响。因此，本次将危废暂存库设置为重点污染防治区。</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本项目地下水污染防止分区如表</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rPr>
        <w:t>.2-1所示。</w:t>
      </w:r>
    </w:p>
    <w:p>
      <w:pPr>
        <w:spacing w:line="240" w:lineRule="auto"/>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rPr>
        <w:t>.2-1污染防治分区一览表</w:t>
      </w:r>
    </w:p>
    <w:tbl>
      <w:tblPr>
        <w:tblStyle w:val="45"/>
        <w:tblW w:w="928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31"/>
        <w:gridCol w:w="1272"/>
        <w:gridCol w:w="1135"/>
        <w:gridCol w:w="1274"/>
        <w:gridCol w:w="1276"/>
        <w:gridCol w:w="27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31"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设备设施</w:t>
            </w:r>
          </w:p>
        </w:tc>
        <w:tc>
          <w:tcPr>
            <w:tcW w:w="1272"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天然包气带防污性能</w:t>
            </w:r>
          </w:p>
        </w:tc>
        <w:tc>
          <w:tcPr>
            <w:tcW w:w="1135"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污染控制难易程度</w:t>
            </w:r>
          </w:p>
        </w:tc>
        <w:tc>
          <w:tcPr>
            <w:tcW w:w="1274"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污染物类型</w:t>
            </w:r>
          </w:p>
        </w:tc>
        <w:tc>
          <w:tcPr>
            <w:tcW w:w="127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污染防治分区</w:t>
            </w:r>
          </w:p>
        </w:tc>
        <w:tc>
          <w:tcPr>
            <w:tcW w:w="279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防渗要求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31" w:type="dxa"/>
            <w:vAlign w:val="center"/>
          </w:tcPr>
          <w:p>
            <w:pPr>
              <w:spacing w:line="240" w:lineRule="auto"/>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sz w:val="21"/>
                <w:szCs w:val="21"/>
                <w:highlight w:val="none"/>
              </w:rPr>
              <w:t>危废暂存库</w:t>
            </w:r>
          </w:p>
        </w:tc>
        <w:tc>
          <w:tcPr>
            <w:tcW w:w="127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中等</w:t>
            </w:r>
          </w:p>
        </w:tc>
        <w:tc>
          <w:tcPr>
            <w:tcW w:w="1135"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难</w:t>
            </w:r>
          </w:p>
        </w:tc>
        <w:tc>
          <w:tcPr>
            <w:tcW w:w="1274"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废机油</w:t>
            </w:r>
          </w:p>
        </w:tc>
        <w:tc>
          <w:tcPr>
            <w:tcW w:w="1276"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重点污染防治区</w:t>
            </w:r>
          </w:p>
        </w:tc>
        <w:tc>
          <w:tcPr>
            <w:tcW w:w="2799" w:type="dxa"/>
            <w:vAlign w:val="center"/>
          </w:tcPr>
          <w:p>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rPr>
              <w:t>重点污染防治区防渗层的防渗性能不低于6.0m厚，渗透系数为1.0×</w:t>
            </w:r>
            <w:r>
              <w:rPr>
                <w:rFonts w:hint="default" w:ascii="Times New Roman" w:hAnsi="Times New Roman" w:eastAsia="宋体" w:cs="Times New Roman"/>
                <w:color w:val="auto"/>
                <w:sz w:val="21"/>
                <w:szCs w:val="21"/>
                <w:highlight w:val="none"/>
                <w:lang w:val="sq-AL"/>
              </w:rPr>
              <w:t>10</w:t>
            </w:r>
            <w:r>
              <w:rPr>
                <w:rFonts w:hint="default" w:ascii="Times New Roman" w:hAnsi="Times New Roman" w:eastAsia="宋体" w:cs="Times New Roman"/>
                <w:color w:val="auto"/>
                <w:sz w:val="21"/>
                <w:szCs w:val="21"/>
                <w:highlight w:val="none"/>
                <w:vertAlign w:val="superscript"/>
                <w:lang w:val="sq-AL"/>
              </w:rPr>
              <w:t>-7</w:t>
            </w:r>
            <w:r>
              <w:rPr>
                <w:rFonts w:hint="default" w:ascii="Times New Roman" w:hAnsi="Times New Roman" w:eastAsia="宋体" w:cs="Times New Roman"/>
                <w:color w:val="auto"/>
                <w:sz w:val="21"/>
                <w:szCs w:val="21"/>
                <w:highlight w:val="none"/>
              </w:rPr>
              <w:t>cm/s的黏土层的防渗性能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31"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废石</w:t>
            </w:r>
            <w:r>
              <w:rPr>
                <w:rFonts w:hint="default" w:ascii="Times New Roman" w:hAnsi="Times New Roman" w:eastAsia="宋体" w:cs="Times New Roman"/>
                <w:bCs/>
                <w:color w:val="auto"/>
                <w:sz w:val="21"/>
                <w:szCs w:val="21"/>
                <w:highlight w:val="none"/>
                <w:lang w:val="en-US" w:eastAsia="zh-CN"/>
              </w:rPr>
              <w:t>临时堆场</w:t>
            </w:r>
          </w:p>
          <w:p>
            <w:pPr>
              <w:pStyle w:val="37"/>
              <w:ind w:left="0" w:leftChars="0" w:firstLine="0" w:firstLineChars="0"/>
              <w:jc w:val="center"/>
              <w:rPr>
                <w:rFonts w:hint="default" w:ascii="Times New Roman" w:hAnsi="Times New Roman" w:eastAsia="宋体" w:cs="Times New Roman"/>
                <w:color w:val="auto"/>
                <w:highlight w:val="none"/>
                <w:lang w:val="en-US" w:eastAsia="zh-CN"/>
              </w:rPr>
            </w:pPr>
            <w:r>
              <w:rPr>
                <w:rFonts w:hint="eastAsia" w:cs="Times New Roman"/>
                <w:bCs/>
                <w:color w:val="auto"/>
                <w:sz w:val="21"/>
                <w:szCs w:val="21"/>
                <w:highlight w:val="none"/>
                <w:lang w:val="en-US" w:eastAsia="zh-CN"/>
              </w:rPr>
              <w:t>蓄水</w:t>
            </w:r>
            <w:r>
              <w:rPr>
                <w:rFonts w:hint="default" w:ascii="Times New Roman" w:hAnsi="Times New Roman" w:eastAsia="宋体" w:cs="Times New Roman"/>
                <w:bCs/>
                <w:color w:val="auto"/>
                <w:sz w:val="21"/>
                <w:szCs w:val="21"/>
                <w:highlight w:val="none"/>
                <w:lang w:val="en-US" w:eastAsia="zh-CN"/>
              </w:rPr>
              <w:t>池</w:t>
            </w:r>
          </w:p>
        </w:tc>
        <w:tc>
          <w:tcPr>
            <w:tcW w:w="1272"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中等</w:t>
            </w:r>
          </w:p>
        </w:tc>
        <w:tc>
          <w:tcPr>
            <w:tcW w:w="1135"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难</w:t>
            </w:r>
          </w:p>
        </w:tc>
        <w:tc>
          <w:tcPr>
            <w:tcW w:w="1274"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spacing w:val="2"/>
                <w:kern w:val="0"/>
                <w:sz w:val="21"/>
                <w:szCs w:val="21"/>
                <w:highlight w:val="none"/>
              </w:rPr>
              <w:t>Mn</w:t>
            </w:r>
            <w:r>
              <w:rPr>
                <w:rFonts w:hint="default" w:ascii="Times New Roman" w:hAnsi="Times New Roman" w:eastAsia="宋体" w:cs="Times New Roman"/>
                <w:color w:val="auto"/>
                <w:spacing w:val="2"/>
                <w:kern w:val="0"/>
                <w:sz w:val="21"/>
                <w:szCs w:val="21"/>
                <w:highlight w:val="none"/>
                <w:lang w:val="en-US" w:eastAsia="zh-CN"/>
              </w:rPr>
              <w:t>等</w:t>
            </w:r>
          </w:p>
        </w:tc>
        <w:tc>
          <w:tcPr>
            <w:tcW w:w="1276"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一般防渗区</w:t>
            </w:r>
          </w:p>
        </w:tc>
        <w:tc>
          <w:tcPr>
            <w:tcW w:w="2799" w:type="dxa"/>
            <w:vAlign w:val="center"/>
          </w:tcPr>
          <w:p>
            <w:pPr>
              <w:spacing w:line="240" w:lineRule="auto"/>
              <w:ind w:firstLine="0" w:firstLineChars="0"/>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一般污染防治区防渗性能不低于1.5m厚，渗透系数为1.0×</w:t>
            </w:r>
            <w:r>
              <w:rPr>
                <w:rFonts w:hint="default" w:ascii="Times New Roman" w:hAnsi="Times New Roman" w:eastAsia="宋体" w:cs="Times New Roman"/>
                <w:color w:val="auto"/>
                <w:sz w:val="21"/>
                <w:szCs w:val="21"/>
                <w:highlight w:val="none"/>
                <w:lang w:val="sq-AL"/>
              </w:rPr>
              <w:t>10</w:t>
            </w:r>
            <w:r>
              <w:rPr>
                <w:rFonts w:hint="default" w:ascii="Times New Roman" w:hAnsi="Times New Roman" w:eastAsia="宋体" w:cs="Times New Roman"/>
                <w:color w:val="auto"/>
                <w:sz w:val="21"/>
                <w:szCs w:val="21"/>
                <w:highlight w:val="none"/>
                <w:vertAlign w:val="superscript"/>
                <w:lang w:val="sq-AL"/>
              </w:rPr>
              <w:t>-7</w:t>
            </w:r>
            <w:r>
              <w:rPr>
                <w:rFonts w:hint="default" w:ascii="Times New Roman" w:hAnsi="Times New Roman" w:eastAsia="宋体" w:cs="Times New Roman"/>
                <w:color w:val="auto"/>
                <w:sz w:val="21"/>
                <w:szCs w:val="21"/>
                <w:highlight w:val="none"/>
              </w:rPr>
              <w:t>cm/s的黏土层的防渗性能</w:t>
            </w:r>
          </w:p>
        </w:tc>
      </w:tr>
    </w:tbl>
    <w:p>
      <w:pPr>
        <w:bidi w:val="0"/>
        <w:ind w:left="0" w:leftChars="0" w:firstLine="0" w:firstLineChars="0"/>
        <w:rPr>
          <w:rFonts w:hint="default" w:ascii="Times New Roman" w:hAnsi="Times New Roman" w:eastAsia="宋体" w:cs="Times New Roman"/>
          <w:color w:val="auto"/>
          <w:highlight w:val="none"/>
          <w:lang w:val="en-US" w:eastAsia="zh-CN"/>
        </w:rPr>
      </w:pPr>
      <w:r>
        <w:rPr>
          <w:color w:val="auto"/>
        </w:rPr>
        <w:drawing>
          <wp:inline distT="0" distB="0" distL="114300" distR="114300">
            <wp:extent cx="5757545" cy="4083050"/>
            <wp:effectExtent l="0" t="0" r="14605" b="12700"/>
            <wp:docPr id="8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9"/>
                    <pic:cNvPicPr>
                      <a:picLocks noChangeAspect="1"/>
                    </pic:cNvPicPr>
                  </pic:nvPicPr>
                  <pic:blipFill>
                    <a:blip r:embed="rId233"/>
                    <a:stretch>
                      <a:fillRect/>
                    </a:stretch>
                  </pic:blipFill>
                  <pic:spPr>
                    <a:xfrm>
                      <a:off x="0" y="0"/>
                      <a:ext cx="5757545" cy="4083050"/>
                    </a:xfrm>
                    <a:prstGeom prst="rect">
                      <a:avLst/>
                    </a:prstGeom>
                    <a:noFill/>
                    <a:ln>
                      <a:noFill/>
                    </a:ln>
                  </pic:spPr>
                </pic:pic>
              </a:graphicData>
            </a:graphic>
          </wp:inline>
        </w:drawing>
      </w:r>
    </w:p>
    <w:p>
      <w:pPr>
        <w:pStyle w:val="37"/>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highlight w:val="none"/>
          <w:lang w:val="en-US" w:eastAsia="zh-CN"/>
        </w:rPr>
        <w:t>图</w:t>
      </w:r>
      <w:r>
        <w:rPr>
          <w:rFonts w:hint="eastAsia" w:ascii="Times New Roman" w:hAnsi="Times New Roman" w:eastAsia="宋体" w:cs="Times New Roman"/>
          <w:b/>
          <w:bCs/>
          <w:color w:val="auto"/>
          <w:highlight w:val="none"/>
          <w:lang w:val="en-US" w:eastAsia="zh-CN"/>
        </w:rPr>
        <w:t>8</w:t>
      </w:r>
      <w:r>
        <w:rPr>
          <w:rFonts w:hint="default" w:ascii="Times New Roman" w:hAnsi="Times New Roman" w:eastAsia="宋体" w:cs="Times New Roman"/>
          <w:b/>
          <w:bCs/>
          <w:color w:val="auto"/>
          <w:highlight w:val="none"/>
          <w:lang w:val="en-US" w:eastAsia="zh-CN"/>
        </w:rPr>
        <w:t>.2-1地下水防渗分区图</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rPr>
        <w:t>.2.3.3地下水</w:t>
      </w:r>
      <w:bookmarkEnd w:id="651"/>
      <w:bookmarkEnd w:id="652"/>
      <w:r>
        <w:rPr>
          <w:rFonts w:hint="default" w:ascii="Times New Roman" w:hAnsi="Times New Roman" w:eastAsia="宋体" w:cs="Times New Roman"/>
          <w:color w:val="auto"/>
          <w:sz w:val="24"/>
          <w:highlight w:val="none"/>
        </w:rPr>
        <w:t>跟踪监测计划</w:t>
      </w:r>
    </w:p>
    <w:p>
      <w:pPr>
        <w:pStyle w:val="301"/>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及时准确掌握场区及下游地下水环境质量状况和地下水体中污染物的动态变化，建设单位应根据项目场地地下水流向、污染物分布情况及污染物在地下水中的扩散形式，在项目场地及其周边区域布设一定数量的地下水污染监控井，建立地下水污染监控、预警体系。建立地下水长期监控系统，包括科学、合理地设置地下水污染监控井，建立完善的监测制度，以便及时发现并及时控制。</w:t>
      </w:r>
    </w:p>
    <w:p>
      <w:pPr>
        <w:pStyle w:val="301"/>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目前尚没有针对建设项目地下水环境监测的法律法规或规程规范，项目地下水环境监测主要参考《地下水环境监测技术规范》（HJ/T164-2004），结合项目区含水层系统和地下水径流系统特征，考虑潜在污染源、环境保护目标等因素，并结合模型模拟预测的结果来布置地下水监测点。</w:t>
      </w:r>
    </w:p>
    <w:p>
      <w:pPr>
        <w:pStyle w:val="78"/>
        <w:ind w:firstLine="488"/>
        <w:rPr>
          <w:rFonts w:hint="default" w:ascii="Times New Roman" w:hAnsi="Times New Roman" w:eastAsia="宋体" w:cs="Times New Roman"/>
          <w:color w:val="auto"/>
          <w:highlight w:val="none"/>
        </w:rPr>
      </w:pPr>
      <w:bookmarkStart w:id="653" w:name="_Toc420260294"/>
      <w:bookmarkStart w:id="654" w:name="_Toc439598392"/>
      <w:r>
        <w:rPr>
          <w:rFonts w:hint="default" w:ascii="Times New Roman" w:hAnsi="Times New Roman" w:eastAsia="宋体" w:cs="Times New Roman"/>
          <w:color w:val="auto"/>
          <w:highlight w:val="none"/>
        </w:rPr>
        <w:t>（1）地下水监测井布置</w:t>
      </w:r>
      <w:bookmarkEnd w:id="653"/>
      <w:bookmarkEnd w:id="654"/>
      <w:r>
        <w:rPr>
          <w:rFonts w:hint="default" w:ascii="Times New Roman" w:hAnsi="Times New Roman" w:eastAsia="宋体" w:cs="Times New Roman"/>
          <w:color w:val="auto"/>
          <w:highlight w:val="none"/>
        </w:rPr>
        <w:t>原则</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为了及时准确地掌握厂区周围地下水环境污染控制状况，工程拟建立覆盖全厂生产区的地下水监控体系，包括建立完善的监测制度，科学、合理设置地下水污染监控井，及时发现，及时控制。</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地下水监测井布置的原则为：</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1）主要监控矿区周边地下水水质及水位变化；</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2）以风化裂隙带地下水监测为主的原则；</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3）矿区上、下游同步对比监测原则。</w:t>
      </w:r>
    </w:p>
    <w:p>
      <w:pPr>
        <w:pStyle w:val="78"/>
        <w:ind w:firstLine="488"/>
        <w:rPr>
          <w:rFonts w:hint="default" w:ascii="Times New Roman" w:hAnsi="Times New Roman" w:eastAsia="宋体" w:cs="Times New Roman"/>
          <w:color w:val="auto"/>
          <w:highlight w:val="none"/>
        </w:rPr>
      </w:pPr>
      <w:bookmarkStart w:id="655" w:name="_Toc420260295"/>
      <w:bookmarkStart w:id="656" w:name="_Toc439598393"/>
      <w:r>
        <w:rPr>
          <w:rFonts w:hint="default" w:ascii="Times New Roman" w:hAnsi="Times New Roman" w:eastAsia="宋体" w:cs="Times New Roman"/>
          <w:color w:val="auto"/>
          <w:highlight w:val="none"/>
        </w:rPr>
        <w:t>（2）地下水跟踪监测计划</w:t>
      </w:r>
      <w:bookmarkEnd w:id="655"/>
      <w:bookmarkEnd w:id="656"/>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根据《地下水环境监测技术规范》（HJ/T164-2004）的要求及地下水监测井布设原则，在矿区及下游利用现有地下水井作为水质监测井，共</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眼，并同时对矿井涌水进行监测。建议的地下水长期监测孔分布见表</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eastAsia="zh-CN"/>
        </w:rPr>
        <w:t>.2</w:t>
      </w: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和图</w:t>
      </w:r>
      <w:r>
        <w:rPr>
          <w:rFonts w:hint="eastAsia" w:ascii="Times New Roman" w:hAnsi="Times New Roman" w:eastAsia="宋体" w:cs="Times New Roman"/>
          <w:color w:val="auto"/>
          <w:highlight w:val="none"/>
          <w:lang w:val="en-US" w:eastAsia="zh-CN"/>
        </w:rPr>
        <w:t>8</w:t>
      </w:r>
      <w:r>
        <w:rPr>
          <w:rFonts w:hint="default" w:ascii="Times New Roman" w:hAnsi="Times New Roman" w:eastAsia="宋体" w:cs="Times New Roman"/>
          <w:color w:val="auto"/>
          <w:highlight w:val="none"/>
          <w:lang w:val="en-US" w:eastAsia="zh-CN"/>
        </w:rPr>
        <w:t>.2-</w:t>
      </w:r>
      <w:r>
        <w:rPr>
          <w:rFonts w:hint="eastAsia"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pPr>
        <w:spacing w:line="240" w:lineRule="auto"/>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lang w:eastAsia="zh-CN"/>
        </w:rPr>
        <w:t>.2</w:t>
      </w:r>
      <w:r>
        <w:rPr>
          <w:rFonts w:hint="default" w:ascii="Times New Roman" w:hAnsi="Times New Roman" w:eastAsia="宋体" w:cs="Times New Roman"/>
          <w:b/>
          <w:color w:val="auto"/>
          <w:sz w:val="21"/>
          <w:szCs w:val="21"/>
          <w:highlight w:val="none"/>
        </w:rPr>
        <w:t>-2建议的地下水监测计划</w:t>
      </w:r>
    </w:p>
    <w:tbl>
      <w:tblPr>
        <w:tblStyle w:val="45"/>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84"/>
        <w:gridCol w:w="1858"/>
        <w:gridCol w:w="1656"/>
        <w:gridCol w:w="1749"/>
        <w:gridCol w:w="294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序号</w:t>
            </w:r>
          </w:p>
        </w:tc>
        <w:tc>
          <w:tcPr>
            <w:tcW w:w="1858"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点位名称</w:t>
            </w:r>
          </w:p>
        </w:tc>
        <w:tc>
          <w:tcPr>
            <w:tcW w:w="1656"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方位</w:t>
            </w:r>
          </w:p>
        </w:tc>
        <w:tc>
          <w:tcPr>
            <w:tcW w:w="1749"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监测内容</w:t>
            </w:r>
          </w:p>
        </w:tc>
        <w:tc>
          <w:tcPr>
            <w:tcW w:w="2940"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kern w:val="0"/>
                <w:sz w:val="21"/>
                <w:szCs w:val="21"/>
                <w:highlight w:val="none"/>
              </w:rPr>
              <w:t>坐标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1</w:t>
            </w:r>
          </w:p>
        </w:tc>
        <w:tc>
          <w:tcPr>
            <w:tcW w:w="1858"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MW-</w:t>
            </w:r>
            <w:r>
              <w:rPr>
                <w:rFonts w:hint="default" w:ascii="Times New Roman" w:hAnsi="Times New Roman" w:eastAsia="宋体" w:cs="Times New Roman"/>
                <w:color w:val="auto"/>
                <w:kern w:val="0"/>
                <w:sz w:val="21"/>
                <w:szCs w:val="21"/>
                <w:highlight w:val="none"/>
                <w:lang w:val="en-US" w:eastAsia="zh-CN"/>
              </w:rPr>
              <w:t>1</w:t>
            </w:r>
          </w:p>
        </w:tc>
        <w:tc>
          <w:tcPr>
            <w:tcW w:w="1656"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场区内</w:t>
            </w:r>
          </w:p>
        </w:tc>
        <w:tc>
          <w:tcPr>
            <w:tcW w:w="1749"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水位、水质</w:t>
            </w:r>
          </w:p>
        </w:tc>
        <w:tc>
          <w:tcPr>
            <w:tcW w:w="2940"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123.372336048°</w:t>
            </w:r>
          </w:p>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40.447740202°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2</w:t>
            </w:r>
          </w:p>
        </w:tc>
        <w:tc>
          <w:tcPr>
            <w:tcW w:w="1858"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MW-</w:t>
            </w:r>
            <w:r>
              <w:rPr>
                <w:rFonts w:hint="default" w:ascii="Times New Roman" w:hAnsi="Times New Roman" w:eastAsia="宋体" w:cs="Times New Roman"/>
                <w:color w:val="auto"/>
                <w:kern w:val="0"/>
                <w:sz w:val="21"/>
                <w:szCs w:val="21"/>
                <w:highlight w:val="none"/>
                <w:lang w:val="en-US" w:eastAsia="zh-CN"/>
              </w:rPr>
              <w:t>2</w:t>
            </w:r>
          </w:p>
        </w:tc>
        <w:tc>
          <w:tcPr>
            <w:tcW w:w="1656"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场区下游</w:t>
            </w:r>
            <w:r>
              <w:rPr>
                <w:rFonts w:hint="eastAsia" w:ascii="Times New Roman" w:hAnsi="Times New Roman" w:eastAsia="宋体" w:cs="Times New Roman"/>
                <w:color w:val="auto"/>
                <w:kern w:val="0"/>
                <w:sz w:val="21"/>
                <w:szCs w:val="21"/>
                <w:highlight w:val="none"/>
                <w:lang w:val="en-US" w:eastAsia="zh-CN"/>
              </w:rPr>
              <w:t>80</w:t>
            </w:r>
            <w:r>
              <w:rPr>
                <w:rFonts w:hint="default" w:ascii="Times New Roman" w:hAnsi="Times New Roman" w:eastAsia="宋体" w:cs="Times New Roman"/>
                <w:color w:val="auto"/>
                <w:kern w:val="0"/>
                <w:sz w:val="21"/>
                <w:szCs w:val="21"/>
                <w:highlight w:val="none"/>
              </w:rPr>
              <w:t>0m</w:t>
            </w:r>
          </w:p>
        </w:tc>
        <w:tc>
          <w:tcPr>
            <w:tcW w:w="1749"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水位、水质</w:t>
            </w:r>
          </w:p>
        </w:tc>
        <w:tc>
          <w:tcPr>
            <w:tcW w:w="2940" w:type="dxa"/>
            <w:shd w:val="clear" w:color="auto" w:fill="auto"/>
            <w:vAlign w:val="center"/>
          </w:tcPr>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123.361843247°</w:t>
            </w:r>
          </w:p>
          <w:p>
            <w:pPr>
              <w:widowControl/>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40.443030243°</w:t>
            </w:r>
          </w:p>
        </w:tc>
      </w:tr>
    </w:tbl>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1）地下水监测井的布设，本环评建议布设</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个点，分别为MW-1、MW-2、。以便第一时间观测到地下水污染情况，并进行抽水，最大程度地减少对地下水的影响。</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2）监测层位及井深；浅层含水层，根据评价区水文地质条件，设计各井深约8m。</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3）监测频率：在正常工况下，每半年监测一次。发现超标后，每5日监测1次，直到污染消除。</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监测项目：根据工程分析，污染源产生的污水特征，确定地下水监测项目为：pH值、氨氮、硝酸盐（以N计）、亚硝酸盐（以N计）、耗氧量、硫酸盐、总硬度、铜、铁、锌、锰、六价铬、铅、镉、砷、石油类等。同时监测地下水位和水温。</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上述监测结果应按项目有关规定及时建立档案，并定期向矿区安全环保部门汇报，对于常规监测数据应该进行公开，特别是对项目所在区域的居民进行公开。如发现异常或发生事故，加密监测频次，并分析污染原因，确定泄漏污染源，及时采取应对应急措施。</w:t>
      </w:r>
    </w:p>
    <w:p>
      <w:pPr>
        <w:pStyle w:val="78"/>
        <w:ind w:left="0" w:leftChars="0" w:firstLine="0" w:firstLineChars="0"/>
        <w:jc w:val="center"/>
        <w:rPr>
          <w:rFonts w:hint="default" w:ascii="Times New Roman" w:hAnsi="Times New Roman" w:eastAsia="宋体" w:cs="Times New Roman"/>
          <w:color w:val="auto"/>
          <w:highlight w:val="none"/>
        </w:rPr>
      </w:pPr>
      <w:r>
        <w:rPr>
          <w:color w:val="auto"/>
          <w:highlight w:val="none"/>
        </w:rPr>
        <w:drawing>
          <wp:inline distT="0" distB="0" distL="114300" distR="114300">
            <wp:extent cx="4638675" cy="4619625"/>
            <wp:effectExtent l="0" t="0" r="9525" b="9525"/>
            <wp:docPr id="32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67"/>
                    <pic:cNvPicPr>
                      <a:picLocks noChangeAspect="1"/>
                    </pic:cNvPicPr>
                  </pic:nvPicPr>
                  <pic:blipFill>
                    <a:blip r:embed="rId234"/>
                    <a:stretch>
                      <a:fillRect/>
                    </a:stretch>
                  </pic:blipFill>
                  <pic:spPr>
                    <a:xfrm>
                      <a:off x="0" y="0"/>
                      <a:ext cx="4638675" cy="4619625"/>
                    </a:xfrm>
                    <a:prstGeom prst="rect">
                      <a:avLst/>
                    </a:prstGeom>
                    <a:noFill/>
                    <a:ln>
                      <a:noFill/>
                    </a:ln>
                  </pic:spPr>
                </pic:pic>
              </a:graphicData>
            </a:graphic>
          </wp:inline>
        </w:drawing>
      </w:r>
    </w:p>
    <w:p>
      <w:pPr>
        <w:pStyle w:val="78"/>
        <w:ind w:left="0" w:leftChars="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w:t>
      </w:r>
      <w:r>
        <w:rPr>
          <w:rFonts w:hint="eastAsia" w:ascii="Times New Roman" w:hAnsi="Times New Roman" w:eastAsia="宋体" w:cs="Times New Roman"/>
          <w:b/>
          <w:bCs/>
          <w:color w:val="auto"/>
          <w:highlight w:val="none"/>
          <w:lang w:val="en-US" w:eastAsia="zh-CN"/>
        </w:rPr>
        <w:t>8</w:t>
      </w:r>
      <w:r>
        <w:rPr>
          <w:rFonts w:hint="default" w:ascii="Times New Roman" w:hAnsi="Times New Roman" w:eastAsia="宋体" w:cs="Times New Roman"/>
          <w:b/>
          <w:bCs/>
          <w:color w:val="auto"/>
          <w:highlight w:val="none"/>
          <w:lang w:val="en-US" w:eastAsia="zh-CN"/>
        </w:rPr>
        <w:t>.2-</w:t>
      </w:r>
      <w:r>
        <w:rPr>
          <w:rFonts w:hint="eastAsia" w:ascii="Times New Roman" w:hAnsi="Times New Roman" w:eastAsia="宋体" w:cs="Times New Roman"/>
          <w:b/>
          <w:bCs/>
          <w:color w:val="auto"/>
          <w:highlight w:val="none"/>
          <w:lang w:val="en-US" w:eastAsia="zh-CN"/>
        </w:rPr>
        <w:t>2</w:t>
      </w:r>
      <w:r>
        <w:rPr>
          <w:rFonts w:hint="default" w:ascii="Times New Roman" w:hAnsi="Times New Roman" w:eastAsia="宋体" w:cs="Times New Roman"/>
          <w:b/>
          <w:bCs/>
          <w:color w:val="auto"/>
          <w:highlight w:val="none"/>
          <w:lang w:val="en-US" w:eastAsia="zh-CN"/>
        </w:rPr>
        <w:t>地下水监测井分布图</w:t>
      </w:r>
    </w:p>
    <w:p>
      <w:pPr>
        <w:pStyle w:val="6"/>
        <w:numPr>
          <w:ilvl w:val="3"/>
          <w:numId w:val="0"/>
        </w:numPr>
        <w:spacing w:before="0" w:after="0" w:line="360" w:lineRule="auto"/>
        <w:rPr>
          <w:rFonts w:hint="default" w:ascii="Times New Roman" w:hAnsi="Times New Roman" w:eastAsia="宋体" w:cs="Times New Roman"/>
          <w:color w:val="auto"/>
          <w:sz w:val="24"/>
          <w:highlight w:val="none"/>
        </w:rPr>
      </w:pPr>
      <w:bookmarkStart w:id="657" w:name="_Toc420260296"/>
      <w:bookmarkStart w:id="658" w:name="_Toc439598394"/>
      <w:r>
        <w:rPr>
          <w:rFonts w:hint="default" w:ascii="Times New Roman" w:hAnsi="Times New Roman" w:eastAsia="宋体" w:cs="Times New Roman"/>
          <w:color w:val="auto"/>
          <w:sz w:val="24"/>
          <w:highlight w:val="none"/>
          <w:lang w:val="en-US" w:eastAsia="zh-CN"/>
        </w:rPr>
        <w:t>8</w:t>
      </w:r>
      <w:r>
        <w:rPr>
          <w:rFonts w:hint="default" w:ascii="Times New Roman" w:hAnsi="Times New Roman" w:eastAsia="宋体" w:cs="Times New Roman"/>
          <w:color w:val="auto"/>
          <w:sz w:val="24"/>
          <w:highlight w:val="none"/>
          <w:lang w:eastAsia="zh-CN"/>
        </w:rPr>
        <w:t>.2</w:t>
      </w:r>
      <w:r>
        <w:rPr>
          <w:rFonts w:hint="default" w:ascii="Times New Roman" w:hAnsi="Times New Roman" w:eastAsia="宋体" w:cs="Times New Roman"/>
          <w:color w:val="auto"/>
          <w:sz w:val="24"/>
          <w:highlight w:val="none"/>
        </w:rPr>
        <w:t>.3.4建议</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（1）地下水污染具有不易发现和一旦污染很难治理的特点，因此，防止地下水污染应遵循源头控制、防止渗漏、污染监测及事故应急处理的主动及被动防渗相结合的原则。</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（2）地下水污染情况勘察是一项专业性很强的工作，一旦发生污染事故，应首先委托具有相应资质的单位对水质进行监测，制定切实可行的污染治理措施。</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（3）严格做好防渗措施，定期检查防渗设施的可靠性，保证在发生事故时及时处理。</w:t>
      </w:r>
    </w:p>
    <w:bookmarkEnd w:id="657"/>
    <w:bookmarkEnd w:id="658"/>
    <w:p>
      <w:pPr>
        <w:pStyle w:val="5"/>
        <w:bidi w:val="0"/>
        <w:rPr>
          <w:rFonts w:hint="default"/>
          <w:color w:val="auto"/>
          <w:highlight w:val="none"/>
        </w:rPr>
      </w:pPr>
      <w:bookmarkStart w:id="659" w:name="_Toc213731999"/>
      <w:bookmarkStart w:id="660" w:name="_Toc316410400"/>
      <w:bookmarkStart w:id="661" w:name="_Toc450827111"/>
      <w:r>
        <w:rPr>
          <w:rFonts w:hint="default"/>
          <w:color w:val="auto"/>
          <w:highlight w:val="none"/>
        </w:rPr>
        <w:t>固体废物</w:t>
      </w:r>
      <w:bookmarkEnd w:id="659"/>
      <w:bookmarkEnd w:id="660"/>
      <w:r>
        <w:rPr>
          <w:rFonts w:hint="default"/>
          <w:color w:val="auto"/>
          <w:highlight w:val="none"/>
        </w:rPr>
        <w:t>防治措施</w:t>
      </w:r>
      <w:bookmarkEnd w:id="661"/>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（1）采矿废石</w:t>
      </w:r>
    </w:p>
    <w:p>
      <w:pPr>
        <w:spacing w:beforeLines="0" w:afterLines="0"/>
        <w:jc w:val="left"/>
        <w:rPr>
          <w:rFonts w:hint="default" w:ascii="Times New Roman" w:hAnsi="Times New Roman" w:eastAsia="宋体" w:cs="Times New Roman"/>
          <w:color w:val="auto"/>
          <w:highlight w:val="none"/>
        </w:rPr>
      </w:pPr>
      <w:r>
        <w:rPr>
          <w:rFonts w:hint="eastAsia" w:ascii="宋体" w:hAnsi="宋体" w:eastAsia="宋体"/>
          <w:color w:val="auto"/>
          <w:sz w:val="24"/>
          <w:szCs w:val="24"/>
          <w:highlight w:val="none"/>
        </w:rPr>
        <w:t>矿山基建期废石进行</w:t>
      </w:r>
      <w:r>
        <w:rPr>
          <w:rFonts w:hint="eastAsia" w:ascii="宋体" w:hAnsi="宋体" w:eastAsia="宋体"/>
          <w:color w:val="auto"/>
          <w:sz w:val="24"/>
          <w:szCs w:val="24"/>
          <w:highlight w:val="none"/>
          <w:lang w:val="en-US" w:eastAsia="zh-CN"/>
        </w:rPr>
        <w:t>全部</w:t>
      </w:r>
      <w:r>
        <w:rPr>
          <w:rFonts w:hint="eastAsia" w:ascii="宋体" w:hAnsi="宋体" w:eastAsia="宋体"/>
          <w:color w:val="auto"/>
          <w:sz w:val="24"/>
          <w:szCs w:val="24"/>
          <w:highlight w:val="none"/>
        </w:rPr>
        <w:t>回填</w:t>
      </w:r>
      <w:r>
        <w:rPr>
          <w:rFonts w:hint="eastAsia" w:ascii="宋体" w:hAnsi="宋体" w:eastAsia="宋体"/>
          <w:color w:val="auto"/>
          <w:sz w:val="24"/>
          <w:szCs w:val="24"/>
          <w:highlight w:val="none"/>
          <w:lang w:val="en-US" w:eastAsia="zh-CN"/>
        </w:rPr>
        <w:t>历史</w:t>
      </w:r>
      <w:r>
        <w:rPr>
          <w:rFonts w:hint="eastAsia" w:ascii="宋体" w:hAnsi="宋体" w:eastAsia="宋体"/>
          <w:color w:val="auto"/>
          <w:sz w:val="24"/>
          <w:szCs w:val="24"/>
          <w:highlight w:val="none"/>
        </w:rPr>
        <w:t>采坑</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lang w:val="en-US" w:eastAsia="zh-CN"/>
        </w:rPr>
        <w:t>运营期</w:t>
      </w:r>
      <w:r>
        <w:rPr>
          <w:rFonts w:hint="default" w:ascii="Times New Roman" w:hAnsi="Times New Roman" w:eastAsia="宋体" w:cs="Times New Roman"/>
          <w:color w:val="auto"/>
          <w:highlight w:val="none"/>
          <w:lang w:val="en-US" w:eastAsia="zh-CN"/>
        </w:rPr>
        <w:t>井下开采废石全部回填不升井</w:t>
      </w:r>
      <w:r>
        <w:rPr>
          <w:rFonts w:hint="eastAsia" w:cs="Times New Roman"/>
          <w:color w:val="auto"/>
          <w:highlight w:val="none"/>
          <w:lang w:val="en-US" w:eastAsia="zh-CN"/>
        </w:rPr>
        <w:t>；</w:t>
      </w:r>
      <w:r>
        <w:rPr>
          <w:rFonts w:hint="eastAsia" w:ascii="宋体" w:hAnsi="宋体" w:eastAsia="宋体"/>
          <w:color w:val="auto"/>
          <w:sz w:val="24"/>
          <w:szCs w:val="24"/>
          <w:highlight w:val="none"/>
          <w:lang w:val="en-US" w:eastAsia="zh-CN"/>
        </w:rPr>
        <w:t>露天开采</w:t>
      </w:r>
      <w:r>
        <w:rPr>
          <w:rFonts w:hint="eastAsia" w:ascii="宋体" w:hAnsi="宋体" w:eastAsia="宋体"/>
          <w:color w:val="auto"/>
          <w:sz w:val="24"/>
          <w:szCs w:val="24"/>
          <w:highlight w:val="none"/>
        </w:rPr>
        <w:t>产生的废石</w:t>
      </w:r>
      <w:r>
        <w:rPr>
          <w:rFonts w:hint="default" w:ascii="Times New Roman" w:hAnsi="Times New Roman" w:eastAsia="宋体" w:cs="Times New Roman"/>
          <w:color w:val="auto"/>
          <w:highlight w:val="none"/>
        </w:rPr>
        <w:t>除部分用来修筑道路及平整工业场地外，绝大部分废石采取外售方式处理</w:t>
      </w:r>
      <w:r>
        <w:rPr>
          <w:rFonts w:hint="eastAsia" w:ascii="宋体" w:hAnsi="宋体" w:eastAsia="宋体"/>
          <w:color w:val="auto"/>
          <w:sz w:val="24"/>
          <w:szCs w:val="24"/>
          <w:highlight w:val="none"/>
        </w:rPr>
        <w:t>，</w:t>
      </w:r>
      <w:r>
        <w:rPr>
          <w:rFonts w:hint="default" w:ascii="Times New Roman" w:hAnsi="Times New Roman" w:eastAsia="宋体" w:cs="Times New Roman"/>
          <w:color w:val="auto"/>
          <w:highlight w:val="none"/>
          <w:lang w:val="en-US" w:eastAsia="zh-CN"/>
        </w:rPr>
        <w:t>依据本公司与</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岫岩满族自治县鑫祥通运输有限公司</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签订的废石销售协议，该矿山开采过程中产生的废石全部外运加工综合利用</w:t>
      </w:r>
      <w:r>
        <w:rPr>
          <w:rFonts w:hint="default" w:ascii="Times New Roman" w:hAnsi="Times New Roman" w:eastAsia="宋体" w:cs="Times New Roman"/>
          <w:color w:val="auto"/>
          <w:highlight w:val="none"/>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val="en-US" w:eastAsia="zh-CN"/>
        </w:rPr>
        <w:t>2</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highlight w:val="none"/>
        </w:rPr>
        <w:t>废机油</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建成</w:t>
      </w:r>
      <w:r>
        <w:rPr>
          <w:rFonts w:hint="default" w:ascii="Times New Roman" w:hAnsi="Times New Roman" w:eastAsia="宋体" w:cs="Times New Roman"/>
          <w:color w:val="auto"/>
          <w:highlight w:val="none"/>
        </w:rPr>
        <w:t>后，废机油产生量为</w:t>
      </w:r>
      <w:r>
        <w:rPr>
          <w:rFonts w:hint="default" w:ascii="Times New Roman" w:hAnsi="Times New Roman" w:eastAsia="宋体" w:cs="Times New Roman"/>
          <w:color w:val="auto"/>
          <w:highlight w:val="none"/>
          <w:lang w:val="en-US" w:eastAsia="zh-CN"/>
        </w:rPr>
        <w:t>0.1</w:t>
      </w:r>
      <w:r>
        <w:rPr>
          <w:rFonts w:hint="default" w:ascii="Times New Roman" w:hAnsi="Times New Roman" w:eastAsia="宋体" w:cs="Times New Roman"/>
          <w:color w:val="auto"/>
          <w:highlight w:val="none"/>
        </w:rPr>
        <w:t>t/a（HW08废矿物油与含矿物油废物，900-249-08）。在矿山原有危险废物暂存间（有标识、防渗、防雨、防晒、防风等），并委托具有专业资质的危险废物处理单位进行转移和处理。废机油产生量较少，采取措施后，可有效防止污染，对周围环境较小。</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根据《建设项目危险废物环境影响评价指南》要求，本评价明确危险废物的名称、数量、类别、形态、危险特性和污染防治措施等内容。本项目危险废物基本情况详见下表。</w:t>
      </w:r>
    </w:p>
    <w:p>
      <w:pPr>
        <w:spacing w:line="240" w:lineRule="auto"/>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8</w:t>
      </w:r>
      <w:r>
        <w:rPr>
          <w:rFonts w:hint="default" w:ascii="Times New Roman" w:hAnsi="Times New Roman" w:eastAsia="宋体" w:cs="Times New Roman"/>
          <w:b/>
          <w:color w:val="auto"/>
          <w:sz w:val="21"/>
          <w:szCs w:val="21"/>
          <w:highlight w:val="none"/>
          <w:lang w:val="en-US" w:eastAsia="zh-CN"/>
        </w:rPr>
        <w:t>.2-3</w:t>
      </w:r>
      <w:r>
        <w:rPr>
          <w:rFonts w:hint="default" w:ascii="Times New Roman" w:hAnsi="Times New Roman" w:eastAsia="宋体" w:cs="Times New Roman"/>
          <w:b/>
          <w:color w:val="auto"/>
          <w:sz w:val="21"/>
          <w:szCs w:val="21"/>
          <w:highlight w:val="none"/>
        </w:rPr>
        <w:t>工程分析中危险废物汇总样表</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2"/>
        <w:gridCol w:w="835"/>
        <w:gridCol w:w="776"/>
        <w:gridCol w:w="1196"/>
        <w:gridCol w:w="1043"/>
        <w:gridCol w:w="766"/>
        <w:gridCol w:w="504"/>
        <w:gridCol w:w="633"/>
        <w:gridCol w:w="633"/>
        <w:gridCol w:w="633"/>
        <w:gridCol w:w="634"/>
        <w:gridCol w:w="12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序号</w:t>
            </w:r>
          </w:p>
        </w:tc>
        <w:tc>
          <w:tcPr>
            <w:tcW w:w="8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危险废物名称</w:t>
            </w:r>
          </w:p>
        </w:tc>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危险废物类别</w:t>
            </w:r>
          </w:p>
        </w:tc>
        <w:tc>
          <w:tcPr>
            <w:tcW w:w="10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危险废物代码</w:t>
            </w:r>
          </w:p>
        </w:tc>
        <w:tc>
          <w:tcPr>
            <w:tcW w:w="10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产生量（t/a）</w:t>
            </w:r>
          </w:p>
        </w:tc>
        <w:tc>
          <w:tcPr>
            <w:tcW w:w="7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产生工序及装置</w:t>
            </w:r>
          </w:p>
        </w:tc>
        <w:tc>
          <w:tcPr>
            <w:tcW w:w="5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形态</w:t>
            </w:r>
          </w:p>
        </w:tc>
        <w:tc>
          <w:tcPr>
            <w:tcW w:w="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主要成分</w:t>
            </w:r>
          </w:p>
        </w:tc>
        <w:tc>
          <w:tcPr>
            <w:tcW w:w="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有害成分</w:t>
            </w:r>
          </w:p>
        </w:tc>
        <w:tc>
          <w:tcPr>
            <w:tcW w:w="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产生周期</w:t>
            </w:r>
          </w:p>
        </w:tc>
        <w:tc>
          <w:tcPr>
            <w:tcW w:w="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危险特性</w:t>
            </w:r>
          </w:p>
        </w:tc>
        <w:tc>
          <w:tcPr>
            <w:tcW w:w="12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val="en-US" w:eastAsia="zh-CN"/>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87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废机油</w:t>
            </w:r>
          </w:p>
        </w:tc>
        <w:tc>
          <w:tcPr>
            <w:tcW w:w="68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HW08</w:t>
            </w:r>
          </w:p>
        </w:tc>
        <w:tc>
          <w:tcPr>
            <w:tcW w:w="10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900-249-08</w:t>
            </w:r>
          </w:p>
        </w:tc>
        <w:tc>
          <w:tcPr>
            <w:tcW w:w="1059"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0.1</w:t>
            </w:r>
          </w:p>
        </w:tc>
        <w:tc>
          <w:tcPr>
            <w:tcW w:w="79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矿区设备维修</w:t>
            </w:r>
          </w:p>
        </w:tc>
        <w:tc>
          <w:tcPr>
            <w:tcW w:w="5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液态</w:t>
            </w:r>
          </w:p>
        </w:tc>
        <w:tc>
          <w:tcPr>
            <w:tcW w:w="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w:t>
            </w:r>
          </w:p>
        </w:tc>
        <w:tc>
          <w:tcPr>
            <w:tcW w:w="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eastAsia="zh-CN"/>
              </w:rPr>
              <w:t>—</w:t>
            </w:r>
          </w:p>
        </w:tc>
        <w:tc>
          <w:tcPr>
            <w:tcW w:w="65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1年</w:t>
            </w:r>
          </w:p>
        </w:tc>
        <w:tc>
          <w:tcPr>
            <w:tcW w:w="6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lang w:eastAsia="zh-CN"/>
              </w:rPr>
              <w:t>—</w:t>
            </w:r>
          </w:p>
        </w:tc>
        <w:tc>
          <w:tcPr>
            <w:tcW w:w="1267"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委托具有专业资质的危险废物处理单位进行转移和处理</w:t>
            </w:r>
          </w:p>
        </w:tc>
      </w:tr>
    </w:tbl>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根据《危险废物贮存污染控制标准》（GB18597-2001）及其修改单中有关规定，并结各本项目危险废物的特点，对危险废物贮存容器以及临时贮存场所要求如下：</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本项目设置的危险废物临时贮存场所，单独隔离，设立明显警示标示牌，所有危险废物要分类放置，危废临时贮存场所应严格按照《危险废物贮存污染控制标准》（GB18597-2001）设计，具体要求如下：</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（1）地面采用坚固、防渗、耐腐蚀的材料建造，并设计有堵截泄漏的裙脚、泄漏液体收集装置、气体导出口和气体净化装置。</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（2）应在易燃、易爆等危险品仓库防护区域以外。</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（3）设施内要有安全照明设施和观察窗口。</w:t>
      </w:r>
    </w:p>
    <w:p>
      <w:pPr>
        <w:pStyle w:val="83"/>
        <w:ind w:firstLine="48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（4）存放危险废物容器的地方，必须有耐腐蚀的硬化地面，且表面无</w:t>
      </w:r>
      <w:r>
        <w:rPr>
          <w:rFonts w:hint="default" w:ascii="Times New Roman" w:hAnsi="Times New Roman" w:eastAsia="宋体" w:cs="Times New Roman"/>
          <w:color w:val="auto"/>
          <w:highlight w:val="none"/>
          <w:lang w:val="en-US" w:eastAsia="zh-CN"/>
        </w:rPr>
        <w:t>裂隙。</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（5）不相容的危险废物必须分开存放，并设有隔离间隔断。</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（6）基础必须防渗，防渗层为至少1m厚粘土层（渗透系数≤10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（7）危险废物暂存场所要防风、防雨、防晒。</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（8）根据危险废物产生量及产生情况，设置足够面积空间的危险废物暂存场。</w:t>
      </w:r>
    </w:p>
    <w:p>
      <w:pPr>
        <w:pStyle w:val="83"/>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照《危险废物贮存污染控制标准》（GB18597-2001）及其修改单，本项目危险废物暂存间的建设应符合标准规定。做好危险废物情况记录，危险废物记录应表明：危险废物的数量、名称，入库日期，出库日期，接受单位名称等。危险废物记录和货单，要在危险废物回收后保存三年。</w:t>
      </w:r>
    </w:p>
    <w:p>
      <w:pPr>
        <w:pStyle w:val="83"/>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同时，根据《中华人民共和国固体废物污染环境防治法》规定，项目单位对危险废物处置应做到以下几点：</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危险废物的容器和包装物以及收集，贮存，运输，处置危险废物的设施、场所、必须设置危险废物识别标志；厂内危险废物临时堆存应采取相应污染控制措施防止对环境产生影响；装载危险废物的容器及材质要满足相应的强度要求，衬里要与危险废物相容；装载危险废物的容器必须完好无损；</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项目单位必须按照国家有关规定制定危险废物管理计划，并向环境保护主管部门申报危险废物的种类，产生量，流向，贮存，处置等有关资料；</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项目单位必须按照国家有关规定处置危险废物，不得擅自倾倒堆放；</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项目将危险废物提供或者委托给有经营许可证的单位从事收集、贮存、利用、处置的经营活动；</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收集、贮存危险废物，必须按照危险废物特性分类进行。禁止混合收集、贮存、运输、处置性质不相容而未经安全性处置的危险废物；</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转移危险废物必须按照《危险废物转移联单管理办法》（国家环境保护总局令第5号），危险废物产生单位在转移危险废物前，须按照国家有关规定报批危险废物转移计划；经批准后，产生单位应当向移出地环境保护行政主管部门申请领取联单。产生单位应当在危险废物转移前三日内报告移出地环境保护行政主管部门，并同时将预期到达时间报告接受地环境保护行政主管部门。联单保存期限为五年；运输危险废物必须采取防止污染环境的措施,并遵守国家有关危险货物运输管理的规定；对于危险废物的收集和管理，建设单位应委派专人负责，认真执行转移联单制度。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收集、贮存、运输、处置危险废物的场所、设施、设备和容器、包装物及他物品转作他用时必须经过消除污染的处理方可使用；</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项目单位应当制定意外事故的防范措施和应急预案，并向所在地县级以上地方人民政府环境保护行政主管部门备案，环境保护行政主管部门应当进行检查。</w:t>
      </w:r>
    </w:p>
    <w:p>
      <w:pPr>
        <w:pStyle w:val="83"/>
        <w:numPr>
          <w:ilvl w:val="0"/>
          <w:numId w:val="19"/>
        </w:numPr>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危废库房要设置桶盛装危废，降低危废库房内无组织有机废气的排放。</w:t>
      </w:r>
    </w:p>
    <w:p>
      <w:pPr>
        <w:ind w:firstLine="48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lang w:val="en-US" w:eastAsia="zh-CN"/>
        </w:rPr>
        <w:t>3</w:t>
      </w:r>
      <w:r>
        <w:rPr>
          <w:rFonts w:hint="default" w:ascii="Times New Roman" w:hAnsi="Times New Roman" w:eastAsia="宋体" w:cs="Times New Roman"/>
          <w:color w:val="auto"/>
          <w:kern w:val="0"/>
          <w:highlight w:val="none"/>
        </w:rPr>
        <w:t>）生活垃圾</w:t>
      </w:r>
    </w:p>
    <w:p>
      <w:pPr>
        <w:ind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本项目生活垃圾产生量</w:t>
      </w:r>
      <w:r>
        <w:rPr>
          <w:rFonts w:hint="eastAsia" w:ascii="Times New Roman" w:hAnsi="Times New Roman" w:eastAsia="宋体" w:cs="Times New Roman"/>
          <w:color w:val="auto"/>
          <w:highlight w:val="none"/>
          <w:lang w:val="en-US" w:eastAsia="zh-CN"/>
        </w:rPr>
        <w:t>16</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t/a。生活垃圾在矿区内集中收集，定期由环卫部门清运处理。</w:t>
      </w:r>
    </w:p>
    <w:p>
      <w:pPr>
        <w:ind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综上所述，本项目所有固体废物均得到有效处理，不会对周围环境产生有害影响。</w:t>
      </w:r>
    </w:p>
    <w:p>
      <w:pPr>
        <w:pStyle w:val="5"/>
        <w:bidi w:val="0"/>
        <w:rPr>
          <w:rFonts w:hint="default"/>
          <w:color w:val="auto"/>
          <w:highlight w:val="none"/>
        </w:rPr>
      </w:pPr>
      <w:bookmarkStart w:id="662" w:name="_Toc450827112"/>
      <w:bookmarkStart w:id="663" w:name="_Toc316410401"/>
      <w:r>
        <w:rPr>
          <w:rFonts w:hint="default"/>
          <w:color w:val="auto"/>
          <w:highlight w:val="none"/>
        </w:rPr>
        <w:t>噪声防治措施</w:t>
      </w:r>
      <w:bookmarkEnd w:id="662"/>
      <w:bookmarkEnd w:id="663"/>
    </w:p>
    <w:p>
      <w:pPr>
        <w:pStyle w:val="78"/>
        <w:ind w:firstLine="488"/>
        <w:rPr>
          <w:rFonts w:hint="default" w:ascii="Times New Roman" w:hAnsi="Times New Roman" w:eastAsia="宋体" w:cs="Times New Roman"/>
          <w:color w:val="auto"/>
          <w:highlight w:val="none"/>
        </w:rPr>
      </w:pPr>
      <w:bookmarkStart w:id="664" w:name="_Toc450827113"/>
      <w:bookmarkStart w:id="665" w:name="_Toc60692491"/>
      <w:r>
        <w:rPr>
          <w:rFonts w:hint="default" w:ascii="Times New Roman" w:hAnsi="Times New Roman" w:eastAsia="宋体" w:cs="Times New Roman"/>
          <w:color w:val="auto"/>
          <w:highlight w:val="none"/>
        </w:rPr>
        <w:t>项目采矿过程主要可能产生影响的噪声源包括井下爆破以及地面上的机械设备噪声，其中安置在地面以上的各机械设备是项目主要声源。拟建项目拟采取的噪声污染防治措施包括：</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（1）选择低噪声的凿岩机并装设消音器；</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（2）采矿及掘进爆破采用微差爆破；</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（3）设计选用的低噪声设备，同时要求建设单位加强设备的维护保养，及时折旧更新，避免不正常噪声产生；</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（4）对机械噪声源采取安装隔振垫、减振器等控制措施，对于风机、空压机等空气动力性噪声源采取安装消声器等措施。通过采取上述措施，可减轻项目生产噪声对周边环境的影响；</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（5）加强工业场地周边绿化隔离带的建设。</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矿石外运时禁止夜间运输，运输车辆途经村庄区域禁止鸣笛并且减速慢行；运输车辆必须按照规定进行日常维护、维修和大修，保证车况符合要求。</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上述措施是成熟的矿山噪声防治措施，在采取相应措施后，再经过传播距离衰减，可以实现噪声在厂界达标排放。</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拟建项目运输噪声是暂时的，因此，拟建项目噪声污染治理措施技术可行，可确保周围敏感点不受影响。</w:t>
      </w:r>
    </w:p>
    <w:p>
      <w:pPr>
        <w:pStyle w:val="5"/>
        <w:bidi w:val="0"/>
        <w:rPr>
          <w:rFonts w:hint="default"/>
          <w:color w:val="auto"/>
          <w:highlight w:val="none"/>
        </w:rPr>
      </w:pPr>
      <w:r>
        <w:rPr>
          <w:rFonts w:hint="default"/>
          <w:color w:val="auto"/>
          <w:highlight w:val="none"/>
        </w:rPr>
        <w:t>振动污染防治措施</w:t>
      </w:r>
      <w:bookmarkEnd w:id="664"/>
      <w:bookmarkEnd w:id="665"/>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（1）保证施工质量</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1）凿岩作业。凿孔应严格按设计的孔网参数和布孔位置作业,误差应控制在设计要求的范围。凿孔结束后，应按设计要求验收，并按实际孔网参数进行药量及安全等有关数据的校核。</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爆破作业。严格按设计要求施工，不准随意加、减药量，按设计要求布设起爆网路，网路连接后要加强保护，保证线路的完好无损，保证装药质量和回填质量，杜绝单孔拒爆或盲、残炮的产生，从而达到减震的目的并获取良好的爆破效果。</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（2）采用减震爆破设计</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1）选择合理的孔网参数。利用大孔距、小排距，缩小抵抗线，适当控制孔深，超深值不宜过大；</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2）选择合理的微差间隔时间；</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3）选用合理的炸药量；</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4）在工程条件允许或必要时，应采取预裂爆破；</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5）合理选择起爆顺序。根据工程实际情况，设计合理的起爆顺序，尽量使用</w:t>
      </w:r>
      <w:r>
        <w:rPr>
          <w:rFonts w:hint="eastAsia" w:cs="Times New Roman"/>
          <w:color w:val="auto"/>
          <w:highlight w:val="none"/>
          <w:lang w:eastAsia="zh-CN"/>
        </w:rPr>
        <w:t>“</w:t>
      </w:r>
      <w:r>
        <w:rPr>
          <w:rFonts w:hint="default" w:ascii="Times New Roman" w:hAnsi="Times New Roman" w:eastAsia="宋体" w:cs="Times New Roman"/>
          <w:color w:val="auto"/>
          <w:highlight w:val="none"/>
        </w:rPr>
        <w:t>V</w:t>
      </w:r>
      <w:r>
        <w:rPr>
          <w:rFonts w:hint="eastAsia" w:cs="Times New Roman"/>
          <w:color w:val="auto"/>
          <w:highlight w:val="none"/>
          <w:lang w:eastAsia="zh-CN"/>
        </w:rPr>
        <w:t>”</w:t>
      </w:r>
      <w:r>
        <w:rPr>
          <w:rFonts w:hint="default" w:ascii="Times New Roman" w:hAnsi="Times New Roman" w:eastAsia="宋体" w:cs="Times New Roman"/>
          <w:color w:val="auto"/>
          <w:highlight w:val="none"/>
        </w:rPr>
        <w:t>型掏槽或</w:t>
      </w:r>
      <w:r>
        <w:rPr>
          <w:rFonts w:hint="eastAsia" w:cs="Times New Roman"/>
          <w:color w:val="auto"/>
          <w:highlight w:val="none"/>
          <w:lang w:eastAsia="zh-CN"/>
        </w:rPr>
        <w:t>“</w:t>
      </w:r>
      <w:r>
        <w:rPr>
          <w:rFonts w:hint="default" w:ascii="Times New Roman" w:hAnsi="Times New Roman" w:eastAsia="宋体" w:cs="Times New Roman"/>
          <w:color w:val="auto"/>
          <w:highlight w:val="none"/>
        </w:rPr>
        <w:t>对角交叉</w:t>
      </w:r>
      <w:r>
        <w:rPr>
          <w:rFonts w:hint="eastAsia" w:cs="Times New Roman"/>
          <w:color w:val="auto"/>
          <w:highlight w:val="none"/>
          <w:lang w:eastAsia="zh-CN"/>
        </w:rPr>
        <w:t>”</w:t>
      </w:r>
      <w:r>
        <w:rPr>
          <w:rFonts w:hint="default" w:ascii="Times New Roman" w:hAnsi="Times New Roman" w:eastAsia="宋体" w:cs="Times New Roman"/>
          <w:color w:val="auto"/>
          <w:highlight w:val="none"/>
        </w:rPr>
        <w:t>起爆，使震波在爆区内叠加。从爆破安全的整体状况来衡量，改变爆破方向将保护物置于侧向位置，更有利于爆破安全。</w:t>
      </w:r>
    </w:p>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（3）合理安排爆破作业时间，最大限度降低夜间爆破对周围环境的影响。</w:t>
      </w:r>
    </w:p>
    <w:p>
      <w:pPr>
        <w:pStyle w:val="5"/>
        <w:bidi w:val="0"/>
        <w:rPr>
          <w:rFonts w:hint="default"/>
          <w:color w:val="auto"/>
          <w:highlight w:val="none"/>
          <w:lang w:val="en-US" w:eastAsia="zh-CN"/>
        </w:rPr>
      </w:pPr>
      <w:r>
        <w:rPr>
          <w:rFonts w:hint="default"/>
          <w:color w:val="auto"/>
          <w:highlight w:val="none"/>
          <w:lang w:val="en-US" w:eastAsia="zh-CN"/>
        </w:rPr>
        <w:t>土壤保护措施及对策</w:t>
      </w:r>
    </w:p>
    <w:p>
      <w:pPr>
        <w:pStyle w:val="6"/>
        <w:numPr>
          <w:ilvl w:val="3"/>
          <w:numId w:val="0"/>
        </w:numPr>
        <w:spacing w:before="0" w:after="0" w:line="360" w:lineRule="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8.2.7.1源头控制</w:t>
      </w:r>
    </w:p>
    <w:p>
      <w:pPr>
        <w:bidi w:val="0"/>
        <w:rPr>
          <w:rFonts w:hint="eastAsia"/>
          <w:color w:val="auto"/>
          <w:highlight w:val="none"/>
        </w:rPr>
      </w:pPr>
      <w:r>
        <w:rPr>
          <w:rFonts w:hint="eastAsia"/>
          <w:color w:val="auto"/>
          <w:highlight w:val="none"/>
          <w:lang w:val="en-US" w:eastAsia="zh-CN"/>
        </w:rPr>
        <w:t>.</w:t>
      </w:r>
      <w:r>
        <w:rPr>
          <w:rFonts w:hint="eastAsia"/>
          <w:color w:val="auto"/>
          <w:highlight w:val="none"/>
        </w:rPr>
        <w:t>（1）本项目生活污水、矿井水全部复用不外排时，加强各水处理设施及管网的检査和维护，严防跑、冒、滴、漏，从源头上减少水污染物的排放，控制工业场地内矿井水处理站和生活污水处理站对土壤的影响。</w:t>
      </w:r>
    </w:p>
    <w:p>
      <w:pPr>
        <w:bidi w:val="0"/>
        <w:rPr>
          <w:rFonts w:hint="eastAsia"/>
          <w:color w:val="auto"/>
          <w:highlight w:val="none"/>
        </w:rPr>
      </w:pPr>
      <w:r>
        <w:rPr>
          <w:rFonts w:hint="eastAsia"/>
          <w:color w:val="auto"/>
          <w:highlight w:val="none"/>
        </w:rPr>
        <w:t>（2）本项目运营期掘进</w:t>
      </w:r>
      <w:r>
        <w:rPr>
          <w:rFonts w:hint="eastAsia"/>
          <w:color w:val="auto"/>
          <w:highlight w:val="none"/>
          <w:lang w:val="en-US" w:eastAsia="zh-CN"/>
        </w:rPr>
        <w:t>废石</w:t>
      </w:r>
      <w:r>
        <w:rPr>
          <w:rFonts w:hint="eastAsia"/>
          <w:color w:val="auto"/>
          <w:highlight w:val="none"/>
        </w:rPr>
        <w:t>不出井，</w:t>
      </w:r>
      <w:r>
        <w:rPr>
          <w:rFonts w:hint="eastAsia"/>
          <w:color w:val="auto"/>
          <w:highlight w:val="none"/>
          <w:lang w:val="en-US" w:eastAsia="zh-CN"/>
        </w:rPr>
        <w:t>全部</w:t>
      </w:r>
      <w:r>
        <w:rPr>
          <w:rFonts w:hint="eastAsia"/>
          <w:color w:val="auto"/>
          <w:highlight w:val="none"/>
        </w:rPr>
        <w:t>井下充填</w:t>
      </w:r>
      <w:r>
        <w:rPr>
          <w:rFonts w:hint="eastAsia"/>
          <w:color w:val="auto"/>
          <w:highlight w:val="none"/>
          <w:lang w:eastAsia="zh-CN"/>
        </w:rPr>
        <w:t>；</w:t>
      </w:r>
      <w:r>
        <w:rPr>
          <w:rFonts w:hint="eastAsia" w:ascii="宋体" w:hAnsi="宋体" w:eastAsia="宋体"/>
          <w:color w:val="auto"/>
          <w:sz w:val="24"/>
          <w:szCs w:val="24"/>
          <w:highlight w:val="none"/>
          <w:lang w:val="en-US" w:eastAsia="zh-CN"/>
        </w:rPr>
        <w:t>露天开采</w:t>
      </w:r>
      <w:r>
        <w:rPr>
          <w:rFonts w:hint="eastAsia" w:ascii="宋体" w:hAnsi="宋体" w:eastAsia="宋体"/>
          <w:color w:val="auto"/>
          <w:sz w:val="24"/>
          <w:szCs w:val="24"/>
          <w:highlight w:val="none"/>
        </w:rPr>
        <w:t>产生的废石</w:t>
      </w:r>
      <w:r>
        <w:rPr>
          <w:rFonts w:hint="default" w:ascii="Times New Roman" w:hAnsi="Times New Roman" w:eastAsia="宋体" w:cs="Times New Roman"/>
          <w:color w:val="auto"/>
          <w:highlight w:val="none"/>
        </w:rPr>
        <w:t>除部分用来修筑道路及平整工业场地外，绝大部分废石采取外售方式处理</w:t>
      </w:r>
      <w:r>
        <w:rPr>
          <w:rFonts w:hint="eastAsia"/>
          <w:color w:val="auto"/>
          <w:highlight w:val="none"/>
        </w:rPr>
        <w:t>。环评要求不得将</w:t>
      </w:r>
      <w:r>
        <w:rPr>
          <w:rFonts w:hint="eastAsia"/>
          <w:color w:val="auto"/>
          <w:highlight w:val="none"/>
          <w:lang w:val="en-US" w:eastAsia="zh-CN"/>
        </w:rPr>
        <w:t>废石</w:t>
      </w:r>
      <w:r>
        <w:rPr>
          <w:rFonts w:hint="eastAsia"/>
          <w:color w:val="auto"/>
          <w:highlight w:val="none"/>
        </w:rPr>
        <w:t>随意堆放，从源头上降低</w:t>
      </w:r>
      <w:r>
        <w:rPr>
          <w:rFonts w:hint="eastAsia"/>
          <w:color w:val="auto"/>
          <w:highlight w:val="none"/>
          <w:lang w:val="en-US" w:eastAsia="zh-CN"/>
        </w:rPr>
        <w:t>废石</w:t>
      </w:r>
      <w:r>
        <w:rPr>
          <w:rFonts w:hint="eastAsia"/>
          <w:color w:val="auto"/>
          <w:highlight w:val="none"/>
        </w:rPr>
        <w:t>淋溶水的漫流对土壤环境的污染。</w:t>
      </w:r>
    </w:p>
    <w:p>
      <w:pPr>
        <w:bidi w:val="0"/>
        <w:rPr>
          <w:rFonts w:hint="eastAsia"/>
          <w:color w:val="auto"/>
          <w:highlight w:val="none"/>
        </w:rPr>
      </w:pPr>
      <w:r>
        <w:rPr>
          <w:rFonts w:hint="eastAsia"/>
          <w:color w:val="auto"/>
          <w:highlight w:val="none"/>
        </w:rPr>
        <w:t>（</w:t>
      </w:r>
      <w:r>
        <w:rPr>
          <w:rFonts w:hint="eastAsia"/>
          <w:color w:val="auto"/>
          <w:highlight w:val="none"/>
          <w:lang w:val="en-US" w:eastAsia="zh-CN"/>
        </w:rPr>
        <w:t>3</w:t>
      </w:r>
      <w:r>
        <w:rPr>
          <w:rFonts w:hint="eastAsia"/>
          <w:color w:val="auto"/>
          <w:highlight w:val="none"/>
        </w:rPr>
        <w:t>）加强除尘工作，保证除尘效率，最大限度降低粉尘对土壤环境的影响；加强道路产尘工段的洒水工作，抑制风蚀扬尘的产生。</w:t>
      </w:r>
    </w:p>
    <w:p>
      <w:pPr>
        <w:bidi w:val="0"/>
        <w:rPr>
          <w:rFonts w:hint="eastAsia"/>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）运营期掘进</w:t>
      </w:r>
      <w:r>
        <w:rPr>
          <w:rFonts w:hint="eastAsia"/>
          <w:color w:val="auto"/>
          <w:highlight w:val="none"/>
          <w:lang w:val="en-US" w:eastAsia="zh-CN"/>
        </w:rPr>
        <w:t>废石</w:t>
      </w:r>
      <w:r>
        <w:rPr>
          <w:rFonts w:hint="eastAsia"/>
          <w:color w:val="auto"/>
          <w:highlight w:val="none"/>
        </w:rPr>
        <w:t>全部用作井下采空区填充</w:t>
      </w:r>
      <w:r>
        <w:rPr>
          <w:rFonts w:hint="eastAsia"/>
          <w:color w:val="auto"/>
          <w:highlight w:val="none"/>
          <w:lang w:eastAsia="zh-CN"/>
        </w:rPr>
        <w:t>，</w:t>
      </w:r>
      <w:r>
        <w:rPr>
          <w:rFonts w:hint="eastAsia" w:ascii="宋体" w:hAnsi="宋体" w:eastAsia="宋体"/>
          <w:color w:val="auto"/>
          <w:sz w:val="24"/>
          <w:szCs w:val="24"/>
          <w:highlight w:val="none"/>
          <w:lang w:val="en-US" w:eastAsia="zh-CN"/>
        </w:rPr>
        <w:t>露天开采</w:t>
      </w:r>
      <w:r>
        <w:rPr>
          <w:rFonts w:hint="eastAsia" w:ascii="宋体" w:hAnsi="宋体" w:eastAsia="宋体"/>
          <w:color w:val="auto"/>
          <w:sz w:val="24"/>
          <w:szCs w:val="24"/>
          <w:highlight w:val="none"/>
        </w:rPr>
        <w:t>产生的废石</w:t>
      </w:r>
      <w:r>
        <w:rPr>
          <w:rFonts w:hint="default" w:ascii="Times New Roman" w:hAnsi="Times New Roman" w:eastAsia="宋体" w:cs="Times New Roman"/>
          <w:color w:val="auto"/>
          <w:highlight w:val="none"/>
        </w:rPr>
        <w:t>除部分用来修筑道路及平整工业场地外，绝大部分废石采取外售方式处理</w:t>
      </w:r>
      <w:r>
        <w:rPr>
          <w:rFonts w:hint="eastAsia"/>
          <w:color w:val="auto"/>
          <w:highlight w:val="none"/>
        </w:rPr>
        <w:t>；生活垃圾在施工场地设垃圾箱集中收集后，由当地环卫部门定期清运；废机油定期交由有资质单位处置；固体废物妥善处置，严禁随意堆放。</w:t>
      </w:r>
    </w:p>
    <w:p>
      <w:pPr>
        <w:pStyle w:val="6"/>
        <w:numPr>
          <w:ilvl w:val="3"/>
          <w:numId w:val="0"/>
        </w:numPr>
        <w:spacing w:before="0" w:after="0" w:line="360" w:lineRule="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8.2.7..2 过程防控措施</w:t>
      </w:r>
    </w:p>
    <w:p>
      <w:pPr>
        <w:bidi w:val="0"/>
        <w:rPr>
          <w:rFonts w:hint="eastAsia"/>
          <w:color w:val="auto"/>
          <w:highlight w:val="none"/>
        </w:rPr>
      </w:pPr>
      <w:r>
        <w:rPr>
          <w:rFonts w:hint="eastAsia"/>
          <w:color w:val="auto"/>
          <w:highlight w:val="none"/>
        </w:rPr>
        <w:t>（1）工业场地厂区、周围加强绿化，工业场地厂区应选择对粉尘吸附能力较强的绿化树种；通过道路洒水等抑尘措施有效抑尘，有效控制大气沉降对土壤的影响。</w:t>
      </w:r>
    </w:p>
    <w:p>
      <w:pPr>
        <w:bidi w:val="0"/>
        <w:rPr>
          <w:rFonts w:hint="eastAsia"/>
          <w:color w:val="auto"/>
          <w:highlight w:val="none"/>
        </w:rPr>
      </w:pPr>
      <w:r>
        <w:rPr>
          <w:rFonts w:hint="eastAsia"/>
          <w:color w:val="auto"/>
          <w:highlight w:val="none"/>
        </w:rPr>
        <w:t>（2）</w:t>
      </w:r>
      <w:r>
        <w:rPr>
          <w:rFonts w:hint="eastAsia"/>
          <w:color w:val="auto"/>
          <w:highlight w:val="none"/>
          <w:lang w:val="en-US" w:eastAsia="zh-CN"/>
        </w:rPr>
        <w:t>蓄水池</w:t>
      </w:r>
      <w:r>
        <w:rPr>
          <w:rFonts w:hint="eastAsia"/>
          <w:color w:val="auto"/>
          <w:highlight w:val="none"/>
        </w:rPr>
        <w:t>进行严格的防滲处理，从入渗途径上有效控制工业场地内矿井水入渗对土壤的影响。</w:t>
      </w:r>
    </w:p>
    <w:p>
      <w:pPr>
        <w:bidi w:val="0"/>
        <w:rPr>
          <w:rFonts w:hint="eastAsia"/>
          <w:color w:val="auto"/>
          <w:highlight w:val="none"/>
        </w:rPr>
      </w:pPr>
      <w:r>
        <w:rPr>
          <w:rFonts w:hint="eastAsia"/>
          <w:color w:val="auto"/>
          <w:highlight w:val="none"/>
        </w:rPr>
        <w:t>（</w:t>
      </w:r>
      <w:r>
        <w:rPr>
          <w:rFonts w:hint="eastAsia"/>
          <w:color w:val="auto"/>
          <w:highlight w:val="none"/>
          <w:lang w:val="en-US" w:eastAsia="zh-CN"/>
        </w:rPr>
        <w:t>3</w:t>
      </w:r>
      <w:r>
        <w:rPr>
          <w:rFonts w:hint="eastAsia"/>
          <w:color w:val="auto"/>
          <w:highlight w:val="none"/>
        </w:rPr>
        <w:t>）工业场地设置地面防渗措施，划分为重点防渗区、一般防渗区</w:t>
      </w:r>
      <w:r>
        <w:rPr>
          <w:rFonts w:hint="eastAsia"/>
          <w:color w:val="auto"/>
          <w:highlight w:val="none"/>
          <w:lang w:eastAsia="zh-CN"/>
        </w:rPr>
        <w:t>，</w:t>
      </w:r>
      <w:r>
        <w:rPr>
          <w:rFonts w:hint="eastAsia"/>
          <w:color w:val="auto"/>
          <w:highlight w:val="none"/>
        </w:rPr>
        <w:t>其中危险废物暂存间为重点防渗区，</w:t>
      </w:r>
      <w:r>
        <w:rPr>
          <w:rFonts w:hint="eastAsia"/>
          <w:color w:val="auto"/>
          <w:highlight w:val="none"/>
          <w:lang w:val="en-US" w:eastAsia="zh-CN"/>
        </w:rPr>
        <w:t>蓄水池、废石暂存场</w:t>
      </w:r>
      <w:r>
        <w:rPr>
          <w:rFonts w:hint="eastAsia"/>
          <w:color w:val="auto"/>
          <w:highlight w:val="none"/>
        </w:rPr>
        <w:t>为一般防渗区，工业场地其他位置为简单防渗区。同时，危险废物暂存间设置事故水池和导流槽，用于泄漏液体的收集，并设置堵截泄漏的裙脚，危险废物及时委托有资质单位有专用车运输，整个过程基本上可以杜绝危险废物接触土壤。</w:t>
      </w:r>
    </w:p>
    <w:p>
      <w:pPr>
        <w:pStyle w:val="6"/>
        <w:numPr>
          <w:ilvl w:val="3"/>
          <w:numId w:val="0"/>
        </w:numPr>
        <w:spacing w:before="0" w:after="0" w:line="360" w:lineRule="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8.2.7..3 跟踪监测</w:t>
      </w:r>
    </w:p>
    <w:p>
      <w:pPr>
        <w:bidi w:val="0"/>
        <w:rPr>
          <w:rFonts w:hint="default"/>
          <w:color w:val="auto"/>
          <w:highlight w:val="none"/>
          <w:lang w:val="en-US" w:eastAsia="zh-CN"/>
        </w:rPr>
      </w:pPr>
      <w:r>
        <w:rPr>
          <w:rFonts w:hint="eastAsia"/>
          <w:color w:val="auto"/>
          <w:highlight w:val="none"/>
        </w:rPr>
        <w:t>本项目开采区土壤评价工作等级为</w:t>
      </w:r>
      <w:r>
        <w:rPr>
          <w:rFonts w:hint="eastAsia"/>
          <w:color w:val="auto"/>
          <w:highlight w:val="none"/>
          <w:lang w:val="en-US" w:eastAsia="zh-CN"/>
        </w:rPr>
        <w:t>三</w:t>
      </w:r>
      <w:r>
        <w:rPr>
          <w:rFonts w:hint="eastAsia"/>
          <w:color w:val="auto"/>
          <w:highlight w:val="none"/>
        </w:rPr>
        <w:t>级，根据土壤导则要求</w:t>
      </w:r>
      <w:r>
        <w:rPr>
          <w:rFonts w:hint="eastAsia"/>
          <w:color w:val="auto"/>
          <w:highlight w:val="none"/>
          <w:lang w:eastAsia="zh-CN"/>
        </w:rPr>
        <w:t>，</w:t>
      </w:r>
      <w:r>
        <w:rPr>
          <w:rFonts w:hint="eastAsia"/>
          <w:color w:val="auto"/>
          <w:highlight w:val="none"/>
        </w:rPr>
        <w:t>三级的必要时可开展跟踪监测。考虑到项目特点及评价工作等级，本次对土壤进行跟踪监测，在工业场地下游设置一个土壤环境跟踪监测点，监测计划详见表</w:t>
      </w:r>
      <w:r>
        <w:rPr>
          <w:rFonts w:hint="eastAsia"/>
          <w:color w:val="auto"/>
          <w:highlight w:val="none"/>
          <w:lang w:val="en-US" w:eastAsia="zh-CN"/>
        </w:rPr>
        <w:t>8.2</w:t>
      </w:r>
      <w:r>
        <w:rPr>
          <w:rFonts w:hint="eastAsia"/>
          <w:color w:val="auto"/>
          <w:highlight w:val="none"/>
        </w:rPr>
        <w:t>-</w:t>
      </w:r>
      <w:r>
        <w:rPr>
          <w:rFonts w:hint="eastAsia"/>
          <w:color w:val="auto"/>
          <w:highlight w:val="none"/>
          <w:lang w:val="en-US" w:eastAsia="zh-CN"/>
        </w:rPr>
        <w:t>4</w:t>
      </w:r>
      <w:r>
        <w:rPr>
          <w:rFonts w:hint="eastAsia"/>
          <w:color w:val="auto"/>
          <w:highlight w:val="none"/>
        </w:rPr>
        <w:t>。</w:t>
      </w:r>
    </w:p>
    <w:p>
      <w:pPr>
        <w:spacing w:line="240" w:lineRule="auto"/>
        <w:ind w:firstLine="0" w:firstLineChars="0"/>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表</w:t>
      </w:r>
      <w:r>
        <w:rPr>
          <w:rFonts w:hint="eastAsia" w:ascii="Times New Roman" w:hAnsi="Times New Roman" w:eastAsia="宋体" w:cs="Times New Roman"/>
          <w:b/>
          <w:color w:val="auto"/>
          <w:sz w:val="21"/>
          <w:szCs w:val="21"/>
          <w:highlight w:val="none"/>
          <w:lang w:val="en-US" w:eastAsia="zh-CN"/>
        </w:rPr>
        <w:t>8.2-4</w:t>
      </w:r>
      <w:r>
        <w:rPr>
          <w:rFonts w:hint="default" w:ascii="Times New Roman" w:hAnsi="Times New Roman" w:eastAsia="宋体" w:cs="Times New Roman"/>
          <w:b/>
          <w:color w:val="auto"/>
          <w:sz w:val="21"/>
          <w:szCs w:val="21"/>
          <w:highlight w:val="none"/>
          <w:lang w:val="en-US" w:eastAsia="zh-CN"/>
        </w:rPr>
        <w:t xml:space="preserve"> 土壤环境跟踪监测计划</w:t>
      </w:r>
    </w:p>
    <w:tbl>
      <w:tblPr>
        <w:tblStyle w:val="45"/>
        <w:tblW w:w="92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84"/>
        <w:gridCol w:w="2678"/>
        <w:gridCol w:w="1634"/>
        <w:gridCol w:w="1583"/>
        <w:gridCol w:w="23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监测点位</w:t>
            </w:r>
          </w:p>
        </w:tc>
        <w:tc>
          <w:tcPr>
            <w:tcW w:w="2678"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监测指标</w:t>
            </w:r>
          </w:p>
        </w:tc>
        <w:tc>
          <w:tcPr>
            <w:tcW w:w="1634"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监测频次</w:t>
            </w:r>
          </w:p>
        </w:tc>
        <w:tc>
          <w:tcPr>
            <w:tcW w:w="1583"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执行标准</w:t>
            </w:r>
          </w:p>
        </w:tc>
        <w:tc>
          <w:tcPr>
            <w:tcW w:w="2308"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84" w:type="dxa"/>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工业场地</w:t>
            </w:r>
          </w:p>
        </w:tc>
        <w:tc>
          <w:tcPr>
            <w:tcW w:w="2678" w:type="dxa"/>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sz w:val="21"/>
                <w:szCs w:val="21"/>
                <w:highlight w:val="none"/>
                <w:lang w:val="en-US" w:eastAsia="zh-CN"/>
              </w:rPr>
              <w:t>pH、Cd、Hg、As、Pb、Cr6+、 Cu、Ni、Zn、Cr</w:t>
            </w:r>
          </w:p>
        </w:tc>
        <w:tc>
          <w:tcPr>
            <w:tcW w:w="1634" w:type="dxa"/>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每5年开展一次</w:t>
            </w:r>
          </w:p>
        </w:tc>
        <w:tc>
          <w:tcPr>
            <w:tcW w:w="1583" w:type="dxa"/>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0"/>
                <w:sz w:val="21"/>
                <w:szCs w:val="21"/>
                <w:highlight w:val="none"/>
              </w:rPr>
            </w:pPr>
            <w:r>
              <w:rPr>
                <w:color w:val="auto"/>
                <w:sz w:val="21"/>
                <w:szCs w:val="21"/>
                <w:highlight w:val="none"/>
              </w:rPr>
              <w:t>GB36600-2018</w:t>
            </w:r>
          </w:p>
        </w:tc>
        <w:tc>
          <w:tcPr>
            <w:tcW w:w="2308" w:type="dxa"/>
            <w:shd w:val="clear" w:color="auto" w:fill="auto"/>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val="en-US" w:eastAsia="zh-CN"/>
              </w:rPr>
              <w:t>取得监测数据要向社会公开，接受公众监督</w:t>
            </w:r>
          </w:p>
        </w:tc>
      </w:tr>
    </w:tbl>
    <w:p>
      <w:pPr>
        <w:pStyle w:val="5"/>
        <w:bidi w:val="0"/>
        <w:rPr>
          <w:rFonts w:hint="eastAsia" w:ascii="Times New Roman" w:hAnsi="Times New Roman" w:cs="Times New Roman"/>
          <w:color w:val="auto"/>
          <w:highlight w:val="none"/>
        </w:rPr>
      </w:pPr>
      <w:bookmarkStart w:id="666" w:name="_Toc4817"/>
      <w:bookmarkStart w:id="667" w:name="_Toc15369"/>
      <w:bookmarkStart w:id="668" w:name="_Toc15376215"/>
      <w:bookmarkStart w:id="669" w:name="_Toc30425"/>
      <w:bookmarkStart w:id="670" w:name="_Toc12058"/>
      <w:r>
        <w:rPr>
          <w:rFonts w:hint="eastAsia" w:ascii="Times New Roman" w:hAnsi="Times New Roman" w:cs="Times New Roman"/>
          <w:color w:val="auto"/>
          <w:highlight w:val="none"/>
        </w:rPr>
        <w:t>岩石移动环境保护措施</w:t>
      </w:r>
    </w:p>
    <w:p>
      <w:pPr>
        <w:spacing w:beforeLines="0" w:afterLines="0"/>
        <w:jc w:val="left"/>
        <w:rPr>
          <w:rFonts w:hint="eastAsia" w:ascii="宋体" w:hAnsi="宋体" w:eastAsia="宋体"/>
          <w:color w:val="auto"/>
          <w:sz w:val="24"/>
          <w:szCs w:val="24"/>
          <w:highlight w:val="none"/>
        </w:rPr>
      </w:pPr>
      <w:r>
        <w:rPr>
          <w:rFonts w:hint="eastAsia" w:ascii="宋体" w:hAnsi="宋体" w:eastAsia="宋体"/>
          <w:color w:val="auto"/>
          <w:sz w:val="24"/>
          <w:szCs w:val="24"/>
          <w:highlight w:val="none"/>
        </w:rPr>
        <w:t>（</w:t>
      </w:r>
      <w:r>
        <w:rPr>
          <w:rFonts w:hint="eastAsia" w:ascii="TimesNewRomanPSMT" w:hAnsi="TimesNewRomanPSMT" w:eastAsia="TimesNewRomanPSMT"/>
          <w:color w:val="auto"/>
          <w:sz w:val="24"/>
          <w:szCs w:val="24"/>
          <w:highlight w:val="none"/>
        </w:rPr>
        <w:t>1</w:t>
      </w:r>
      <w:r>
        <w:rPr>
          <w:rFonts w:hint="eastAsia" w:ascii="宋体" w:hAnsi="宋体" w:eastAsia="宋体"/>
          <w:color w:val="auto"/>
          <w:sz w:val="24"/>
          <w:szCs w:val="24"/>
          <w:highlight w:val="none"/>
        </w:rPr>
        <w:t>）应严格按照相关技术规范进行采矿设计，采用保留矿柱法，防止上覆岩层和地表的移动变形。</w:t>
      </w:r>
    </w:p>
    <w:p>
      <w:pPr>
        <w:spacing w:beforeLines="0" w:afterLines="0"/>
        <w:jc w:val="left"/>
        <w:rPr>
          <w:rFonts w:hint="eastAsia" w:ascii="宋体" w:hAnsi="宋体" w:eastAsia="宋体"/>
          <w:color w:val="auto"/>
          <w:sz w:val="24"/>
          <w:szCs w:val="24"/>
          <w:highlight w:val="none"/>
        </w:rPr>
      </w:pPr>
      <w:r>
        <w:rPr>
          <w:rFonts w:hint="eastAsia" w:ascii="宋体" w:hAnsi="宋体" w:eastAsia="宋体"/>
          <w:color w:val="auto"/>
          <w:sz w:val="24"/>
          <w:szCs w:val="24"/>
          <w:highlight w:val="none"/>
        </w:rPr>
        <w:t>（</w:t>
      </w:r>
      <w:r>
        <w:rPr>
          <w:rFonts w:hint="eastAsia" w:ascii="TimesNewRomanPSMT" w:hAnsi="TimesNewRomanPSMT" w:eastAsia="TimesNewRomanPSMT"/>
          <w:color w:val="auto"/>
          <w:sz w:val="24"/>
          <w:szCs w:val="24"/>
          <w:highlight w:val="none"/>
        </w:rPr>
        <w:t>2</w:t>
      </w:r>
      <w:r>
        <w:rPr>
          <w:rFonts w:hint="eastAsia" w:ascii="宋体" w:hAnsi="宋体" w:eastAsia="宋体"/>
          <w:color w:val="auto"/>
          <w:sz w:val="24"/>
          <w:szCs w:val="24"/>
          <w:highlight w:val="none"/>
        </w:rPr>
        <w:t>）运营期产生的废石不升井，废石回填采空区，减少岩移范围对地表的影响。</w:t>
      </w:r>
    </w:p>
    <w:p>
      <w:pPr>
        <w:bidi w:val="0"/>
        <w:rPr>
          <w:rFonts w:hint="eastAsia" w:ascii="宋体" w:hAnsi="宋体" w:eastAsia="宋体"/>
          <w:color w:val="auto"/>
          <w:sz w:val="24"/>
          <w:szCs w:val="24"/>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r>
        <w:rPr>
          <w:rFonts w:hint="eastAsia" w:ascii="宋体" w:hAnsi="宋体" w:eastAsia="宋体"/>
          <w:color w:val="auto"/>
          <w:sz w:val="24"/>
          <w:szCs w:val="24"/>
          <w:highlight w:val="none"/>
        </w:rPr>
        <w:t>（</w:t>
      </w:r>
      <w:r>
        <w:rPr>
          <w:rFonts w:hint="eastAsia" w:ascii="TimesNewRomanPSMT" w:hAnsi="TimesNewRomanPSMT" w:eastAsia="TimesNewRomanPSMT"/>
          <w:color w:val="auto"/>
          <w:sz w:val="24"/>
          <w:szCs w:val="24"/>
          <w:highlight w:val="none"/>
        </w:rPr>
        <w:t>3</w:t>
      </w:r>
      <w:r>
        <w:rPr>
          <w:rFonts w:hint="eastAsia" w:ascii="宋体" w:hAnsi="宋体" w:eastAsia="宋体"/>
          <w:color w:val="auto"/>
          <w:sz w:val="24"/>
          <w:szCs w:val="24"/>
          <w:highlight w:val="none"/>
        </w:rPr>
        <w:t>）对地表岩移范围、沉陷值进行监测，发现异常及时停产处理。</w:t>
      </w:r>
    </w:p>
    <w:bookmarkEnd w:id="666"/>
    <w:bookmarkEnd w:id="667"/>
    <w:bookmarkEnd w:id="668"/>
    <w:bookmarkEnd w:id="669"/>
    <w:bookmarkEnd w:id="670"/>
    <w:p>
      <w:pPr>
        <w:pStyle w:val="3"/>
        <w:bidi w:val="0"/>
        <w:rPr>
          <w:rFonts w:hint="default"/>
          <w:color w:val="auto"/>
          <w:highlight w:val="none"/>
        </w:rPr>
      </w:pPr>
      <w:bookmarkStart w:id="671" w:name="_Toc395187055"/>
      <w:bookmarkStart w:id="672" w:name="_Toc305953273"/>
      <w:bookmarkStart w:id="673" w:name="_Toc316410427"/>
      <w:bookmarkStart w:id="674" w:name="_Toc368298862"/>
      <w:bookmarkStart w:id="675" w:name="_Toc377022594"/>
      <w:bookmarkStart w:id="676" w:name="_Toc368298954"/>
      <w:bookmarkStart w:id="677" w:name="_Toc319511343"/>
      <w:bookmarkStart w:id="678" w:name="_Toc369000279"/>
      <w:bookmarkStart w:id="679" w:name="_Toc213732020"/>
      <w:bookmarkStart w:id="680" w:name="_Toc15376216"/>
      <w:bookmarkStart w:id="681" w:name="_Toc515537870"/>
      <w:bookmarkStart w:id="682" w:name="_Toc450827156"/>
      <w:bookmarkStart w:id="683" w:name="_Toc11496"/>
      <w:r>
        <w:rPr>
          <w:rFonts w:hint="default"/>
          <w:color w:val="auto"/>
          <w:highlight w:val="none"/>
        </w:rPr>
        <w:t>环境管理与监测</w:t>
      </w:r>
      <w:bookmarkEnd w:id="671"/>
      <w:bookmarkEnd w:id="672"/>
      <w:bookmarkEnd w:id="673"/>
      <w:bookmarkEnd w:id="674"/>
      <w:bookmarkEnd w:id="675"/>
      <w:bookmarkEnd w:id="676"/>
      <w:bookmarkEnd w:id="677"/>
      <w:bookmarkEnd w:id="678"/>
      <w:bookmarkEnd w:id="679"/>
      <w:r>
        <w:rPr>
          <w:rFonts w:hint="default"/>
          <w:color w:val="auto"/>
          <w:highlight w:val="none"/>
        </w:rPr>
        <w:t>计划</w:t>
      </w:r>
      <w:bookmarkEnd w:id="680"/>
      <w:bookmarkEnd w:id="681"/>
      <w:bookmarkEnd w:id="682"/>
      <w:bookmarkEnd w:id="683"/>
    </w:p>
    <w:p>
      <w:pPr>
        <w:pStyle w:val="4"/>
        <w:bidi w:val="0"/>
        <w:ind w:left="0" w:leftChars="0" w:firstLineChars="0"/>
        <w:rPr>
          <w:rFonts w:hint="default"/>
          <w:color w:val="auto"/>
          <w:highlight w:val="none"/>
        </w:rPr>
      </w:pPr>
      <w:bookmarkStart w:id="684" w:name="_Toc299053997"/>
      <w:bookmarkStart w:id="685" w:name="_Toc325530121"/>
      <w:bookmarkStart w:id="686" w:name="_Toc322349472"/>
      <w:bookmarkStart w:id="687" w:name="_Toc237943781"/>
      <w:bookmarkStart w:id="688" w:name="_Toc242780602"/>
      <w:bookmarkStart w:id="689" w:name="_Toc515537871"/>
      <w:bookmarkStart w:id="690" w:name="_Toc19535"/>
      <w:bookmarkStart w:id="691" w:name="_Toc456603841"/>
      <w:bookmarkStart w:id="692" w:name="_Toc15376217"/>
      <w:bookmarkStart w:id="693" w:name="_Toc445969141"/>
      <w:bookmarkStart w:id="694" w:name="_Toc395187056"/>
      <w:bookmarkStart w:id="695" w:name="_Toc213732021"/>
      <w:bookmarkStart w:id="696" w:name="_Toc319511344"/>
      <w:bookmarkStart w:id="697" w:name="_Toc305953274"/>
      <w:bookmarkStart w:id="698" w:name="_Toc377022595"/>
      <w:bookmarkStart w:id="699" w:name="_Toc369000280"/>
      <w:bookmarkStart w:id="700" w:name="_Toc368298955"/>
      <w:bookmarkStart w:id="701" w:name="_Toc316410428"/>
      <w:bookmarkStart w:id="702" w:name="_Toc450827157"/>
      <w:bookmarkStart w:id="703" w:name="_Toc368298863"/>
      <w:r>
        <w:rPr>
          <w:rFonts w:hint="default"/>
          <w:color w:val="auto"/>
          <w:highlight w:val="none"/>
        </w:rPr>
        <w:t>环境管理</w:t>
      </w:r>
      <w:bookmarkEnd w:id="684"/>
      <w:bookmarkEnd w:id="685"/>
      <w:bookmarkEnd w:id="686"/>
      <w:bookmarkEnd w:id="687"/>
      <w:bookmarkEnd w:id="688"/>
      <w:r>
        <w:rPr>
          <w:rFonts w:hint="default"/>
          <w:color w:val="auto"/>
          <w:highlight w:val="none"/>
        </w:rPr>
        <w:t>计划</w:t>
      </w:r>
      <w:bookmarkEnd w:id="689"/>
      <w:bookmarkEnd w:id="690"/>
      <w:bookmarkEnd w:id="691"/>
      <w:bookmarkEnd w:id="692"/>
      <w:bookmarkEnd w:id="693"/>
    </w:p>
    <w:p>
      <w:pPr>
        <w:pStyle w:val="5"/>
        <w:bidi w:val="0"/>
        <w:rPr>
          <w:rFonts w:hint="default"/>
          <w:color w:val="auto"/>
          <w:highlight w:val="none"/>
        </w:rPr>
      </w:pPr>
      <w:bookmarkStart w:id="704" w:name="_Toc445969142"/>
      <w:r>
        <w:rPr>
          <w:rFonts w:hint="default"/>
          <w:color w:val="auto"/>
          <w:highlight w:val="none"/>
        </w:rPr>
        <w:t>环境管理</w:t>
      </w:r>
      <w:bookmarkEnd w:id="704"/>
    </w:p>
    <w:p>
      <w:pPr>
        <w:bidi w:val="0"/>
        <w:rPr>
          <w:rFonts w:hint="default"/>
          <w:color w:val="auto"/>
          <w:highlight w:val="none"/>
        </w:rPr>
      </w:pPr>
      <w:r>
        <w:rPr>
          <w:rFonts w:hint="default"/>
          <w:color w:val="auto"/>
          <w:highlight w:val="none"/>
        </w:rPr>
        <w:t>根据《中华人民共和国环境保护法》和中华人民共和国国务院令第253号《建设项目环境保护管理条例》，建设单位必须把环境保护工作纳入计划，建立环境保护责任制度，采取有效措施，防止环境破坏。建立环境管理和环境监控机构，其目的就是贯彻执行有关环境保护法律、法规。根据建设项目的特点，针对所存在的环境问题，以及相应的环保措施，制定相应的环境监测计划，以便及时发现和解决问题，尽可能减少其不利的环境影响。通过监测可以得到反馈信息，及时修正设计中环保措施的不足，防止环境质量下降，确保工程的环境、经济和社会效益的统一。</w:t>
      </w:r>
    </w:p>
    <w:p>
      <w:pPr>
        <w:spacing w:line="240" w:lineRule="auto"/>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9</w:t>
      </w:r>
      <w:r>
        <w:rPr>
          <w:rFonts w:hint="default" w:ascii="Times New Roman" w:hAnsi="Times New Roman" w:eastAsia="宋体" w:cs="Times New Roman"/>
          <w:b/>
          <w:color w:val="auto"/>
          <w:sz w:val="21"/>
          <w:szCs w:val="21"/>
          <w:highlight w:val="none"/>
        </w:rPr>
        <w:t>.1-1项目在不同时期环境管理要求</w:t>
      </w:r>
    </w:p>
    <w:tbl>
      <w:tblPr>
        <w:tblStyle w:val="45"/>
        <w:tblW w:w="9286"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242"/>
        <w:gridCol w:w="6805"/>
        <w:gridCol w:w="1239"/>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4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类型</w:t>
            </w:r>
          </w:p>
        </w:tc>
        <w:tc>
          <w:tcPr>
            <w:tcW w:w="8044"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分期环境管理要求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42" w:type="dxa"/>
            <w:vMerge w:val="continue"/>
            <w:vAlign w:val="center"/>
          </w:tcPr>
          <w:p>
            <w:pPr>
              <w:pStyle w:val="104"/>
              <w:jc w:val="center"/>
              <w:rPr>
                <w:rFonts w:hint="default" w:ascii="Times New Roman" w:hAnsi="Times New Roman" w:eastAsia="宋体" w:cs="Times New Roman"/>
                <w:color w:val="auto"/>
                <w:highlight w:val="none"/>
              </w:rPr>
            </w:pPr>
          </w:p>
        </w:tc>
        <w:tc>
          <w:tcPr>
            <w:tcW w:w="680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运营期</w:t>
            </w:r>
          </w:p>
        </w:tc>
        <w:tc>
          <w:tcPr>
            <w:tcW w:w="1239"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服务期满</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4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环境空气</w:t>
            </w:r>
          </w:p>
        </w:tc>
        <w:tc>
          <w:tcPr>
            <w:tcW w:w="6805"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生产设备所需环保设备配套齐全，并建有完善的洒水降尘工作制度，采取有效措施后满足《大气污染物综合排放标准》（GB16297-1996）中新污染源大气污染物二级排放限值</w:t>
            </w:r>
            <w:r>
              <w:rPr>
                <w:rFonts w:hint="default" w:ascii="Times New Roman" w:hAnsi="Times New Roman" w:eastAsia="宋体" w:cs="Times New Roman"/>
                <w:color w:val="auto"/>
                <w:highlight w:val="none"/>
                <w:lang w:val="en-US" w:eastAsia="zh-CN"/>
              </w:rPr>
              <w:t>要求</w:t>
            </w:r>
          </w:p>
        </w:tc>
        <w:tc>
          <w:tcPr>
            <w:tcW w:w="1239" w:type="dxa"/>
            <w:vMerge w:val="restart"/>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根据生态环境问题对矿山环境进行恢复治理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4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680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生活污水排入旱厕，定期清掏；井下涌水全部综合利用，不设排放口</w:t>
            </w:r>
          </w:p>
        </w:tc>
        <w:tc>
          <w:tcPr>
            <w:tcW w:w="1239" w:type="dxa"/>
            <w:vMerge w:val="continue"/>
            <w:vAlign w:val="center"/>
          </w:tcPr>
          <w:p>
            <w:pPr>
              <w:pStyle w:val="104"/>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42" w:type="dxa"/>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w:t>
            </w:r>
          </w:p>
        </w:tc>
        <w:tc>
          <w:tcPr>
            <w:tcW w:w="680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首选低噪声设备，风机安装消声器，空压机房安装密闭门窗，控制运输车辆速度及运载量，定期保养和维护设备，使厂界噪声满足《工业企业厂界环境噪声排放标准》</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类标准要求</w:t>
            </w:r>
          </w:p>
        </w:tc>
        <w:tc>
          <w:tcPr>
            <w:tcW w:w="1239" w:type="dxa"/>
            <w:vMerge w:val="continue"/>
            <w:vAlign w:val="center"/>
          </w:tcPr>
          <w:p>
            <w:pPr>
              <w:pStyle w:val="104"/>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42" w:type="dxa"/>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固体废物</w:t>
            </w:r>
          </w:p>
        </w:tc>
        <w:tc>
          <w:tcPr>
            <w:tcW w:w="6805"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生活垃圾收集后定期送当地环卫部门统一处理；废机油暂存于危废暂存间，定期委托有资质的单位处理；</w:t>
            </w:r>
            <w:r>
              <w:rPr>
                <w:rFonts w:hint="eastAsia" w:cs="Times New Roman"/>
                <w:color w:val="auto"/>
                <w:highlight w:val="none"/>
                <w:lang w:val="en-US" w:eastAsia="zh-CN"/>
              </w:rPr>
              <w:t>井下</w:t>
            </w:r>
            <w:r>
              <w:rPr>
                <w:rFonts w:hint="default" w:ascii="Times New Roman" w:hAnsi="Times New Roman" w:eastAsia="宋体" w:cs="Times New Roman"/>
                <w:color w:val="auto"/>
                <w:highlight w:val="none"/>
              </w:rPr>
              <w:t>采矿废石不出井，回填井下采空区</w:t>
            </w:r>
            <w:r>
              <w:rPr>
                <w:rFonts w:hint="eastAsia" w:cs="Times New Roman"/>
                <w:color w:val="auto"/>
                <w:highlight w:val="none"/>
                <w:lang w:eastAsia="zh-CN"/>
              </w:rPr>
              <w:t>，</w:t>
            </w:r>
            <w:r>
              <w:rPr>
                <w:rFonts w:hint="eastAsia" w:cs="Times New Roman"/>
                <w:color w:val="auto"/>
                <w:highlight w:val="none"/>
                <w:lang w:val="en-US" w:eastAsia="zh-CN"/>
              </w:rPr>
              <w:t>露天开采废石外卖综合处理。</w:t>
            </w:r>
          </w:p>
        </w:tc>
        <w:tc>
          <w:tcPr>
            <w:tcW w:w="1239" w:type="dxa"/>
            <w:vMerge w:val="continue"/>
            <w:vAlign w:val="center"/>
          </w:tcPr>
          <w:p>
            <w:pPr>
              <w:pStyle w:val="104"/>
              <w:rPr>
                <w:rFonts w:hint="default" w:ascii="Times New Roman" w:hAnsi="Times New Roman" w:eastAsia="宋体" w:cs="Times New Roman"/>
                <w:color w:val="auto"/>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1242" w:type="dxa"/>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生态</w:t>
            </w:r>
          </w:p>
        </w:tc>
        <w:tc>
          <w:tcPr>
            <w:tcW w:w="680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依照生态恢复章节要求对采区内相关区块逐年度进行生态恢复</w:t>
            </w:r>
          </w:p>
        </w:tc>
        <w:tc>
          <w:tcPr>
            <w:tcW w:w="1239" w:type="dxa"/>
            <w:vMerge w:val="continue"/>
            <w:vAlign w:val="center"/>
          </w:tcPr>
          <w:p>
            <w:pPr>
              <w:pStyle w:val="104"/>
              <w:rPr>
                <w:rFonts w:hint="default" w:ascii="Times New Roman" w:hAnsi="Times New Roman" w:eastAsia="宋体" w:cs="Times New Roman"/>
                <w:color w:val="auto"/>
                <w:highlight w:val="none"/>
              </w:rPr>
            </w:pPr>
          </w:p>
        </w:tc>
      </w:tr>
    </w:tbl>
    <w:p>
      <w:pPr>
        <w:spacing w:line="240" w:lineRule="auto"/>
        <w:ind w:firstLine="0" w:firstLineChars="0"/>
        <w:jc w:val="center"/>
        <w:rPr>
          <w:rFonts w:hint="default" w:ascii="Times New Roman" w:hAnsi="Times New Roman" w:eastAsia="宋体" w:cs="Times New Roman"/>
          <w:b/>
          <w:color w:val="auto"/>
          <w:sz w:val="21"/>
          <w:szCs w:val="21"/>
          <w:highlight w:val="none"/>
        </w:rPr>
      </w:pPr>
    </w:p>
    <w:p>
      <w:pPr>
        <w:spacing w:line="240" w:lineRule="auto"/>
        <w:ind w:firstLine="0" w:firstLineChars="0"/>
        <w:jc w:val="center"/>
        <w:rPr>
          <w:rFonts w:hint="default" w:ascii="Times New Roman" w:hAnsi="Times New Roman" w:eastAsia="宋体" w:cs="Times New Roman"/>
          <w:b/>
          <w:color w:val="auto"/>
          <w:sz w:val="21"/>
          <w:szCs w:val="21"/>
          <w:highlight w:val="none"/>
        </w:rPr>
      </w:pPr>
    </w:p>
    <w:p>
      <w:pPr>
        <w:spacing w:line="240" w:lineRule="auto"/>
        <w:ind w:firstLine="0" w:firstLineChars="0"/>
        <w:rPr>
          <w:rFonts w:hint="default" w:ascii="Times New Roman" w:hAnsi="Times New Roman" w:eastAsia="宋体" w:cs="Times New Roman"/>
          <w:b/>
          <w:color w:val="auto"/>
          <w:sz w:val="21"/>
          <w:szCs w:val="21"/>
          <w:highlight w:val="none"/>
        </w:rPr>
      </w:pPr>
    </w:p>
    <w:p>
      <w:pPr>
        <w:spacing w:line="240" w:lineRule="auto"/>
        <w:ind w:firstLine="0" w:firstLineChars="0"/>
        <w:jc w:val="center"/>
        <w:rPr>
          <w:rFonts w:hint="default" w:ascii="Times New Roman" w:hAnsi="Times New Roman" w:eastAsia="宋体" w:cs="Times New Roman"/>
          <w:b/>
          <w:color w:val="auto"/>
          <w:sz w:val="21"/>
          <w:szCs w:val="21"/>
          <w:highlight w:val="none"/>
        </w:rPr>
      </w:pPr>
    </w:p>
    <w:p>
      <w:pPr>
        <w:spacing w:line="240" w:lineRule="auto"/>
        <w:ind w:firstLine="0" w:firstLineChars="0"/>
        <w:jc w:val="center"/>
        <w:rPr>
          <w:rFonts w:hint="default" w:ascii="Times New Roman" w:hAnsi="Times New Roman" w:eastAsia="宋体" w:cs="Times New Roman"/>
          <w:b/>
          <w:color w:val="auto"/>
          <w:sz w:val="21"/>
          <w:szCs w:val="21"/>
          <w:highlight w:val="none"/>
        </w:rPr>
      </w:pPr>
    </w:p>
    <w:p>
      <w:pPr>
        <w:spacing w:line="240" w:lineRule="auto"/>
        <w:ind w:firstLine="0" w:firstLineChars="0"/>
        <w:jc w:val="center"/>
        <w:rPr>
          <w:rFonts w:hint="default" w:ascii="Times New Roman" w:hAnsi="Times New Roman" w:eastAsia="宋体" w:cs="Times New Roman"/>
          <w:b/>
          <w:color w:val="auto"/>
          <w:sz w:val="21"/>
          <w:szCs w:val="21"/>
          <w:highlight w:val="none"/>
        </w:rPr>
      </w:pPr>
    </w:p>
    <w:p>
      <w:pPr>
        <w:spacing w:line="240" w:lineRule="auto"/>
        <w:ind w:firstLine="0" w:firstLineChars="0"/>
        <w:jc w:val="center"/>
        <w:rPr>
          <w:rFonts w:hint="default" w:ascii="Times New Roman" w:hAnsi="Times New Roman" w:eastAsia="宋体" w:cs="Times New Roman"/>
          <w:b/>
          <w:color w:val="auto"/>
          <w:sz w:val="21"/>
          <w:szCs w:val="21"/>
          <w:highlight w:val="none"/>
        </w:rPr>
      </w:pPr>
    </w:p>
    <w:p>
      <w:pPr>
        <w:spacing w:line="240" w:lineRule="auto"/>
        <w:ind w:firstLine="0" w:firstLineChars="0"/>
        <w:jc w:val="center"/>
        <w:rPr>
          <w:rFonts w:hint="default" w:ascii="Times New Roman" w:hAnsi="Times New Roman" w:eastAsia="宋体" w:cs="Times New Roman"/>
          <w:b/>
          <w:color w:val="auto"/>
          <w:sz w:val="21"/>
          <w:szCs w:val="21"/>
          <w:highlight w:val="none"/>
        </w:rPr>
      </w:pPr>
    </w:p>
    <w:p>
      <w:pPr>
        <w:spacing w:line="240" w:lineRule="auto"/>
        <w:ind w:firstLine="0" w:firstLineChars="0"/>
        <w:jc w:val="center"/>
        <w:rPr>
          <w:rFonts w:hint="default" w:ascii="Times New Roman" w:hAnsi="Times New Roman" w:eastAsia="宋体" w:cs="Times New Roman"/>
          <w:b/>
          <w:color w:val="auto"/>
          <w:sz w:val="21"/>
          <w:szCs w:val="21"/>
          <w:highlight w:val="none"/>
        </w:rPr>
        <w:sectPr>
          <w:pgSz w:w="11906" w:h="16838"/>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240" w:lineRule="auto"/>
        <w:ind w:firstLine="0" w:firstLineChars="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9</w:t>
      </w:r>
      <w:r>
        <w:rPr>
          <w:rFonts w:hint="default" w:ascii="Times New Roman" w:hAnsi="Times New Roman" w:eastAsia="宋体" w:cs="Times New Roman"/>
          <w:b/>
          <w:color w:val="auto"/>
          <w:sz w:val="21"/>
          <w:szCs w:val="21"/>
          <w:highlight w:val="none"/>
        </w:rPr>
        <w:t>.1-2污染物排放的管理要求</w:t>
      </w:r>
    </w:p>
    <w:tbl>
      <w:tblPr>
        <w:tblStyle w:val="45"/>
        <w:tblW w:w="1360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85" w:type="dxa"/>
          <w:left w:w="108" w:type="dxa"/>
          <w:bottom w:w="85" w:type="dxa"/>
          <w:right w:w="108" w:type="dxa"/>
        </w:tblCellMar>
      </w:tblPr>
      <w:tblGrid>
        <w:gridCol w:w="821"/>
        <w:gridCol w:w="1300"/>
        <w:gridCol w:w="1084"/>
        <w:gridCol w:w="1843"/>
        <w:gridCol w:w="3686"/>
        <w:gridCol w:w="850"/>
        <w:gridCol w:w="992"/>
        <w:gridCol w:w="30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2384"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污染源种类</w:t>
            </w:r>
          </w:p>
        </w:tc>
        <w:tc>
          <w:tcPr>
            <w:tcW w:w="184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原始产生情况</w:t>
            </w:r>
          </w:p>
        </w:tc>
        <w:tc>
          <w:tcPr>
            <w:tcW w:w="3686"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拟采取的环境保护措施</w:t>
            </w:r>
          </w:p>
        </w:tc>
        <w:tc>
          <w:tcPr>
            <w:tcW w:w="1842"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处理后排放情况</w:t>
            </w:r>
          </w:p>
        </w:tc>
        <w:tc>
          <w:tcPr>
            <w:tcW w:w="303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w:t>
            </w:r>
          </w:p>
        </w:tc>
        <w:tc>
          <w:tcPr>
            <w:tcW w:w="10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w:t>
            </w:r>
          </w:p>
        </w:tc>
        <w:tc>
          <w:tcPr>
            <w:tcW w:w="184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产生量t/a</w:t>
            </w:r>
          </w:p>
        </w:tc>
        <w:tc>
          <w:tcPr>
            <w:tcW w:w="3686" w:type="dxa"/>
            <w:vMerge w:val="continue"/>
            <w:vAlign w:val="center"/>
          </w:tcPr>
          <w:p>
            <w:pPr>
              <w:pStyle w:val="104"/>
              <w:jc w:val="center"/>
              <w:rPr>
                <w:rFonts w:hint="default" w:ascii="Times New Roman" w:hAnsi="Times New Roman" w:eastAsia="宋体" w:cs="Times New Roman"/>
                <w:color w:val="auto"/>
                <w:highlight w:val="none"/>
              </w:rPr>
            </w:pPr>
          </w:p>
        </w:tc>
        <w:tc>
          <w:tcPr>
            <w:tcW w:w="85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排放量</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99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浓度</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p>
        </w:tc>
        <w:tc>
          <w:tcPr>
            <w:tcW w:w="3032"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大气污染物</w:t>
            </w:r>
          </w:p>
        </w:tc>
        <w:tc>
          <w:tcPr>
            <w:tcW w:w="130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eastAsia" w:ascii="Times New Roman" w:hAnsi="Times New Roman" w:cs="Times New Roman"/>
                <w:snapToGrid/>
                <w:color w:val="auto"/>
                <w:kern w:val="2"/>
                <w:sz w:val="21"/>
                <w:szCs w:val="21"/>
                <w:highlight w:val="none"/>
                <w:lang w:val="en-US" w:eastAsia="zh-CN" w:bidi="ar-SA"/>
              </w:rPr>
              <w:t>露一采场天开采凿岩、铲装</w:t>
            </w:r>
          </w:p>
        </w:tc>
        <w:tc>
          <w:tcPr>
            <w:tcW w:w="10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粉尘</w:t>
            </w:r>
          </w:p>
        </w:tc>
        <w:tc>
          <w:tcPr>
            <w:tcW w:w="1843" w:type="dxa"/>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0.71</w:t>
            </w:r>
          </w:p>
        </w:tc>
        <w:tc>
          <w:tcPr>
            <w:tcW w:w="3686" w:type="dxa"/>
            <w:vMerge w:val="restart"/>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eastAsia" w:cs="Times New Roman"/>
                <w:snapToGrid/>
                <w:color w:val="auto"/>
                <w:kern w:val="2"/>
                <w:sz w:val="21"/>
                <w:szCs w:val="21"/>
                <w:highlight w:val="none"/>
                <w:lang w:val="en-US" w:eastAsia="zh-CN" w:bidi="ar-SA"/>
              </w:rPr>
              <w:t>湿式凿岩+水力喷雾降尘</w:t>
            </w:r>
          </w:p>
        </w:tc>
        <w:tc>
          <w:tcPr>
            <w:tcW w:w="850" w:type="dxa"/>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0.142</w:t>
            </w:r>
          </w:p>
        </w:tc>
        <w:tc>
          <w:tcPr>
            <w:tcW w:w="992"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1.0</w:t>
            </w:r>
          </w:p>
        </w:tc>
        <w:tc>
          <w:tcPr>
            <w:tcW w:w="303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《大气污染物综合排放标准》（GB16297-1996）中新污染源大气污染物二级排放限值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eastAsia" w:ascii="Times New Roman" w:hAnsi="Times New Roman" w:cs="Times New Roman"/>
                <w:snapToGrid/>
                <w:color w:val="auto"/>
                <w:kern w:val="2"/>
                <w:sz w:val="21"/>
                <w:szCs w:val="21"/>
                <w:highlight w:val="none"/>
                <w:lang w:val="en-US" w:eastAsia="zh-CN" w:bidi="ar-SA"/>
              </w:rPr>
              <w:t>露二采场天开采凿岩、铲装</w:t>
            </w:r>
          </w:p>
        </w:tc>
        <w:tc>
          <w:tcPr>
            <w:tcW w:w="1084" w:type="dxa"/>
            <w:vAlign w:val="center"/>
          </w:tcPr>
          <w:p>
            <w:pPr>
              <w:pStyle w:val="10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粉尘</w:t>
            </w:r>
          </w:p>
        </w:tc>
        <w:tc>
          <w:tcPr>
            <w:tcW w:w="1843" w:type="dxa"/>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0.71</w:t>
            </w:r>
          </w:p>
        </w:tc>
        <w:tc>
          <w:tcPr>
            <w:tcW w:w="3686" w:type="dxa"/>
            <w:vMerge w:val="continue"/>
            <w:vAlign w:val="center"/>
          </w:tcPr>
          <w:p>
            <w:pPr>
              <w:widowControl/>
              <w:spacing w:line="240" w:lineRule="auto"/>
              <w:ind w:firstLine="0" w:firstLineChars="0"/>
              <w:jc w:val="center"/>
              <w:textAlignment w:val="baseline"/>
              <w:rPr>
                <w:rFonts w:hint="eastAsia" w:cs="Times New Roman"/>
                <w:snapToGrid/>
                <w:color w:val="auto"/>
                <w:kern w:val="2"/>
                <w:sz w:val="21"/>
                <w:szCs w:val="21"/>
                <w:highlight w:val="none"/>
                <w:lang w:val="en-US" w:eastAsia="zh-CN" w:bidi="ar-SA"/>
              </w:rPr>
            </w:pPr>
          </w:p>
        </w:tc>
        <w:tc>
          <w:tcPr>
            <w:tcW w:w="85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0.142</w:t>
            </w:r>
          </w:p>
        </w:tc>
        <w:tc>
          <w:tcPr>
            <w:tcW w:w="992"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1.0</w:t>
            </w:r>
          </w:p>
        </w:tc>
        <w:tc>
          <w:tcPr>
            <w:tcW w:w="3032"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eastAsia" w:ascii="Times New Roman" w:hAnsi="Times New Roman" w:cs="Times New Roman"/>
                <w:snapToGrid/>
                <w:color w:val="auto"/>
                <w:kern w:val="2"/>
                <w:sz w:val="21"/>
                <w:szCs w:val="21"/>
                <w:highlight w:val="none"/>
                <w:lang w:val="en-US" w:eastAsia="zh-CN" w:bidi="ar-SA"/>
              </w:rPr>
              <w:t>地下开采凿岩、铲装</w:t>
            </w:r>
          </w:p>
        </w:tc>
        <w:tc>
          <w:tcPr>
            <w:tcW w:w="1084"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粉尘</w:t>
            </w:r>
          </w:p>
        </w:tc>
        <w:tc>
          <w:tcPr>
            <w:tcW w:w="1843" w:type="dxa"/>
            <w:vAlign w:val="center"/>
          </w:tcPr>
          <w:p>
            <w:pPr>
              <w:pStyle w:val="14"/>
              <w:spacing w:line="240" w:lineRule="auto"/>
              <w:ind w:firstLine="0" w:firstLineChars="0"/>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0.57</w:t>
            </w:r>
            <w:r>
              <w:rPr>
                <w:rFonts w:hint="default" w:ascii="Times New Roman" w:hAnsi="Times New Roman" w:eastAsia="宋体" w:cs="Times New Roman"/>
                <w:color w:val="auto"/>
                <w:highlight w:val="none"/>
              </w:rPr>
              <w:t>t</w:t>
            </w:r>
          </w:p>
        </w:tc>
        <w:tc>
          <w:tcPr>
            <w:tcW w:w="3686"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rPr>
            </w:pPr>
            <w:r>
              <w:rPr>
                <w:rFonts w:hint="eastAsia" w:cs="Times New Roman"/>
                <w:snapToGrid/>
                <w:color w:val="auto"/>
                <w:kern w:val="2"/>
                <w:sz w:val="21"/>
                <w:szCs w:val="21"/>
                <w:highlight w:val="none"/>
                <w:lang w:val="en-US" w:eastAsia="zh-CN" w:bidi="ar-SA"/>
              </w:rPr>
              <w:t>湿式凿岩+水力喷雾降尘</w:t>
            </w:r>
            <w:r>
              <w:rPr>
                <w:rFonts w:hint="eastAsia" w:ascii="Times New Roman" w:hAnsi="Times New Roman" w:cs="Times New Roman"/>
                <w:snapToGrid/>
                <w:color w:val="auto"/>
                <w:kern w:val="2"/>
                <w:sz w:val="21"/>
                <w:szCs w:val="21"/>
                <w:highlight w:val="none"/>
                <w:lang w:val="en-US" w:eastAsia="zh-CN" w:bidi="ar-SA"/>
              </w:rPr>
              <w:t>+</w:t>
            </w:r>
            <w:r>
              <w:rPr>
                <w:rFonts w:hint="default" w:ascii="Times New Roman" w:hAnsi="Times New Roman" w:eastAsia="宋体" w:cs="Times New Roman"/>
                <w:color w:val="auto"/>
                <w:sz w:val="21"/>
                <w:szCs w:val="21"/>
                <w:highlight w:val="none"/>
                <w:lang w:val="en-US" w:eastAsia="zh-CN"/>
              </w:rPr>
              <w:t>井下开采自然沉降</w:t>
            </w:r>
          </w:p>
        </w:tc>
        <w:tc>
          <w:tcPr>
            <w:tcW w:w="85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r>
              <w:rPr>
                <w:rFonts w:hint="eastAsia" w:ascii="Times New Roman" w:hAnsi="Times New Roman" w:eastAsia="宋体" w:cs="Times New Roman"/>
                <w:snapToGrid/>
                <w:color w:val="auto"/>
                <w:kern w:val="2"/>
                <w:sz w:val="21"/>
                <w:szCs w:val="21"/>
                <w:highlight w:val="none"/>
                <w:lang w:val="en-US" w:eastAsia="zh-CN" w:bidi="ar-SA"/>
              </w:rPr>
              <w:t>114</w:t>
            </w:r>
          </w:p>
        </w:tc>
        <w:tc>
          <w:tcPr>
            <w:tcW w:w="992"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1.0</w:t>
            </w:r>
          </w:p>
        </w:tc>
        <w:tc>
          <w:tcPr>
            <w:tcW w:w="3032"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sz w:val="21"/>
                <w:szCs w:val="20"/>
                <w:highlight w:val="none"/>
              </w:rPr>
            </w:pPr>
            <w:r>
              <w:rPr>
                <w:rFonts w:hint="default" w:ascii="Times New Roman" w:hAnsi="Times New Roman" w:cs="Times New Roman"/>
                <w:snapToGrid/>
                <w:color w:val="auto"/>
                <w:kern w:val="2"/>
                <w:sz w:val="21"/>
                <w:szCs w:val="21"/>
                <w:highlight w:val="none"/>
                <w:lang w:val="en-US" w:eastAsia="zh-CN" w:bidi="ar-SA"/>
              </w:rPr>
              <w:t>矿石堆、废石堆</w:t>
            </w:r>
          </w:p>
        </w:tc>
        <w:tc>
          <w:tcPr>
            <w:tcW w:w="10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粉尘</w:t>
            </w:r>
          </w:p>
        </w:tc>
        <w:tc>
          <w:tcPr>
            <w:tcW w:w="1843"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kern w:val="2"/>
                <w:sz w:val="21"/>
                <w:szCs w:val="20"/>
                <w:highlight w:val="none"/>
                <w:lang w:val="en-US" w:eastAsia="zh-CN" w:bidi="ar-SA"/>
              </w:rPr>
            </w:pPr>
            <w:r>
              <w:rPr>
                <w:rFonts w:hint="eastAsia" w:cs="Times New Roman"/>
                <w:snapToGrid/>
                <w:color w:val="auto"/>
                <w:kern w:val="2"/>
                <w:sz w:val="21"/>
                <w:szCs w:val="21"/>
                <w:highlight w:val="none"/>
                <w:lang w:val="en-US" w:eastAsia="zh-CN" w:bidi="ar-SA"/>
              </w:rPr>
              <w:t>2.041</w:t>
            </w:r>
          </w:p>
        </w:tc>
        <w:tc>
          <w:tcPr>
            <w:tcW w:w="3686"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控制装卸高度，必要时配备洒水措施</w:t>
            </w:r>
          </w:p>
        </w:tc>
        <w:tc>
          <w:tcPr>
            <w:tcW w:w="85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0.</w:t>
            </w:r>
            <w:r>
              <w:rPr>
                <w:rFonts w:hint="eastAsia" w:ascii="Times New Roman" w:hAnsi="Times New Roman" w:eastAsia="宋体" w:cs="Times New Roman"/>
                <w:snapToGrid/>
                <w:color w:val="auto"/>
                <w:kern w:val="2"/>
                <w:sz w:val="21"/>
                <w:szCs w:val="21"/>
                <w:highlight w:val="none"/>
                <w:lang w:val="en-US" w:eastAsia="zh-CN" w:bidi="ar-SA"/>
              </w:rPr>
              <w:t>403</w:t>
            </w:r>
          </w:p>
        </w:tc>
        <w:tc>
          <w:tcPr>
            <w:tcW w:w="99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32"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sz w:val="21"/>
                <w:szCs w:val="20"/>
                <w:highlight w:val="none"/>
              </w:rPr>
            </w:pPr>
            <w:r>
              <w:rPr>
                <w:rFonts w:hint="eastAsia" w:ascii="Times New Roman" w:hAnsi="Times New Roman" w:cs="Times New Roman"/>
                <w:snapToGrid/>
                <w:color w:val="auto"/>
                <w:kern w:val="2"/>
                <w:sz w:val="21"/>
                <w:szCs w:val="21"/>
                <w:highlight w:val="none"/>
                <w:lang w:val="en-US" w:eastAsia="zh-CN" w:bidi="ar-SA"/>
              </w:rPr>
              <w:t>运输道路</w:t>
            </w:r>
          </w:p>
        </w:tc>
        <w:tc>
          <w:tcPr>
            <w:tcW w:w="10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粉尘</w:t>
            </w:r>
          </w:p>
        </w:tc>
        <w:tc>
          <w:tcPr>
            <w:tcW w:w="1843"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kern w:val="2"/>
                <w:sz w:val="21"/>
                <w:szCs w:val="20"/>
                <w:highlight w:val="none"/>
                <w:lang w:val="en-US" w:eastAsia="zh-CN" w:bidi="ar-SA"/>
              </w:rPr>
            </w:pPr>
            <w:r>
              <w:rPr>
                <w:rFonts w:hint="eastAsia" w:cs="Times New Roman"/>
                <w:snapToGrid/>
                <w:color w:val="auto"/>
                <w:kern w:val="2"/>
                <w:sz w:val="21"/>
                <w:szCs w:val="21"/>
                <w:highlight w:val="none"/>
                <w:lang w:val="en-US" w:eastAsia="zh-CN" w:bidi="ar-SA"/>
              </w:rPr>
              <w:t>13.74</w:t>
            </w:r>
            <w:r>
              <w:rPr>
                <w:rFonts w:hint="default" w:ascii="Times New Roman" w:hAnsi="Times New Roman" w:eastAsia="宋体" w:cs="Times New Roman"/>
                <w:color w:val="auto"/>
                <w:highlight w:val="none"/>
              </w:rPr>
              <w:t>t</w:t>
            </w:r>
          </w:p>
        </w:tc>
        <w:tc>
          <w:tcPr>
            <w:tcW w:w="3686"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限制车速，道路硬化、运输车辆加盖苫布或使用带装箱体密封车、洒水抑尘</w:t>
            </w:r>
          </w:p>
        </w:tc>
        <w:tc>
          <w:tcPr>
            <w:tcW w:w="85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snapToGrid/>
                <w:color w:val="auto"/>
                <w:kern w:val="2"/>
                <w:sz w:val="21"/>
                <w:szCs w:val="21"/>
                <w:highlight w:val="none"/>
                <w:lang w:val="en-US" w:eastAsia="zh-CN" w:bidi="ar-SA"/>
              </w:rPr>
              <w:t>2.748</w:t>
            </w:r>
          </w:p>
        </w:tc>
        <w:tc>
          <w:tcPr>
            <w:tcW w:w="99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32"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水污染物</w:t>
            </w:r>
          </w:p>
        </w:tc>
        <w:tc>
          <w:tcPr>
            <w:tcW w:w="1300"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职工生活</w:t>
            </w:r>
          </w:p>
        </w:tc>
        <w:tc>
          <w:tcPr>
            <w:tcW w:w="10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生活污水</w:t>
            </w:r>
          </w:p>
        </w:tc>
        <w:tc>
          <w:tcPr>
            <w:tcW w:w="1843" w:type="dxa"/>
            <w:vAlign w:val="center"/>
          </w:tcPr>
          <w:p>
            <w:pPr>
              <w:pStyle w:val="104"/>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3600</w:t>
            </w:r>
            <w:r>
              <w:rPr>
                <w:rFonts w:hint="default" w:ascii="Times New Roman" w:hAnsi="Times New Roman" w:eastAsia="宋体" w:cs="Times New Roman"/>
                <w:bCs/>
                <w:color w:val="auto"/>
                <w:highlight w:val="none"/>
              </w:rPr>
              <w:t>m</w:t>
            </w:r>
            <w:r>
              <w:rPr>
                <w:rFonts w:hint="default" w:ascii="Times New Roman" w:hAnsi="Times New Roman" w:eastAsia="宋体" w:cs="Times New Roman"/>
                <w:bCs/>
                <w:color w:val="auto"/>
                <w:highlight w:val="none"/>
                <w:vertAlign w:val="superscript"/>
              </w:rPr>
              <w:t>3</w:t>
            </w:r>
            <w:r>
              <w:rPr>
                <w:rFonts w:hint="default" w:ascii="Times New Roman" w:hAnsi="Times New Roman" w:eastAsia="宋体" w:cs="Times New Roman"/>
                <w:bCs/>
                <w:color w:val="auto"/>
                <w:highlight w:val="none"/>
              </w:rPr>
              <w:t>/a</w:t>
            </w:r>
          </w:p>
        </w:tc>
        <w:tc>
          <w:tcPr>
            <w:tcW w:w="3686"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snapToGrid w:val="0"/>
                <w:color w:val="auto"/>
                <w:kern w:val="10"/>
                <w:szCs w:val="21"/>
                <w:highlight w:val="none"/>
              </w:rPr>
              <w:t>排入旱厕，定期清掏</w:t>
            </w:r>
          </w:p>
        </w:tc>
        <w:tc>
          <w:tcPr>
            <w:tcW w:w="85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0</w:t>
            </w:r>
          </w:p>
        </w:tc>
        <w:tc>
          <w:tcPr>
            <w:tcW w:w="99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3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井下涌水</w:t>
            </w:r>
          </w:p>
        </w:tc>
        <w:tc>
          <w:tcPr>
            <w:tcW w:w="1084" w:type="dxa"/>
            <w:vAlign w:val="center"/>
          </w:tcPr>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SS</w:t>
            </w:r>
          </w:p>
        </w:tc>
        <w:tc>
          <w:tcPr>
            <w:tcW w:w="1843" w:type="dxa"/>
            <w:vAlign w:val="center"/>
          </w:tcPr>
          <w:p>
            <w:pPr>
              <w:pStyle w:val="104"/>
              <w:jc w:val="center"/>
              <w:rPr>
                <w:rFonts w:hint="default" w:ascii="Times New Roman" w:hAnsi="Times New Roman" w:eastAsia="宋体" w:cs="Times New Roman"/>
                <w:bCs/>
                <w:color w:val="auto"/>
                <w:highlight w:val="none"/>
              </w:rPr>
            </w:pPr>
            <w:r>
              <w:rPr>
                <w:rFonts w:hint="eastAsia" w:cs="Times New Roman"/>
                <w:snapToGrid/>
                <w:color w:val="auto"/>
                <w:kern w:val="2"/>
                <w:sz w:val="21"/>
                <w:szCs w:val="21"/>
                <w:highlight w:val="none"/>
                <w:lang w:val="en-US" w:eastAsia="zh-CN" w:bidi="ar-SA"/>
              </w:rPr>
              <w:t>36000m</w:t>
            </w:r>
            <w:r>
              <w:rPr>
                <w:rFonts w:hint="eastAsia" w:cs="Times New Roman"/>
                <w:snapToGrid/>
                <w:color w:val="auto"/>
                <w:kern w:val="2"/>
                <w:sz w:val="21"/>
                <w:szCs w:val="21"/>
                <w:highlight w:val="none"/>
                <w:vertAlign w:val="superscript"/>
                <w:lang w:val="en-US" w:eastAsia="zh-CN" w:bidi="ar-SA"/>
              </w:rPr>
              <w:t>3</w:t>
            </w:r>
            <w:r>
              <w:rPr>
                <w:rFonts w:hint="eastAsia" w:cs="Times New Roman"/>
                <w:snapToGrid/>
                <w:color w:val="auto"/>
                <w:kern w:val="2"/>
                <w:sz w:val="21"/>
                <w:szCs w:val="21"/>
                <w:highlight w:val="none"/>
                <w:lang w:val="en-US" w:eastAsia="zh-CN" w:bidi="ar-SA"/>
              </w:rPr>
              <w:t>/a</w:t>
            </w:r>
          </w:p>
        </w:tc>
        <w:tc>
          <w:tcPr>
            <w:tcW w:w="3686" w:type="dxa"/>
            <w:vAlign w:val="center"/>
          </w:tcPr>
          <w:p>
            <w:pPr>
              <w:pStyle w:val="104"/>
              <w:jc w:val="center"/>
              <w:rPr>
                <w:rFonts w:hint="default" w:ascii="Times New Roman" w:hAnsi="Times New Roman" w:eastAsia="宋体" w:cs="Times New Roman"/>
                <w:snapToGrid w:val="0"/>
                <w:color w:val="auto"/>
                <w:kern w:val="10"/>
                <w:szCs w:val="21"/>
                <w:highlight w:val="none"/>
              </w:rPr>
            </w:pPr>
            <w:r>
              <w:rPr>
                <w:rFonts w:hint="default" w:ascii="Times New Roman" w:hAnsi="Times New Roman" w:eastAsia="宋体" w:cs="Times New Roman"/>
                <w:snapToGrid/>
                <w:color w:val="auto"/>
                <w:kern w:val="2"/>
                <w:sz w:val="21"/>
                <w:szCs w:val="21"/>
                <w:highlight w:val="none"/>
                <w:lang w:val="en-US" w:eastAsia="zh-CN" w:bidi="ar-SA"/>
              </w:rPr>
              <w:t>地下开采巷道内布置排水沟，通过自流排水可以将井下涌水自流排出至地表沉淀池，通过洒水车运至蓄水池复用于生产</w:t>
            </w:r>
          </w:p>
        </w:tc>
        <w:tc>
          <w:tcPr>
            <w:tcW w:w="850" w:type="dxa"/>
            <w:vAlign w:val="center"/>
          </w:tcPr>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0</w:t>
            </w:r>
          </w:p>
        </w:tc>
        <w:tc>
          <w:tcPr>
            <w:tcW w:w="99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3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不外排</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eastAsia" w:ascii="宋体" w:hAnsi="宋体" w:eastAsia="宋体"/>
                <w:color w:val="auto"/>
                <w:sz w:val="21"/>
                <w:szCs w:val="24"/>
                <w:highlight w:val="none"/>
              </w:rPr>
              <w:t>初期雨水</w:t>
            </w:r>
          </w:p>
        </w:tc>
        <w:tc>
          <w:tcPr>
            <w:tcW w:w="1084" w:type="dxa"/>
            <w:vAlign w:val="center"/>
          </w:tcPr>
          <w:p>
            <w:pPr>
              <w:pStyle w:val="104"/>
              <w:jc w:val="center"/>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w:t>
            </w:r>
          </w:p>
        </w:tc>
        <w:tc>
          <w:tcPr>
            <w:tcW w:w="1843" w:type="dxa"/>
            <w:vAlign w:val="center"/>
          </w:tcPr>
          <w:p>
            <w:pPr>
              <w:pStyle w:val="104"/>
              <w:jc w:val="center"/>
              <w:rPr>
                <w:rFonts w:hint="default" w:ascii="Times New Roman" w:hAnsi="Times New Roman" w:eastAsia="宋体" w:cs="Times New Roman"/>
                <w:bCs/>
                <w:color w:val="auto"/>
                <w:highlight w:val="none"/>
              </w:rPr>
            </w:pPr>
            <w:r>
              <w:rPr>
                <w:rFonts w:hint="eastAsia" w:ascii="Times New Roman" w:hAnsi="Times New Roman" w:eastAsia="宋体" w:cs="Times New Roman"/>
                <w:color w:val="auto"/>
                <w:highlight w:val="none"/>
                <w:lang w:eastAsia="zh-CN"/>
              </w:rPr>
              <w:t>—</w:t>
            </w:r>
          </w:p>
        </w:tc>
        <w:tc>
          <w:tcPr>
            <w:tcW w:w="3686" w:type="dxa"/>
            <w:vAlign w:val="center"/>
          </w:tcPr>
          <w:p>
            <w:pPr>
              <w:pStyle w:val="104"/>
              <w:jc w:val="center"/>
              <w:rPr>
                <w:rFonts w:hint="default"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露天一、二采场分别建1座容积200m</w:t>
            </w:r>
            <w:r>
              <w:rPr>
                <w:rFonts w:hint="default" w:ascii="Times New Roman" w:hAnsi="Times New Roman" w:eastAsia="宋体" w:cs="Times New Roman"/>
                <w:snapToGrid/>
                <w:color w:val="auto"/>
                <w:kern w:val="2"/>
                <w:sz w:val="21"/>
                <w:szCs w:val="21"/>
                <w:highlight w:val="none"/>
                <w:vertAlign w:val="superscript"/>
                <w:lang w:val="en-US" w:eastAsia="zh-CN" w:bidi="ar-SA"/>
              </w:rPr>
              <w:t>3</w:t>
            </w:r>
            <w:r>
              <w:rPr>
                <w:rFonts w:hint="default" w:ascii="Times New Roman" w:hAnsi="Times New Roman" w:eastAsia="宋体" w:cs="Times New Roman"/>
                <w:snapToGrid/>
                <w:color w:val="auto"/>
                <w:kern w:val="2"/>
                <w:sz w:val="21"/>
                <w:szCs w:val="21"/>
                <w:highlight w:val="none"/>
                <w:lang w:val="en-US" w:eastAsia="zh-CN" w:bidi="ar-SA"/>
              </w:rPr>
              <w:t>初期雨水收集池，沉淀后回用于场地抑尘洒水</w:t>
            </w:r>
          </w:p>
        </w:tc>
        <w:tc>
          <w:tcPr>
            <w:tcW w:w="850" w:type="dxa"/>
            <w:vAlign w:val="center"/>
          </w:tcPr>
          <w:p>
            <w:pPr>
              <w:pStyle w:val="104"/>
              <w:jc w:val="center"/>
              <w:rPr>
                <w:rFonts w:hint="eastAsia"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0</w:t>
            </w:r>
          </w:p>
        </w:tc>
        <w:tc>
          <w:tcPr>
            <w:tcW w:w="99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32"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w:t>
            </w:r>
          </w:p>
        </w:tc>
        <w:tc>
          <w:tcPr>
            <w:tcW w:w="130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snapToGrid/>
                <w:color w:val="auto"/>
                <w:kern w:val="2"/>
                <w:sz w:val="21"/>
                <w:szCs w:val="21"/>
                <w:highlight w:val="none"/>
                <w:lang w:val="en-US" w:eastAsia="zh-CN" w:bidi="ar-SA"/>
              </w:rPr>
              <w:t>露天开采废石</w:t>
            </w:r>
          </w:p>
        </w:tc>
        <w:tc>
          <w:tcPr>
            <w:tcW w:w="1084" w:type="dxa"/>
            <w:vAlign w:val="center"/>
          </w:tcPr>
          <w:p>
            <w:pPr>
              <w:widowControl/>
              <w:spacing w:line="240" w:lineRule="auto"/>
              <w:ind w:firstLine="0" w:firstLineChars="0"/>
              <w:jc w:val="center"/>
              <w:textAlignment w:val="baseline"/>
              <w:rPr>
                <w:rFonts w:hint="default" w:ascii="Times New Roman" w:hAnsi="Times New Roman" w:eastAsia="宋体" w:cs="Times New Roman"/>
                <w:bCs/>
                <w:color w:val="auto"/>
                <w:highlight w:val="none"/>
              </w:rPr>
            </w:pPr>
            <w:r>
              <w:rPr>
                <w:rFonts w:hint="eastAsia" w:cs="Times New Roman"/>
                <w:snapToGrid/>
                <w:color w:val="auto"/>
                <w:kern w:val="2"/>
                <w:sz w:val="21"/>
                <w:szCs w:val="21"/>
                <w:highlight w:val="none"/>
                <w:lang w:val="en-US" w:eastAsia="zh-CN" w:bidi="ar-SA"/>
              </w:rPr>
              <w:t>开采废石</w:t>
            </w:r>
          </w:p>
        </w:tc>
        <w:tc>
          <w:tcPr>
            <w:tcW w:w="1843" w:type="dxa"/>
            <w:vAlign w:val="center"/>
          </w:tcPr>
          <w:p>
            <w:pPr>
              <w:widowControl/>
              <w:spacing w:line="240" w:lineRule="auto"/>
              <w:ind w:firstLine="0" w:firstLineChars="0"/>
              <w:jc w:val="center"/>
              <w:textAlignment w:val="baseline"/>
              <w:rPr>
                <w:rFonts w:hint="default" w:ascii="Times New Roman" w:hAnsi="Times New Roman" w:eastAsia="宋体" w:cs="Times New Roman"/>
                <w:bCs/>
                <w:color w:val="auto"/>
                <w:highlight w:val="none"/>
                <w:lang w:val="en-US" w:eastAsia="zh-CN"/>
              </w:rPr>
            </w:pPr>
            <w:r>
              <w:rPr>
                <w:rFonts w:hint="default" w:ascii="Times New Roman" w:hAnsi="Times New Roman" w:eastAsia="宋体" w:cs="Times New Roman"/>
                <w:snapToGrid/>
                <w:color w:val="auto"/>
                <w:kern w:val="2"/>
                <w:sz w:val="21"/>
                <w:szCs w:val="21"/>
                <w:highlight w:val="none"/>
                <w:lang w:val="en-US" w:eastAsia="zh-CN" w:bidi="ar-SA"/>
              </w:rPr>
              <w:t>20.14万t/a</w:t>
            </w:r>
          </w:p>
        </w:tc>
        <w:tc>
          <w:tcPr>
            <w:tcW w:w="3686" w:type="dxa"/>
            <w:vAlign w:val="center"/>
          </w:tcPr>
          <w:p>
            <w:pPr>
              <w:widowControl/>
              <w:spacing w:line="240" w:lineRule="auto"/>
              <w:ind w:firstLine="0" w:firstLineChars="0"/>
              <w:jc w:val="center"/>
              <w:textAlignment w:val="baseline"/>
              <w:rPr>
                <w:rFonts w:hint="default" w:ascii="Times New Roman" w:hAnsi="Times New Roman" w:eastAsia="宋体" w:cs="Times New Roman"/>
                <w:snapToGrid w:val="0"/>
                <w:color w:val="auto"/>
                <w:kern w:val="10"/>
                <w:szCs w:val="21"/>
                <w:highlight w:val="none"/>
              </w:rPr>
            </w:pPr>
            <w:r>
              <w:rPr>
                <w:rFonts w:hint="default" w:ascii="Times New Roman" w:hAnsi="Times New Roman" w:eastAsia="宋体" w:cs="Times New Roman"/>
                <w:snapToGrid/>
                <w:color w:val="auto"/>
                <w:kern w:val="2"/>
                <w:sz w:val="21"/>
                <w:szCs w:val="21"/>
                <w:highlight w:val="none"/>
                <w:lang w:val="en-US" w:eastAsia="zh-CN" w:bidi="ar-SA"/>
              </w:rPr>
              <w:t>运至临时排岩场</w:t>
            </w:r>
            <w:r>
              <w:rPr>
                <w:rFonts w:hint="eastAsia" w:ascii="Times New Roman" w:hAnsi="Times New Roman" w:eastAsia="宋体" w:cs="Times New Roman"/>
                <w:snapToGrid/>
                <w:color w:val="auto"/>
                <w:kern w:val="2"/>
                <w:sz w:val="21"/>
                <w:szCs w:val="21"/>
                <w:highlight w:val="none"/>
                <w:lang w:val="en-US" w:eastAsia="zh-CN" w:bidi="ar-SA"/>
              </w:rPr>
              <w:t>，修筑道路及平整工业场地，</w:t>
            </w:r>
            <w:r>
              <w:rPr>
                <w:rFonts w:hint="default" w:ascii="Times New Roman" w:hAnsi="Times New Roman" w:eastAsia="宋体" w:cs="Times New Roman"/>
                <w:snapToGrid/>
                <w:color w:val="auto"/>
                <w:kern w:val="2"/>
                <w:sz w:val="21"/>
                <w:szCs w:val="21"/>
                <w:highlight w:val="none"/>
                <w:lang w:val="en-US" w:eastAsia="zh-CN" w:bidi="ar-SA"/>
              </w:rPr>
              <w:t>外售给岫岩满族自治县鑫祥通运输有限公司</w:t>
            </w:r>
          </w:p>
        </w:tc>
        <w:tc>
          <w:tcPr>
            <w:tcW w:w="850" w:type="dxa"/>
            <w:vAlign w:val="center"/>
          </w:tcPr>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0</w:t>
            </w:r>
          </w:p>
        </w:tc>
        <w:tc>
          <w:tcPr>
            <w:tcW w:w="99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3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《一般工业固体废物贮存和填埋场污染控制标准》（GB18599-2020）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snapToGrid/>
                <w:color w:val="auto"/>
                <w:kern w:val="2"/>
                <w:sz w:val="21"/>
                <w:szCs w:val="21"/>
                <w:highlight w:val="none"/>
                <w:lang w:val="en-US" w:eastAsia="zh-CN" w:bidi="ar-SA"/>
              </w:rPr>
              <w:t>井下</w:t>
            </w:r>
            <w:r>
              <w:rPr>
                <w:rFonts w:hint="default" w:ascii="Times New Roman" w:hAnsi="Times New Roman" w:eastAsia="宋体" w:cs="Times New Roman"/>
                <w:snapToGrid/>
                <w:color w:val="auto"/>
                <w:kern w:val="2"/>
                <w:sz w:val="21"/>
                <w:szCs w:val="21"/>
                <w:highlight w:val="none"/>
                <w:lang w:val="en-US" w:eastAsia="zh-CN" w:bidi="ar-SA"/>
              </w:rPr>
              <w:t>开采废石</w:t>
            </w:r>
          </w:p>
        </w:tc>
        <w:tc>
          <w:tcPr>
            <w:tcW w:w="1084" w:type="dxa"/>
            <w:vAlign w:val="center"/>
          </w:tcPr>
          <w:p>
            <w:pPr>
              <w:widowControl/>
              <w:spacing w:line="240" w:lineRule="auto"/>
              <w:ind w:firstLine="0" w:firstLineChars="0"/>
              <w:jc w:val="center"/>
              <w:textAlignment w:val="baseline"/>
              <w:rPr>
                <w:rFonts w:hint="default" w:ascii="Times New Roman" w:hAnsi="Times New Roman" w:eastAsia="宋体" w:cs="Times New Roman"/>
                <w:bCs/>
                <w:color w:val="auto"/>
                <w:highlight w:val="none"/>
              </w:rPr>
            </w:pPr>
            <w:r>
              <w:rPr>
                <w:rFonts w:hint="eastAsia" w:cs="Times New Roman"/>
                <w:snapToGrid/>
                <w:color w:val="auto"/>
                <w:kern w:val="2"/>
                <w:sz w:val="21"/>
                <w:szCs w:val="21"/>
                <w:highlight w:val="none"/>
                <w:lang w:val="en-US" w:eastAsia="zh-CN" w:bidi="ar-SA"/>
              </w:rPr>
              <w:t>开采废石</w:t>
            </w:r>
          </w:p>
        </w:tc>
        <w:tc>
          <w:tcPr>
            <w:tcW w:w="1843" w:type="dxa"/>
            <w:vAlign w:val="center"/>
          </w:tcPr>
          <w:p>
            <w:pPr>
              <w:widowControl/>
              <w:spacing w:line="240" w:lineRule="auto"/>
              <w:ind w:firstLine="0" w:firstLineChars="0"/>
              <w:jc w:val="center"/>
              <w:textAlignment w:val="baseline"/>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snapToGrid/>
                <w:color w:val="auto"/>
                <w:kern w:val="2"/>
                <w:sz w:val="21"/>
                <w:szCs w:val="21"/>
                <w:highlight w:val="none"/>
                <w:lang w:val="en-US" w:eastAsia="zh-CN" w:bidi="ar-SA"/>
              </w:rPr>
              <w:t>0.56</w:t>
            </w:r>
            <w:r>
              <w:rPr>
                <w:rFonts w:hint="default" w:ascii="Times New Roman" w:hAnsi="Times New Roman" w:eastAsia="宋体" w:cs="Times New Roman"/>
                <w:snapToGrid/>
                <w:color w:val="auto"/>
                <w:kern w:val="2"/>
                <w:sz w:val="21"/>
                <w:szCs w:val="21"/>
                <w:highlight w:val="none"/>
                <w:lang w:val="en-US" w:eastAsia="zh-CN" w:bidi="ar-SA"/>
              </w:rPr>
              <w:t>万t/a</w:t>
            </w:r>
          </w:p>
        </w:tc>
        <w:tc>
          <w:tcPr>
            <w:tcW w:w="3686" w:type="dxa"/>
            <w:vAlign w:val="center"/>
          </w:tcPr>
          <w:p>
            <w:pPr>
              <w:widowControl/>
              <w:spacing w:line="240" w:lineRule="auto"/>
              <w:ind w:firstLine="0" w:firstLineChars="0"/>
              <w:jc w:val="center"/>
              <w:textAlignment w:val="baseline"/>
              <w:rPr>
                <w:rFonts w:hint="default" w:ascii="Times New Roman" w:hAnsi="Times New Roman" w:eastAsia="宋体" w:cs="Times New Roman"/>
                <w:snapToGrid w:val="0"/>
                <w:color w:val="auto"/>
                <w:kern w:val="10"/>
                <w:szCs w:val="21"/>
                <w:highlight w:val="none"/>
              </w:rPr>
            </w:pPr>
            <w:r>
              <w:rPr>
                <w:rFonts w:hint="default" w:ascii="Times New Roman" w:hAnsi="Times New Roman" w:cs="Times New Roman"/>
                <w:color w:val="auto"/>
                <w:sz w:val="21"/>
                <w:szCs w:val="21"/>
                <w:highlight w:val="none"/>
                <w:lang w:val="en-US" w:eastAsia="zh-CN"/>
              </w:rPr>
              <w:t>全部回填废弃巷道，不出井</w:t>
            </w:r>
          </w:p>
        </w:tc>
        <w:tc>
          <w:tcPr>
            <w:tcW w:w="850" w:type="dxa"/>
            <w:vAlign w:val="center"/>
          </w:tcPr>
          <w:p>
            <w:pPr>
              <w:pStyle w:val="104"/>
              <w:jc w:val="center"/>
              <w:rPr>
                <w:rFonts w:hint="default" w:ascii="Times New Roman" w:hAnsi="Times New Roman" w:eastAsia="宋体" w:cs="Times New Roman"/>
                <w:bCs/>
                <w:color w:val="auto"/>
                <w:highlight w:val="none"/>
              </w:rPr>
            </w:pPr>
          </w:p>
        </w:tc>
        <w:tc>
          <w:tcPr>
            <w:tcW w:w="992" w:type="dxa"/>
            <w:vAlign w:val="center"/>
          </w:tcPr>
          <w:p>
            <w:pPr>
              <w:pStyle w:val="104"/>
              <w:jc w:val="center"/>
              <w:rPr>
                <w:rFonts w:hint="default" w:ascii="Times New Roman" w:hAnsi="Times New Roman" w:eastAsia="宋体" w:cs="Times New Roman"/>
                <w:color w:val="auto"/>
                <w:highlight w:val="none"/>
              </w:rPr>
            </w:pPr>
          </w:p>
        </w:tc>
        <w:tc>
          <w:tcPr>
            <w:tcW w:w="3032"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spacing w:line="240" w:lineRule="auto"/>
              <w:ind w:firstLine="0" w:firstLineChars="0"/>
              <w:jc w:val="center"/>
              <w:textAlignment w:val="baseline"/>
              <w:rPr>
                <w:rFonts w:hint="eastAsia"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员工生活</w:t>
            </w:r>
          </w:p>
        </w:tc>
        <w:tc>
          <w:tcPr>
            <w:tcW w:w="1084" w:type="dxa"/>
            <w:vAlign w:val="center"/>
          </w:tcPr>
          <w:p>
            <w:pPr>
              <w:widowControl/>
              <w:spacing w:line="240" w:lineRule="auto"/>
              <w:ind w:firstLine="0" w:firstLineChars="0"/>
              <w:jc w:val="center"/>
              <w:textAlignment w:val="baseline"/>
              <w:rPr>
                <w:rFonts w:hint="eastAsia" w:cs="Times New Roman"/>
                <w:snapToGrid/>
                <w:color w:val="auto"/>
                <w:kern w:val="2"/>
                <w:sz w:val="21"/>
                <w:szCs w:val="21"/>
                <w:highlight w:val="none"/>
                <w:lang w:val="en-US" w:eastAsia="zh-CN" w:bidi="ar-SA"/>
              </w:rPr>
            </w:pPr>
            <w:r>
              <w:rPr>
                <w:rFonts w:hint="eastAsia" w:cs="Times New Roman"/>
                <w:snapToGrid/>
                <w:color w:val="auto"/>
                <w:kern w:val="2"/>
                <w:sz w:val="21"/>
                <w:szCs w:val="21"/>
                <w:highlight w:val="none"/>
                <w:lang w:val="en-US" w:eastAsia="zh-CN" w:bidi="ar-SA"/>
              </w:rPr>
              <w:t>生活垃圾</w:t>
            </w:r>
          </w:p>
        </w:tc>
        <w:tc>
          <w:tcPr>
            <w:tcW w:w="1843" w:type="dxa"/>
            <w:vAlign w:val="center"/>
          </w:tcPr>
          <w:p>
            <w:pPr>
              <w:widowControl/>
              <w:spacing w:line="240" w:lineRule="auto"/>
              <w:ind w:firstLine="0" w:firstLineChars="0"/>
              <w:jc w:val="center"/>
              <w:textAlignment w:val="baseline"/>
              <w:rPr>
                <w:rFonts w:hint="eastAsia" w:ascii="Times New Roman" w:hAnsi="Times New Roman" w:eastAsia="宋体" w:cs="Times New Roman"/>
                <w:snapToGrid/>
                <w:color w:val="auto"/>
                <w:kern w:val="2"/>
                <w:sz w:val="21"/>
                <w:szCs w:val="21"/>
                <w:highlight w:val="none"/>
                <w:lang w:val="en-US" w:eastAsia="zh-CN" w:bidi="ar-SA"/>
              </w:rPr>
            </w:pPr>
            <w:r>
              <w:rPr>
                <w:rFonts w:hint="default" w:ascii="Times New Roman" w:hAnsi="Times New Roman" w:eastAsia="宋体" w:cs="Times New Roman"/>
                <w:snapToGrid/>
                <w:color w:val="auto"/>
                <w:kern w:val="2"/>
                <w:sz w:val="21"/>
                <w:szCs w:val="21"/>
                <w:highlight w:val="none"/>
                <w:lang w:val="en-US" w:eastAsia="zh-CN" w:bidi="ar-SA"/>
              </w:rPr>
              <w:t>16.5</w:t>
            </w:r>
            <w:r>
              <w:rPr>
                <w:rFonts w:hint="default" w:ascii="Times New Roman" w:hAnsi="Times New Roman" w:cs="Times New Roman"/>
                <w:color w:val="auto"/>
                <w:highlight w:val="none"/>
              </w:rPr>
              <w:t>t/a</w:t>
            </w:r>
          </w:p>
        </w:tc>
        <w:tc>
          <w:tcPr>
            <w:tcW w:w="3686" w:type="dxa"/>
            <w:vAlign w:val="center"/>
          </w:tcPr>
          <w:p>
            <w:pPr>
              <w:widowControl/>
              <w:spacing w:line="240" w:lineRule="auto"/>
              <w:ind w:firstLine="0" w:firstLineChars="0"/>
              <w:jc w:val="center"/>
              <w:textAlignment w:val="baseline"/>
              <w:rPr>
                <w:rFonts w:hint="default" w:ascii="Times New Roman" w:hAnsi="Times New Roman" w:cs="Times New Roman"/>
                <w:color w:val="auto"/>
                <w:sz w:val="21"/>
                <w:szCs w:val="21"/>
                <w:highlight w:val="none"/>
                <w:lang w:val="en-US" w:eastAsia="zh-CN"/>
              </w:rPr>
            </w:pPr>
            <w:r>
              <w:rPr>
                <w:rFonts w:hint="eastAsia" w:cs="Times New Roman"/>
                <w:snapToGrid/>
                <w:color w:val="auto"/>
                <w:kern w:val="2"/>
                <w:sz w:val="21"/>
                <w:szCs w:val="21"/>
                <w:highlight w:val="none"/>
                <w:lang w:val="en-US" w:eastAsia="zh-CN" w:bidi="ar-SA"/>
              </w:rPr>
              <w:t>由环卫部门处理</w:t>
            </w:r>
          </w:p>
        </w:tc>
        <w:tc>
          <w:tcPr>
            <w:tcW w:w="850" w:type="dxa"/>
            <w:vAlign w:val="center"/>
          </w:tcPr>
          <w:p>
            <w:pPr>
              <w:pStyle w:val="104"/>
              <w:ind w:firstLine="0" w:firstLineChars="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0</w:t>
            </w:r>
          </w:p>
        </w:tc>
        <w:tc>
          <w:tcPr>
            <w:tcW w:w="992"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32"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Merge w:val="continue"/>
            <w:vAlign w:val="center"/>
          </w:tcPr>
          <w:p>
            <w:pPr>
              <w:pStyle w:val="104"/>
              <w:jc w:val="center"/>
              <w:rPr>
                <w:rFonts w:hint="default" w:ascii="Times New Roman" w:hAnsi="Times New Roman" w:eastAsia="宋体" w:cs="Times New Roman"/>
                <w:color w:val="auto"/>
                <w:highlight w:val="none"/>
              </w:rPr>
            </w:pPr>
          </w:p>
        </w:tc>
        <w:tc>
          <w:tcPr>
            <w:tcW w:w="1300" w:type="dxa"/>
            <w:vAlign w:val="center"/>
          </w:tcPr>
          <w:p>
            <w:pPr>
              <w:widowControl/>
              <w:spacing w:line="240" w:lineRule="auto"/>
              <w:ind w:firstLine="0" w:firstLineChars="0"/>
              <w:jc w:val="center"/>
              <w:textAlignment w:val="baseline"/>
              <w:rPr>
                <w:rFonts w:hint="default" w:ascii="Times New Roman" w:hAnsi="Times New Roman" w:eastAsia="宋体" w:cs="Times New Roman"/>
                <w:bCs/>
                <w:color w:val="auto"/>
                <w:highlight w:val="none"/>
              </w:rPr>
            </w:pPr>
            <w:r>
              <w:rPr>
                <w:rFonts w:hint="default" w:ascii="Times New Roman" w:hAnsi="Times New Roman" w:cs="Times New Roman"/>
                <w:color w:val="auto"/>
                <w:sz w:val="21"/>
                <w:szCs w:val="21"/>
                <w:highlight w:val="none"/>
              </w:rPr>
              <w:t>车辆和机械设备维修</w:t>
            </w:r>
          </w:p>
        </w:tc>
        <w:tc>
          <w:tcPr>
            <w:tcW w:w="1084" w:type="dxa"/>
            <w:vAlign w:val="center"/>
          </w:tcPr>
          <w:p>
            <w:pPr>
              <w:widowControl/>
              <w:spacing w:line="240" w:lineRule="auto"/>
              <w:ind w:firstLine="0" w:firstLineChars="0"/>
              <w:jc w:val="center"/>
              <w:textAlignment w:val="baseline"/>
              <w:rPr>
                <w:rFonts w:hint="default" w:ascii="Times New Roman" w:hAnsi="Times New Roman" w:eastAsia="宋体" w:cs="Times New Roman"/>
                <w:bCs/>
                <w:color w:val="auto"/>
                <w:highlight w:val="none"/>
              </w:rPr>
            </w:pPr>
            <w:r>
              <w:rPr>
                <w:rFonts w:hint="default" w:ascii="Times New Roman" w:hAnsi="Times New Roman" w:cs="Times New Roman"/>
                <w:color w:val="auto"/>
                <w:sz w:val="21"/>
                <w:szCs w:val="21"/>
                <w:highlight w:val="none"/>
              </w:rPr>
              <w:t>废机油</w:t>
            </w:r>
          </w:p>
        </w:tc>
        <w:tc>
          <w:tcPr>
            <w:tcW w:w="1843" w:type="dxa"/>
            <w:vAlign w:val="center"/>
          </w:tcPr>
          <w:p>
            <w:pPr>
              <w:widowControl/>
              <w:spacing w:line="240" w:lineRule="auto"/>
              <w:ind w:firstLine="0" w:firstLineChars="0"/>
              <w:jc w:val="center"/>
              <w:textAlignment w:val="baseline"/>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0.1</w:t>
            </w:r>
            <w:r>
              <w:rPr>
                <w:rFonts w:hint="default" w:ascii="Times New Roman" w:hAnsi="Times New Roman" w:cs="Times New Roman"/>
                <w:color w:val="auto"/>
                <w:highlight w:val="none"/>
              </w:rPr>
              <w:t>t/a</w:t>
            </w:r>
          </w:p>
        </w:tc>
        <w:tc>
          <w:tcPr>
            <w:tcW w:w="3686" w:type="dxa"/>
            <w:vAlign w:val="center"/>
          </w:tcPr>
          <w:p>
            <w:pPr>
              <w:widowControl/>
              <w:spacing w:line="240" w:lineRule="auto"/>
              <w:ind w:firstLine="0" w:firstLineChars="0"/>
              <w:jc w:val="center"/>
              <w:textAlignment w:val="baseline"/>
              <w:rPr>
                <w:rFonts w:hint="default" w:ascii="Times New Roman" w:hAnsi="Times New Roman" w:eastAsia="宋体" w:cs="Times New Roman"/>
                <w:snapToGrid w:val="0"/>
                <w:color w:val="auto"/>
                <w:kern w:val="10"/>
                <w:szCs w:val="21"/>
                <w:highlight w:val="none"/>
              </w:rPr>
            </w:pPr>
            <w:r>
              <w:rPr>
                <w:rFonts w:hint="eastAsia" w:ascii="宋体" w:hAnsi="宋体" w:eastAsia="宋体"/>
                <w:color w:val="auto"/>
                <w:sz w:val="21"/>
                <w:szCs w:val="24"/>
                <w:highlight w:val="none"/>
              </w:rPr>
              <w:t>暂存于危废暂存间内</w:t>
            </w:r>
          </w:p>
        </w:tc>
        <w:tc>
          <w:tcPr>
            <w:tcW w:w="850"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0</w:t>
            </w:r>
          </w:p>
        </w:tc>
        <w:tc>
          <w:tcPr>
            <w:tcW w:w="992"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p>
        </w:tc>
        <w:tc>
          <w:tcPr>
            <w:tcW w:w="3032" w:type="dxa"/>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危险废物按照《国家危险废物名录》分类，并执行《危险废物贮存污染控制标准》（GB18597-2001）及其修改单。</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85" w:type="dxa"/>
            <w:left w:w="108" w:type="dxa"/>
            <w:bottom w:w="85" w:type="dxa"/>
            <w:right w:w="108" w:type="dxa"/>
          </w:tblCellMar>
        </w:tblPrEx>
        <w:trPr>
          <w:trHeight w:val="340" w:hRule="atLeast"/>
          <w:tblHeader/>
          <w:jc w:val="center"/>
        </w:trPr>
        <w:tc>
          <w:tcPr>
            <w:tcW w:w="82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噪声</w:t>
            </w:r>
          </w:p>
        </w:tc>
        <w:tc>
          <w:tcPr>
            <w:tcW w:w="1300"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采矿</w:t>
            </w:r>
          </w:p>
        </w:tc>
        <w:tc>
          <w:tcPr>
            <w:tcW w:w="1084" w:type="dxa"/>
            <w:vAlign w:val="center"/>
          </w:tcPr>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噪声</w:t>
            </w:r>
          </w:p>
        </w:tc>
        <w:tc>
          <w:tcPr>
            <w:tcW w:w="1843" w:type="dxa"/>
            <w:vAlign w:val="center"/>
          </w:tcPr>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76~96dB（A）</w:t>
            </w:r>
          </w:p>
        </w:tc>
        <w:tc>
          <w:tcPr>
            <w:tcW w:w="3686" w:type="dxa"/>
            <w:vAlign w:val="center"/>
          </w:tcPr>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szCs w:val="21"/>
                <w:highlight w:val="none"/>
              </w:rPr>
              <w:t>厂房消声、基础减震、隔声等处理</w:t>
            </w:r>
          </w:p>
        </w:tc>
        <w:tc>
          <w:tcPr>
            <w:tcW w:w="1842" w:type="dxa"/>
            <w:gridSpan w:val="2"/>
            <w:vAlign w:val="center"/>
          </w:tcPr>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lang w:val="en-US" w:eastAsia="zh-CN"/>
              </w:rPr>
              <w:t>昼间</w:t>
            </w:r>
            <w:r>
              <w:rPr>
                <w:rFonts w:hint="default" w:ascii="Times New Roman" w:hAnsi="Times New Roman" w:eastAsia="宋体" w:cs="Times New Roman"/>
                <w:bCs/>
                <w:color w:val="auto"/>
                <w:highlight w:val="none"/>
              </w:rPr>
              <w:t>60dB（A）</w:t>
            </w:r>
          </w:p>
          <w:p>
            <w:pPr>
              <w:pStyle w:val="104"/>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lang w:val="en-US" w:eastAsia="zh-CN"/>
              </w:rPr>
              <w:t>夜间50</w:t>
            </w:r>
            <w:r>
              <w:rPr>
                <w:rFonts w:hint="default" w:ascii="Times New Roman" w:hAnsi="Times New Roman" w:eastAsia="宋体" w:cs="Times New Roman"/>
                <w:bCs/>
                <w:color w:val="auto"/>
                <w:highlight w:val="none"/>
              </w:rPr>
              <w:t>dB（A）</w:t>
            </w:r>
          </w:p>
        </w:tc>
        <w:tc>
          <w:tcPr>
            <w:tcW w:w="3032" w:type="dxa"/>
            <w:vAlign w:val="center"/>
          </w:tcPr>
          <w:p>
            <w:pPr>
              <w:pStyle w:val="104"/>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highlight w:val="none"/>
              </w:rPr>
              <w:t>《工业企业厂界环境噪声排放标准》（GB12348-2008）中</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类标准</w:t>
            </w:r>
          </w:p>
        </w:tc>
      </w:tr>
    </w:tbl>
    <w:p>
      <w:pPr>
        <w:spacing w:line="240" w:lineRule="auto"/>
        <w:ind w:firstLine="422"/>
        <w:jc w:val="center"/>
        <w:rPr>
          <w:rFonts w:hint="default" w:ascii="Times New Roman" w:hAnsi="Times New Roman" w:eastAsia="宋体" w:cs="Times New Roman"/>
          <w:b/>
          <w:color w:val="auto"/>
          <w:sz w:val="21"/>
          <w:szCs w:val="21"/>
          <w:highlight w:val="none"/>
        </w:rPr>
      </w:pP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ascii="Times New Roman" w:hAnsi="Times New Roman" w:eastAsia="宋体" w:cs="Times New Roman"/>
          <w:b/>
          <w:color w:val="auto"/>
          <w:sz w:val="21"/>
          <w:szCs w:val="21"/>
          <w:highlight w:val="none"/>
          <w:lang w:val="en-US" w:eastAsia="zh-CN"/>
        </w:rPr>
        <w:t>9</w:t>
      </w:r>
      <w:r>
        <w:rPr>
          <w:rFonts w:hint="default" w:ascii="Times New Roman" w:hAnsi="Times New Roman" w:eastAsia="宋体" w:cs="Times New Roman"/>
          <w:b/>
          <w:color w:val="auto"/>
          <w:sz w:val="21"/>
          <w:szCs w:val="21"/>
          <w:highlight w:val="none"/>
        </w:rPr>
        <w:t>.1-3工程组成和原辅材料的管理要求</w:t>
      </w:r>
    </w:p>
    <w:tbl>
      <w:tblPr>
        <w:tblStyle w:val="45"/>
        <w:tblW w:w="13608"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545"/>
        <w:gridCol w:w="6480"/>
        <w:gridCol w:w="558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22" w:hRule="atLeast"/>
          <w:tblHeader/>
          <w:jc w:val="center"/>
        </w:trPr>
        <w:tc>
          <w:tcPr>
            <w:tcW w:w="15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648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内容</w:t>
            </w:r>
          </w:p>
        </w:tc>
        <w:tc>
          <w:tcPr>
            <w:tcW w:w="558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22" w:hRule="atLeast"/>
          <w:tblHeader/>
          <w:jc w:val="center"/>
        </w:trPr>
        <w:tc>
          <w:tcPr>
            <w:tcW w:w="15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工程组成</w:t>
            </w:r>
          </w:p>
        </w:tc>
        <w:tc>
          <w:tcPr>
            <w:tcW w:w="648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共设1套地下、2套露天计3套开采工艺系统</w:t>
            </w:r>
          </w:p>
        </w:tc>
        <w:tc>
          <w:tcPr>
            <w:tcW w:w="558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合理布置，充分利用零散空地、道路两旁空地进行绿化，创造矿区良好的生态环境。</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22" w:hRule="atLeast"/>
          <w:tblHeader/>
          <w:jc w:val="center"/>
        </w:trPr>
        <w:tc>
          <w:tcPr>
            <w:tcW w:w="154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原辅材料</w:t>
            </w:r>
          </w:p>
        </w:tc>
        <w:tc>
          <w:tcPr>
            <w:tcW w:w="648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炸药、雷管、钎钢等</w:t>
            </w:r>
          </w:p>
        </w:tc>
        <w:tc>
          <w:tcPr>
            <w:tcW w:w="558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随用随送，不设炸药库，由当地爆破公司配送，严禁储存。</w:t>
            </w:r>
          </w:p>
        </w:tc>
      </w:tr>
    </w:tbl>
    <w:p>
      <w:pPr>
        <w:rPr>
          <w:rFonts w:hint="default" w:ascii="Times New Roman" w:hAnsi="Times New Roman" w:eastAsia="宋体" w:cs="Times New Roman"/>
          <w:b/>
          <w:color w:val="auto"/>
          <w:highlight w:val="none"/>
        </w:rPr>
      </w:pPr>
    </w:p>
    <w:p>
      <w:pPr>
        <w:rPr>
          <w:rFonts w:hint="default" w:ascii="Times New Roman" w:hAnsi="Times New Roman" w:eastAsia="宋体" w:cs="Times New Roman"/>
          <w:b/>
          <w:color w:val="auto"/>
          <w:highlight w:val="none"/>
        </w:rPr>
      </w:pPr>
    </w:p>
    <w:p>
      <w:pPr>
        <w:rPr>
          <w:rFonts w:hint="default" w:ascii="Times New Roman" w:hAnsi="Times New Roman" w:eastAsia="宋体" w:cs="Times New Roman"/>
          <w:b/>
          <w:color w:val="auto"/>
          <w:highlight w:val="none"/>
        </w:rPr>
        <w:sectPr>
          <w:pgSz w:w="16838" w:h="11906" w:orient="landscape"/>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5"/>
        <w:bidi w:val="0"/>
        <w:rPr>
          <w:rFonts w:hint="default"/>
          <w:color w:val="auto"/>
          <w:highlight w:val="none"/>
        </w:rPr>
      </w:pPr>
      <w:r>
        <w:rPr>
          <w:rFonts w:hint="default"/>
          <w:color w:val="auto"/>
          <w:highlight w:val="none"/>
        </w:rPr>
        <w:t>企业环境信息公开</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按照《企业事业单位环境信息公开办法》（环保部令第31号）等规定，企业事业单位应当按照强制公开和自愿公开相结合的原则，及时、如实地公开其环境信息。如环境信息涉及国家秘密、商业秘密或者个人隐私的，依法可以不公开；法律、法规另有规定的，从其规定。企业事业单位应当建立健全本单位环境信息公开制度，指定机构负责本单位环境信息公开日常工作。本项目应公开如下环境信息：</w:t>
      </w:r>
    </w:p>
    <w:p>
      <w:pPr>
        <w:spacing w:line="240" w:lineRule="auto"/>
        <w:ind w:firstLine="422"/>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rPr>
        <w:t>.1-4本项目环境信息公开内容</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62"/>
        <w:gridCol w:w="1558"/>
        <w:gridCol w:w="69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155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标题</w:t>
            </w:r>
          </w:p>
        </w:tc>
        <w:tc>
          <w:tcPr>
            <w:tcW w:w="6966"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详细内容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55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基础信息</w:t>
            </w:r>
          </w:p>
        </w:tc>
        <w:tc>
          <w:tcPr>
            <w:tcW w:w="6966" w:type="dxa"/>
            <w:vAlign w:val="center"/>
          </w:tcPr>
          <w:p>
            <w:pPr>
              <w:pStyle w:val="104"/>
              <w:rPr>
                <w:rFonts w:hint="default" w:ascii="Times New Roman" w:hAnsi="Times New Roman" w:eastAsia="宋体" w:cs="Times New Roman"/>
                <w:iCs/>
                <w:color w:val="auto"/>
                <w:highlight w:val="none"/>
                <w:lang w:eastAsia="zh-CN"/>
              </w:rPr>
            </w:pPr>
            <w:r>
              <w:rPr>
                <w:rFonts w:hint="default" w:ascii="Times New Roman" w:hAnsi="Times New Roman" w:eastAsia="宋体" w:cs="Times New Roman"/>
                <w:color w:val="auto"/>
                <w:highlight w:val="none"/>
              </w:rPr>
              <w:t>单位名称：</w:t>
            </w:r>
            <w:r>
              <w:rPr>
                <w:rFonts w:hint="default" w:ascii="Times New Roman" w:hAnsi="Times New Roman" w:eastAsia="宋体" w:cs="Times New Roman"/>
                <w:color w:val="auto"/>
                <w:highlight w:val="none"/>
                <w:lang w:eastAsia="zh-CN"/>
              </w:rPr>
              <w:t>岫岩满族自治县苏子沟镇大何家堡村钾长石矿</w:t>
            </w:r>
          </w:p>
          <w:p>
            <w:pPr>
              <w:pStyle w:val="104"/>
              <w:rPr>
                <w:rFonts w:hint="default" w:ascii="Times New Roman" w:hAnsi="Times New Roman" w:eastAsia="宋体" w:cs="Times New Roman"/>
                <w:iCs/>
                <w:color w:val="auto"/>
                <w:highlight w:val="none"/>
                <w:lang w:val="en-US" w:eastAsia="zh-CN"/>
              </w:rPr>
            </w:pPr>
            <w:r>
              <w:rPr>
                <w:rFonts w:hint="default" w:ascii="Times New Roman" w:hAnsi="Times New Roman" w:eastAsia="宋体" w:cs="Times New Roman"/>
                <w:iCs/>
                <w:color w:val="auto"/>
                <w:highlight w:val="none"/>
              </w:rPr>
              <w:t>法定代表人：</w:t>
            </w:r>
            <w:r>
              <w:rPr>
                <w:rFonts w:hint="eastAsia" w:ascii="Times New Roman" w:hAnsi="Times New Roman" w:eastAsia="宋体" w:cs="Times New Roman"/>
                <w:color w:val="auto"/>
                <w:highlight w:val="none"/>
                <w:lang w:val="en-US" w:eastAsia="zh-CN"/>
              </w:rPr>
              <w:t>于文阁</w:t>
            </w:r>
          </w:p>
          <w:p>
            <w:pPr>
              <w:pStyle w:val="104"/>
              <w:rPr>
                <w:rFonts w:hint="default" w:ascii="Times New Roman" w:hAnsi="Times New Roman" w:eastAsia="宋体" w:cs="Times New Roman"/>
                <w:iCs/>
                <w:color w:val="auto"/>
                <w:highlight w:val="none"/>
                <w:lang w:eastAsia="zh-CN"/>
              </w:rPr>
            </w:pPr>
            <w:r>
              <w:rPr>
                <w:rFonts w:hint="default" w:ascii="Times New Roman" w:hAnsi="Times New Roman" w:eastAsia="宋体" w:cs="Times New Roman"/>
                <w:iCs/>
                <w:color w:val="auto"/>
                <w:highlight w:val="none"/>
              </w:rPr>
              <w:t>生产地址：岫岩满族自治县</w:t>
            </w:r>
            <w:r>
              <w:rPr>
                <w:rFonts w:hint="default" w:ascii="Times New Roman" w:hAnsi="Times New Roman" w:eastAsia="宋体" w:cs="Times New Roman"/>
                <w:iCs/>
                <w:color w:val="auto"/>
                <w:highlight w:val="none"/>
                <w:lang w:eastAsia="zh-CN"/>
              </w:rPr>
              <w:t>苏子沟镇</w:t>
            </w:r>
            <w:r>
              <w:rPr>
                <w:rFonts w:hint="default" w:ascii="Times New Roman" w:hAnsi="Times New Roman" w:eastAsia="宋体" w:cs="Times New Roman"/>
                <w:color w:val="auto"/>
                <w:highlight w:val="none"/>
                <w:lang w:eastAsia="zh-CN"/>
              </w:rPr>
              <w:t>大何家堡村</w:t>
            </w:r>
          </w:p>
          <w:p>
            <w:pPr>
              <w:pStyle w:val="104"/>
              <w:rPr>
                <w:rFonts w:hint="default" w:ascii="Times New Roman" w:hAnsi="Times New Roman" w:eastAsia="宋体" w:cs="Times New Roman"/>
                <w:iCs/>
                <w:color w:val="auto"/>
                <w:highlight w:val="none"/>
                <w:lang w:val="en-US"/>
              </w:rPr>
            </w:pPr>
            <w:r>
              <w:rPr>
                <w:rFonts w:hint="default" w:ascii="Times New Roman" w:hAnsi="Times New Roman" w:eastAsia="宋体" w:cs="Times New Roman"/>
                <w:iCs/>
                <w:color w:val="auto"/>
                <w:highlight w:val="none"/>
              </w:rPr>
              <w:t>联系方式：联系人—</w:t>
            </w:r>
            <w:r>
              <w:rPr>
                <w:rFonts w:hint="eastAsia" w:ascii="Times New Roman" w:hAnsi="Times New Roman" w:eastAsia="宋体" w:cs="Times New Roman"/>
                <w:iCs/>
                <w:color w:val="auto"/>
                <w:highlight w:val="none"/>
                <w:lang w:val="en-US" w:eastAsia="zh-CN"/>
              </w:rPr>
              <w:t>王新</w:t>
            </w:r>
          </w:p>
          <w:p>
            <w:pPr>
              <w:pStyle w:val="104"/>
              <w:rPr>
                <w:rFonts w:hint="default" w:ascii="Times New Roman" w:hAnsi="Times New Roman" w:eastAsia="宋体" w:cs="Times New Roman"/>
                <w:iCs/>
                <w:color w:val="auto"/>
                <w:highlight w:val="none"/>
                <w:lang w:val="en-US" w:eastAsia="zh-CN"/>
              </w:rPr>
            </w:pPr>
            <w:r>
              <w:rPr>
                <w:rFonts w:hint="default" w:ascii="Times New Roman" w:hAnsi="Times New Roman" w:eastAsia="宋体" w:cs="Times New Roman"/>
                <w:iCs/>
                <w:color w:val="auto"/>
                <w:highlight w:val="none"/>
                <w:lang w:val="zh-CN"/>
              </w:rPr>
              <w:t>联系电话—</w:t>
            </w:r>
            <w:r>
              <w:rPr>
                <w:rFonts w:hint="eastAsia" w:ascii="Times New Roman" w:hAnsi="Times New Roman" w:eastAsia="宋体" w:cs="Times New Roman"/>
                <w:iCs/>
                <w:color w:val="auto"/>
                <w:highlight w:val="none"/>
                <w:lang w:val="en-US" w:eastAsia="zh-CN"/>
              </w:rPr>
              <w:t>15541402266</w:t>
            </w:r>
          </w:p>
          <w:p>
            <w:pPr>
              <w:pStyle w:val="104"/>
              <w:rPr>
                <w:rFonts w:hint="default" w:ascii="Times New Roman" w:hAnsi="Times New Roman" w:eastAsia="宋体" w:cs="Times New Roman"/>
                <w:iCs/>
                <w:color w:val="auto"/>
                <w:highlight w:val="none"/>
                <w:lang w:val="zh-CN"/>
              </w:rPr>
            </w:pPr>
            <w:r>
              <w:rPr>
                <w:rFonts w:hint="default" w:ascii="Times New Roman" w:hAnsi="Times New Roman" w:eastAsia="宋体" w:cs="Times New Roman"/>
                <w:iCs/>
                <w:color w:val="auto"/>
                <w:highlight w:val="none"/>
                <w:lang w:val="zh-CN"/>
              </w:rPr>
              <w:t>生产经营和管理服务的主要内容、产品及规模：</w:t>
            </w:r>
            <w:r>
              <w:rPr>
                <w:rFonts w:hint="default" w:ascii="Times New Roman" w:hAnsi="Times New Roman" w:eastAsia="宋体" w:cs="Times New Roman"/>
                <w:color w:val="auto"/>
                <w:highlight w:val="none"/>
                <w:lang w:val="en-US" w:eastAsia="zh-CN"/>
              </w:rPr>
              <w:t>矿山</w:t>
            </w:r>
            <w:r>
              <w:rPr>
                <w:rFonts w:hint="default" w:ascii="Times New Roman" w:hAnsi="Times New Roman" w:eastAsia="宋体" w:cs="Times New Roman"/>
                <w:color w:val="auto"/>
                <w:highlight w:val="none"/>
              </w:rPr>
              <w:t>设计规模为</w:t>
            </w:r>
            <w:r>
              <w:rPr>
                <w:rFonts w:hint="eastAsia"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lang w:eastAsia="zh-CN"/>
              </w:rPr>
              <w:t>万t/a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155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排污信息</w:t>
            </w:r>
          </w:p>
        </w:tc>
        <w:tc>
          <w:tcPr>
            <w:tcW w:w="6966"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主要拟排放的污染物及特征污染物名称：</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废气：本项目排放为地下开采废气、矿石装卸作业粉尘、道路运输过程产生粉尘。</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废水：主要为生活污水和矿井涌水</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噪声：主要是采矿产生的噪声，各种机泵、空压机、风机、运矿汽车及采矿爆破噪声等。</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固废：主要为废石、废机油和员工生活垃圾。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6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1558"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防治污染设施</w:t>
            </w:r>
          </w:p>
        </w:tc>
        <w:tc>
          <w:tcPr>
            <w:tcW w:w="6966"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废气污染治理措施：湿式凿岩、洒水抑尘等。</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废水污染治理措施：生活污水</w:t>
            </w:r>
            <w:r>
              <w:rPr>
                <w:rFonts w:hint="default" w:ascii="Times New Roman" w:hAnsi="Times New Roman" w:eastAsia="宋体" w:cs="Times New Roman"/>
                <w:bCs/>
                <w:color w:val="auto"/>
                <w:highlight w:val="none"/>
              </w:rPr>
              <w:t>排入旱厕，定期清掏</w:t>
            </w:r>
            <w:r>
              <w:rPr>
                <w:rFonts w:hint="default" w:ascii="Times New Roman" w:hAnsi="Times New Roman" w:eastAsia="宋体" w:cs="Times New Roman"/>
                <w:color w:val="auto"/>
                <w:highlight w:val="none"/>
              </w:rPr>
              <w:t>；井下涌水排至高位水池，回用于井下生产、洒水降尘、绿化等，不外排</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噪声治理措施：通过隔声、安装消声器、合理布设运输道路和禁止夜间鸣笛等措施。</w:t>
            </w:r>
          </w:p>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固废治理措施：废石</w:t>
            </w:r>
            <w:r>
              <w:rPr>
                <w:rFonts w:hint="default" w:ascii="Times New Roman" w:hAnsi="Times New Roman" w:eastAsia="宋体" w:cs="Times New Roman"/>
                <w:color w:val="auto"/>
                <w:highlight w:val="none"/>
                <w:lang w:val="en-US" w:eastAsia="zh-CN"/>
              </w:rPr>
              <w:t>堆放于</w:t>
            </w:r>
            <w:r>
              <w:rPr>
                <w:rFonts w:hint="eastAsia" w:cs="Times New Roman"/>
                <w:color w:val="auto"/>
                <w:highlight w:val="none"/>
                <w:lang w:val="en-US" w:eastAsia="zh-CN"/>
              </w:rPr>
              <w:t>排岩场</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开采结束后</w:t>
            </w:r>
            <w:r>
              <w:rPr>
                <w:rFonts w:hint="default" w:ascii="Times New Roman" w:hAnsi="Times New Roman" w:eastAsia="宋体" w:cs="Times New Roman"/>
                <w:color w:val="auto"/>
                <w:highlight w:val="none"/>
              </w:rPr>
              <w:t>回填井下采空区；废机油暂存于危废间，定期由有资质单位收集和处理；生活垃圾运至环卫部门统一处理。</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单位应当在环境保护主管部门公布排污单位名录后九十日内公开环境信息；环境信息有新生成或者发生变更情形的，重点排污单位应当自环境信息生成或者变更之日起三十日内予以公开。法律、法规另有规定的，从其规定。</w:t>
      </w:r>
    </w:p>
    <w:p>
      <w:pPr>
        <w:pStyle w:val="5"/>
        <w:bidi w:val="0"/>
        <w:rPr>
          <w:rFonts w:hint="default"/>
          <w:color w:val="auto"/>
          <w:highlight w:val="none"/>
        </w:rPr>
      </w:pPr>
      <w:r>
        <w:rPr>
          <w:rFonts w:hint="default"/>
          <w:color w:val="auto"/>
          <w:highlight w:val="none"/>
        </w:rPr>
        <w:t>运营期环境管理体系</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（1）环境管理机构及职责</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根据《建设项目环境保护设计规范》的要求，本项目需设立环境管理机构，负责整个项目环境管理工作。环境管理机构职责：</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1）贯彻执行各项环境保护政策、法规及标准；</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2）建立健全企业的环境管理制度，并实施检查和监督；</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3）拟定企业的环保工作计划，配合企业领导完成环境保护责任目标；</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4）领导并组织企业环境监测工作，检查环境保护设施的运行状况，建立监控档案；</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5）协调企业所在区域内环境管理；</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6）开展环保教育和专业培训，提高企业员工的环保素质；</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7）组织开展环保研究和学术交流，推广并应用先进环保技术；</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8）负责厂区绿化和日常环境保护管理工作。</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（2）环境管理内容</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矿山从施工建设到服务期满关闭，一般经历三个时期，即</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、生产运营期和服务期满关闭。由于各时期生产建设的不同特点，其环境管理的要求和内容也有所不同。本章对生产</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、运营期和服务期满关闭提出环保要求。</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环境管理体系</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结合《建设项目环境保护事中事后监督管理办法（试行）》要求，建设单位在建设项目开工前和发生重大变动前，必须依法取得环境影响评价审批文件。建设项目实施过程中应严格落实经批准的环境影响评价文件及其批复文件提出的各项环境保护要求；</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②施工前签定的施工承包合同应包括环境保护专项条款，把承包单位必须遵循的环保有关要求以专项条款方式签进合同文本中，并在施工过程中据此加强监督、检查，减少</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对环境的污染影响；</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间建筑和弃土的最终处理方法和去向，应在施工前期按有关规定和要求做好计划；</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④项目</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间，应根据国家和地方环保有关规定和要求，重点检查工程进展情况是否符合</w:t>
      </w:r>
      <w:r>
        <w:rPr>
          <w:rFonts w:hint="eastAsia" w:cs="Times New Roman"/>
          <w:color w:val="auto"/>
          <w:highlight w:val="none"/>
          <w:lang w:eastAsia="zh-CN"/>
        </w:rPr>
        <w:t>“</w:t>
      </w:r>
      <w:r>
        <w:rPr>
          <w:rFonts w:hint="default" w:ascii="Times New Roman" w:hAnsi="Times New Roman" w:eastAsia="宋体" w:cs="Times New Roman"/>
          <w:color w:val="auto"/>
          <w:highlight w:val="none"/>
        </w:rPr>
        <w:t>三同时</w:t>
      </w:r>
      <w:r>
        <w:rPr>
          <w:rFonts w:hint="eastAsia" w:cs="Times New Roman"/>
          <w:color w:val="auto"/>
          <w:highlight w:val="none"/>
          <w:lang w:eastAsia="zh-CN"/>
        </w:rPr>
        <w:t>”</w:t>
      </w:r>
      <w:r>
        <w:rPr>
          <w:rFonts w:hint="default" w:ascii="Times New Roman" w:hAnsi="Times New Roman" w:eastAsia="宋体" w:cs="Times New Roman"/>
          <w:color w:val="auto"/>
          <w:highlight w:val="none"/>
        </w:rPr>
        <w:t>原则，质量是否符合要求；</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⑤建筑垃圾、弃土的堆放、装卸及运输等是否按</w:t>
      </w:r>
      <w:r>
        <w:rPr>
          <w:rFonts w:hint="default" w:ascii="Times New Roman" w:hAnsi="Times New Roman" w:eastAsia="宋体" w:cs="Times New Roman"/>
          <w:color w:val="auto"/>
          <w:highlight w:val="none"/>
          <w:lang w:eastAsia="zh-CN"/>
        </w:rPr>
        <w:t>基建期</w:t>
      </w:r>
      <w:r>
        <w:rPr>
          <w:rFonts w:hint="default" w:ascii="Times New Roman" w:hAnsi="Times New Roman" w:eastAsia="宋体" w:cs="Times New Roman"/>
          <w:color w:val="auto"/>
          <w:highlight w:val="none"/>
        </w:rPr>
        <w:t>大气环境保护对策措施要求落实；</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⑥施工过程使用的各类机械设备是否依据有关法规控制噪声污染；</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⑦建筑工地生活污水和生活垃圾是否进行妥善处置；</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⑧工程竣工后，施工单位应及时将工地剩余弃土、建筑垃圾清除干净。</w:t>
      </w:r>
    </w:p>
    <w:p>
      <w:pPr>
        <w:pStyle w:val="78"/>
        <w:ind w:firstLine="488"/>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2）运营期环境管理内容如下：</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①编制矿山环境保护计划，制定环境管理目标，并与企业的生产目标进行综合平衡，将环境保护规划纳入企业生产发展规划；</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②负责全矿职工的环保教育及有关的技术培训，从防止环境污染角度对岗位操作规程进行审核；</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③负责全矿各污染源和环保治理设施的建立、保管等日常管理工作；</w:t>
      </w:r>
    </w:p>
    <w:p>
      <w:pPr>
        <w:pStyle w:val="78"/>
        <w:ind w:firstLine="488"/>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④配合环境保护监测部门定期组织、实施污染源监测，做好监测数据统计和归档工作，逐月统计生产系统各类污染物排放量，编制污染物排放量统计报表；</w:t>
      </w:r>
    </w:p>
    <w:p>
      <w:pPr>
        <w:pStyle w:val="78"/>
        <w:ind w:firstLine="488"/>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⑤负责对环保治理设施进行考核，根据污染物排放指标的达标情况对环境污染事故隐患进行排查，并及时提出处理方案，将污染物排放量（或浓度）控制在较低水平，确保排放的各类污染物稳定达标。</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3）矿山服务期满后的环境管理：</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①矿山服务期满后，矿山负责实施的环境管理内容如下：</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②进行土地整治，采场等处存在的各类环境隐患，并完善有关水土保持设施，确保服务期满后不致发生水土流失、塌方等灾害；</w:t>
      </w:r>
    </w:p>
    <w:p>
      <w:pPr>
        <w:pStyle w:val="78"/>
        <w:ind w:firstLine="488"/>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③在闭坑前及早安排人员进行土地复垦、恢复植被等工作。</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4）环境管理手段：</w:t>
      </w:r>
    </w:p>
    <w:p>
      <w:pPr>
        <w:pStyle w:val="78"/>
        <w:ind w:firstLine="488"/>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经济手段：在企业内部把环境保护列入统计评分计奖的指标。</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技术手段：在制定操作规程等工作中，把环境保护的要求统一考虑在内。</w:t>
      </w:r>
    </w:p>
    <w:p>
      <w:pPr>
        <w:pStyle w:val="78"/>
        <w:ind w:firstLine="488"/>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教育手段：开展环境教育，提高职工的环境意识，使广大职工自觉保护环境。</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行政手段：将环境保护列入岗位责任制，纳入生产调度，以行政手段监督、检查、批评、表扬、奖励、惩罚，促使各科室和生产车间按要求完成环保任务</w:t>
      </w:r>
      <w:bookmarkStart w:id="705" w:name="_Toc322349473"/>
      <w:bookmarkStart w:id="706" w:name="_Toc445969147"/>
      <w:bookmarkStart w:id="707" w:name="_Toc456603843"/>
      <w:bookmarkStart w:id="708" w:name="_Toc325530122"/>
      <w:bookmarkStart w:id="709" w:name="_Toc206750195"/>
      <w:bookmarkStart w:id="710" w:name="_Toc294020276"/>
      <w:r>
        <w:rPr>
          <w:rFonts w:hint="default" w:ascii="Times New Roman" w:hAnsi="Times New Roman" w:eastAsia="宋体" w:cs="Times New Roman"/>
          <w:color w:val="auto"/>
          <w:highlight w:val="none"/>
        </w:rPr>
        <w:t>。</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（3）环境管理制度</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单位应建立日常管理制度和环境管理台帐。建立完善企业内部环境管理制度，应结合实际，建立健全企业污染减排计划、环境应急管理制度、环境治理设施、设备运行管理等制度。企业台帐和资料要完善整齐，装订规范，监测记录连续完整，指标符合环境管理要求，能全面反映企业的环境管理情况。对于各项环境保护设施和措施的建设、运行等费用设置环保专项资金。建设项目投产使用前，建设单位应向负有环境保护监督管理职责的部门报告环境保护设施建设情况、运行计划，并公开相关信息。建设项目投入生产或使用后，建设单位应加强环境保护设施的维护和运行管理，保障环境保护设施长期正常运行，定期公开环境保护设施的运行情况和运行效果。</w:t>
      </w:r>
    </w:p>
    <w:p>
      <w:pPr>
        <w:pStyle w:val="4"/>
        <w:bidi w:val="0"/>
        <w:ind w:left="0" w:leftChars="0" w:firstLineChars="0"/>
        <w:rPr>
          <w:rFonts w:hint="default"/>
          <w:color w:val="auto"/>
          <w:highlight w:val="none"/>
        </w:rPr>
      </w:pPr>
      <w:bookmarkStart w:id="711" w:name="_Toc29411"/>
      <w:bookmarkStart w:id="712" w:name="_Toc515537872"/>
      <w:bookmarkStart w:id="713" w:name="_Toc15376218"/>
      <w:r>
        <w:rPr>
          <w:rFonts w:hint="default"/>
          <w:color w:val="auto"/>
          <w:highlight w:val="none"/>
        </w:rPr>
        <w:t>环境监测计划</w:t>
      </w:r>
      <w:bookmarkEnd w:id="705"/>
      <w:bookmarkEnd w:id="706"/>
      <w:bookmarkEnd w:id="707"/>
      <w:bookmarkEnd w:id="708"/>
      <w:bookmarkEnd w:id="709"/>
      <w:bookmarkEnd w:id="710"/>
      <w:bookmarkEnd w:id="711"/>
      <w:bookmarkEnd w:id="712"/>
      <w:bookmarkEnd w:id="713"/>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本项目废气、废水及噪声环境监测任务委托有资质单位承担。依据《排污单位自行监测技术指南总则》（HJ819-2017），结合本工程的污染源及污染物排放特点，制定污染源监测项目。运营期环境监测见表</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.2-1。</w:t>
      </w:r>
    </w:p>
    <w:p>
      <w:pPr>
        <w:spacing w:line="240" w:lineRule="auto"/>
        <w:ind w:firstLine="422"/>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rPr>
        <w:t>.2-1项目运营期监测计划</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9"/>
        <w:gridCol w:w="1239"/>
        <w:gridCol w:w="1393"/>
        <w:gridCol w:w="2322"/>
        <w:gridCol w:w="1239"/>
        <w:gridCol w:w="21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类别</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监测项目</w:t>
            </w:r>
          </w:p>
        </w:tc>
        <w:tc>
          <w:tcPr>
            <w:tcW w:w="139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监测点位</w:t>
            </w:r>
          </w:p>
        </w:tc>
        <w:tc>
          <w:tcPr>
            <w:tcW w:w="23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监测项目</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监测频次</w:t>
            </w:r>
          </w:p>
        </w:tc>
        <w:tc>
          <w:tcPr>
            <w:tcW w:w="216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9"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环境质量监测</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声环境</w:t>
            </w:r>
          </w:p>
        </w:tc>
        <w:tc>
          <w:tcPr>
            <w:tcW w:w="139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最近敏感点</w:t>
            </w:r>
          </w:p>
        </w:tc>
        <w:tc>
          <w:tcPr>
            <w:tcW w:w="23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等效A声级</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1次/季度</w:t>
            </w:r>
          </w:p>
        </w:tc>
        <w:tc>
          <w:tcPr>
            <w:tcW w:w="216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《声环境质量标准》（GB3096-2008）Ⅰ类标准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929" w:type="dxa"/>
            <w:vMerge w:val="continue"/>
            <w:vAlign w:val="center"/>
          </w:tcPr>
          <w:p>
            <w:pPr>
              <w:pStyle w:val="104"/>
              <w:jc w:val="center"/>
              <w:rPr>
                <w:rFonts w:hint="default" w:ascii="Times New Roman" w:hAnsi="Times New Roman" w:eastAsia="宋体" w:cs="Times New Roman"/>
                <w:color w:val="auto"/>
                <w:highlight w:val="none"/>
              </w:rPr>
            </w:pPr>
          </w:p>
        </w:tc>
        <w:tc>
          <w:tcPr>
            <w:tcW w:w="1239"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w:t>
            </w:r>
          </w:p>
        </w:tc>
        <w:tc>
          <w:tcPr>
            <w:tcW w:w="1393"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项目场地</w:t>
            </w:r>
          </w:p>
        </w:tc>
        <w:tc>
          <w:tcPr>
            <w:tcW w:w="2322"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pH值、氨氮、硝酸盐（以N计）、亚硝酸盐（以N计）、耗氧量、硫酸盐、总硬度、铜、铁、锌、锰、六价铬、铅、镉、砷、石油类等</w:t>
            </w:r>
          </w:p>
        </w:tc>
        <w:tc>
          <w:tcPr>
            <w:tcW w:w="1239"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2次/年（丰、枯）</w:t>
            </w:r>
          </w:p>
        </w:tc>
        <w:tc>
          <w:tcPr>
            <w:tcW w:w="2164"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《地下水环境质量标准》（GB/T14848-2017）中Ⅲ类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9" w:type="dxa"/>
            <w:vMerge w:val="continue"/>
            <w:vAlign w:val="center"/>
          </w:tcPr>
          <w:p>
            <w:pPr>
              <w:pStyle w:val="104"/>
              <w:jc w:val="center"/>
              <w:rPr>
                <w:rFonts w:hint="default" w:ascii="Times New Roman" w:hAnsi="Times New Roman" w:eastAsia="宋体" w:cs="Times New Roman"/>
                <w:color w:val="auto"/>
                <w:highlight w:val="none"/>
              </w:rPr>
            </w:pPr>
          </w:p>
        </w:tc>
        <w:tc>
          <w:tcPr>
            <w:tcW w:w="1239" w:type="dxa"/>
            <w:vMerge w:val="continue"/>
            <w:vAlign w:val="center"/>
          </w:tcPr>
          <w:p>
            <w:pPr>
              <w:pStyle w:val="104"/>
              <w:jc w:val="center"/>
              <w:rPr>
                <w:rFonts w:hint="default" w:ascii="Times New Roman" w:hAnsi="Times New Roman" w:eastAsia="宋体" w:cs="Times New Roman"/>
                <w:color w:val="auto"/>
                <w:highlight w:val="none"/>
              </w:rPr>
            </w:pPr>
          </w:p>
        </w:tc>
        <w:tc>
          <w:tcPr>
            <w:tcW w:w="1393" w:type="dxa"/>
            <w:vAlign w:val="center"/>
          </w:tcPr>
          <w:p>
            <w:pPr>
              <w:pStyle w:val="104"/>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厂区下游</w:t>
            </w:r>
            <w:r>
              <w:rPr>
                <w:rFonts w:hint="eastAsia" w:ascii="Times New Roman" w:hAnsi="Times New Roman" w:eastAsia="宋体" w:cs="Times New Roman"/>
                <w:color w:val="auto"/>
                <w:highlight w:val="none"/>
                <w:lang w:val="en-US" w:eastAsia="zh-CN"/>
              </w:rPr>
              <w:t>80</w:t>
            </w:r>
            <w:r>
              <w:rPr>
                <w:rFonts w:hint="default" w:ascii="Times New Roman" w:hAnsi="Times New Roman" w:eastAsia="宋体" w:cs="Times New Roman"/>
                <w:color w:val="auto"/>
                <w:highlight w:val="none"/>
              </w:rPr>
              <w:t>0m</w:t>
            </w:r>
          </w:p>
        </w:tc>
        <w:tc>
          <w:tcPr>
            <w:tcW w:w="2322" w:type="dxa"/>
            <w:vMerge w:val="continue"/>
            <w:vAlign w:val="center"/>
          </w:tcPr>
          <w:p>
            <w:pPr>
              <w:pStyle w:val="104"/>
              <w:jc w:val="center"/>
              <w:rPr>
                <w:rFonts w:hint="default" w:ascii="Times New Roman" w:hAnsi="Times New Roman" w:eastAsia="宋体" w:cs="Times New Roman"/>
                <w:color w:val="auto"/>
                <w:highlight w:val="none"/>
              </w:rPr>
            </w:pPr>
          </w:p>
        </w:tc>
        <w:tc>
          <w:tcPr>
            <w:tcW w:w="1239" w:type="dxa"/>
            <w:vMerge w:val="continue"/>
            <w:vAlign w:val="center"/>
          </w:tcPr>
          <w:p>
            <w:pPr>
              <w:pStyle w:val="104"/>
              <w:jc w:val="center"/>
              <w:rPr>
                <w:rFonts w:hint="default" w:ascii="Times New Roman" w:hAnsi="Times New Roman" w:eastAsia="宋体" w:cs="Times New Roman"/>
                <w:color w:val="auto"/>
                <w:highlight w:val="none"/>
              </w:rPr>
            </w:pPr>
          </w:p>
        </w:tc>
        <w:tc>
          <w:tcPr>
            <w:tcW w:w="2164" w:type="dxa"/>
            <w:vMerge w:val="continue"/>
            <w:vAlign w:val="center"/>
          </w:tcPr>
          <w:p>
            <w:pPr>
              <w:pStyle w:val="104"/>
              <w:jc w:val="center"/>
              <w:rPr>
                <w:rFonts w:hint="default" w:ascii="Times New Roman" w:hAnsi="Times New Roman" w:eastAsia="宋体"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9" w:type="dxa"/>
            <w:vMerge w:val="continue"/>
            <w:vAlign w:val="center"/>
          </w:tcPr>
          <w:p>
            <w:pPr>
              <w:pStyle w:val="104"/>
              <w:jc w:val="center"/>
              <w:rPr>
                <w:rFonts w:hint="default" w:ascii="Times New Roman" w:hAnsi="Times New Roman" w:eastAsia="宋体" w:cs="Times New Roman"/>
                <w:color w:val="auto"/>
                <w:highlight w:val="none"/>
              </w:rPr>
            </w:pP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w:t>
            </w:r>
          </w:p>
        </w:tc>
        <w:tc>
          <w:tcPr>
            <w:tcW w:w="139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矿区内</w:t>
            </w:r>
          </w:p>
        </w:tc>
        <w:tc>
          <w:tcPr>
            <w:tcW w:w="23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pH值、铅、砷、铜、镉、汞、镍、六价铬等</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次/年</w:t>
            </w:r>
          </w:p>
        </w:tc>
        <w:tc>
          <w:tcPr>
            <w:tcW w:w="216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《土壤环境质量建设用地土壤污染风险管控值标准》(GB15618-2018)中表1标准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9"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污染源监测</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139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井下涌水</w:t>
            </w:r>
          </w:p>
        </w:tc>
        <w:tc>
          <w:tcPr>
            <w:tcW w:w="23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pH值、总硬度、溶解性总固体、铁、锰、锌、氨氮、汞、砷、镉、六价铬、铅、石油类，水位和水量</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1次/季度</w:t>
            </w:r>
          </w:p>
        </w:tc>
        <w:tc>
          <w:tcPr>
            <w:tcW w:w="216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9" w:type="dxa"/>
            <w:vMerge w:val="continue"/>
            <w:vAlign w:val="center"/>
          </w:tcPr>
          <w:p>
            <w:pPr>
              <w:pStyle w:val="104"/>
              <w:jc w:val="center"/>
              <w:rPr>
                <w:rFonts w:hint="default" w:ascii="Times New Roman" w:hAnsi="Times New Roman" w:eastAsia="宋体" w:cs="Times New Roman"/>
                <w:color w:val="auto"/>
                <w:highlight w:val="none"/>
              </w:rPr>
            </w:pP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w:t>
            </w:r>
          </w:p>
        </w:tc>
        <w:tc>
          <w:tcPr>
            <w:tcW w:w="139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工业场地厂界</w:t>
            </w:r>
          </w:p>
        </w:tc>
        <w:tc>
          <w:tcPr>
            <w:tcW w:w="23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无组织颗粒物</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1次/季度</w:t>
            </w:r>
          </w:p>
        </w:tc>
        <w:tc>
          <w:tcPr>
            <w:tcW w:w="216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《大气污染物综合排放标准》（GB16297-1996）中新污染源大气污染物二级排放限值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29" w:type="dxa"/>
            <w:vMerge w:val="continue"/>
            <w:vAlign w:val="center"/>
          </w:tcPr>
          <w:p>
            <w:pPr>
              <w:pStyle w:val="104"/>
              <w:jc w:val="center"/>
              <w:rPr>
                <w:rFonts w:hint="default" w:ascii="Times New Roman" w:hAnsi="Times New Roman" w:eastAsia="宋体" w:cs="Times New Roman"/>
                <w:color w:val="auto"/>
                <w:highlight w:val="none"/>
              </w:rPr>
            </w:pP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1393"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四周场界</w:t>
            </w:r>
          </w:p>
        </w:tc>
        <w:tc>
          <w:tcPr>
            <w:tcW w:w="232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等效A声级</w:t>
            </w:r>
          </w:p>
        </w:tc>
        <w:tc>
          <w:tcPr>
            <w:tcW w:w="123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1次/季度（每次分昼、夜监测）</w:t>
            </w:r>
          </w:p>
        </w:tc>
        <w:tc>
          <w:tcPr>
            <w:tcW w:w="216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《工业企业厂界环境噪声排放标准》（GB12348-2008）中</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类标准</w:t>
            </w:r>
          </w:p>
        </w:tc>
      </w:tr>
    </w:tbl>
    <w:p>
      <w:pPr>
        <w:pStyle w:val="4"/>
        <w:bidi w:val="0"/>
        <w:ind w:left="0" w:leftChars="0" w:firstLineChars="0"/>
        <w:rPr>
          <w:rFonts w:hint="default"/>
          <w:color w:val="auto"/>
          <w:highlight w:val="none"/>
        </w:rPr>
      </w:pPr>
      <w:bookmarkStart w:id="714" w:name="_Toc7340113"/>
      <w:bookmarkStart w:id="715" w:name="_Toc4988"/>
      <w:bookmarkStart w:id="716" w:name="_Toc15376219"/>
      <w:bookmarkStart w:id="717" w:name="_Toc515537873"/>
      <w:r>
        <w:rPr>
          <w:rFonts w:hint="default"/>
          <w:color w:val="auto"/>
          <w:highlight w:val="none"/>
        </w:rPr>
        <w:t>排污口规范化</w:t>
      </w:r>
      <w:bookmarkEnd w:id="714"/>
      <w:bookmarkEnd w:id="715"/>
      <w:bookmarkEnd w:id="716"/>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排污口规范化是实施污染物总量管理的基础工作，也是总量控制不可缺少的一项内容。排污口规范化对于污染源管理，现场监督检查，促进公司企业强化环保管理，促进污染治理，实现科学化、定量化都有极大的现实意义。</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（1）排污口规范化要求</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根据《关于开展排污口规范化整治工作的通知》（国家环保总局环发[1999]24号）文件的规定</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一切新建、扩建、改建的排污单位必须在建设污染治理设施的同时建设规范化排污口，作为落实环境保护</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三同时</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制度的必要组成和项目验收内容之一。</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因此环评对本项目排污口提出如下规范化要求：</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①废气排放口</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本项目在排气筒DA001处应设置采样口，以便日常监测。采样口的设置应符合《污染源监测技术规范》要求并便于采样监测，安装环境图形标志。</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②废水排放口</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根据《关于开展排放口规范化整治工作的通知》和《排放口规范化整治技术》，项目厂区的排水体制必须实施</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雨污分流</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制，系统包括污水排水系统、雨水排水系统。本项目排水主要为员工生活污水，经厂区化粪池处理后，通过市政排水管网，排入沈阳西部污水处理厂集中处理。雨水通过篦子收集至雨水检查井由管道汇集后市政雨水管网，全厂设废水总排放口。</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③噪声排放源</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噪声排放源的环境保护图形符号分别为提示图形符号和警告图形符号，图形符号的设置应按照GB15562.1-1995设置。</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④固体废物贮存（处置）场</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固体废物贮存（处置）场的环境保护图形符号分别为提示图形符号和警告图形符号，图形符号的设置应按照GB15562.2-1995设置。</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（2）排污口规范化管理</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①建设单位应在各排污口处设立较明显的排污口标志牌，其上应注明主要排放污染物的名称以警示周围群众。</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②建设单位应如实填写《中华人民共和国规范化排污口标志登记证》的有关内容，由环保主管部门签发登记证。</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③建设单位应将有关排污口的情况，如：排污口的性质、编号，排污口的位置；主要排放的污染物种类、数量、浓度、排放规律、排放去向；污染治理设施的运行情况等进行建档管理，并报送环保主管部门备案。</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在项目运营期，环保部门在日常管理中应加强对以下几个环节的监督与检查：</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①对废气、废水、噪声等污染物排放，除要做到日常监管、监测外，还应每年配合环境管理部门，监测中心等单位做好定期检测。</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②对污水管、雨水管等易堵塞与泄漏部分要及时清理、检查。</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③对垃圾储运设施在冬季加强门窗封闭管理，避免垃圾飞扬，夏季要清除渍水，消灭蚊蝇。</w:t>
      </w:r>
    </w:p>
    <w:p>
      <w:pPr>
        <w:pStyle w:val="74"/>
        <w:spacing w:before="48" w:after="48"/>
        <w:ind w:firstLine="562"/>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④通过日常监督管理，杜绝乱停车侵占道路绿地的现象，控制区内汽车行车速度，禁止鸣笛。</w:t>
      </w:r>
    </w:p>
    <w:p>
      <w:pPr>
        <w:pStyle w:val="4"/>
        <w:bidi w:val="0"/>
        <w:ind w:left="0" w:leftChars="0" w:firstLineChars="0"/>
        <w:rPr>
          <w:rFonts w:hint="default"/>
          <w:color w:val="auto"/>
          <w:highlight w:val="none"/>
        </w:rPr>
      </w:pPr>
      <w:bookmarkStart w:id="718" w:name="_Toc19619"/>
      <w:bookmarkStart w:id="719" w:name="_Toc28607"/>
      <w:bookmarkStart w:id="720" w:name="_Toc7340114"/>
      <w:bookmarkStart w:id="721" w:name="_Toc15376220"/>
      <w:bookmarkStart w:id="722" w:name="_Toc29876"/>
      <w:r>
        <w:rPr>
          <w:rFonts w:hint="default"/>
          <w:color w:val="auto"/>
          <w:highlight w:val="none"/>
        </w:rPr>
        <w:t>建设项目环保验收</w:t>
      </w:r>
      <w:r>
        <w:rPr>
          <w:rFonts w:hint="eastAsia"/>
          <w:color w:val="auto"/>
          <w:highlight w:val="none"/>
          <w:lang w:eastAsia="zh-CN"/>
        </w:rPr>
        <w:t>“</w:t>
      </w:r>
      <w:r>
        <w:rPr>
          <w:rFonts w:hint="default"/>
          <w:color w:val="auto"/>
          <w:highlight w:val="none"/>
        </w:rPr>
        <w:t>三同时</w:t>
      </w:r>
      <w:r>
        <w:rPr>
          <w:rFonts w:hint="eastAsia"/>
          <w:color w:val="auto"/>
          <w:highlight w:val="none"/>
          <w:lang w:eastAsia="zh-CN"/>
        </w:rPr>
        <w:t>”</w:t>
      </w:r>
      <w:r>
        <w:rPr>
          <w:rFonts w:hint="default"/>
          <w:color w:val="auto"/>
          <w:highlight w:val="none"/>
        </w:rPr>
        <w:t>验收</w:t>
      </w:r>
      <w:bookmarkEnd w:id="718"/>
      <w:bookmarkEnd w:id="719"/>
      <w:bookmarkEnd w:id="720"/>
      <w:bookmarkEnd w:id="721"/>
      <w:bookmarkEnd w:id="722"/>
    </w:p>
    <w:p>
      <w:pPr>
        <w:widowControl/>
        <w:adjustRightInd/>
        <w:snapToGrid/>
        <w:spacing w:line="450" w:lineRule="atLeast"/>
        <w:ind w:firstLine="480" w:firstLineChars="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highlight w:val="none"/>
        </w:rPr>
        <w:t>根据《建设项目环境保护管理条例》规定，建设项目需要配套建设的环境保护设施，必须与主体工程同时设计、同时施工、同时投产使用。项目竣工后，</w:t>
      </w:r>
      <w:r>
        <w:rPr>
          <w:rFonts w:hint="default" w:ascii="Times New Roman" w:hAnsi="Times New Roman" w:eastAsia="宋体" w:cs="Times New Roman"/>
          <w:color w:val="auto"/>
          <w:kern w:val="0"/>
          <w:highlight w:val="none"/>
        </w:rPr>
        <w:t>建设单位应严格遵循《建设项目竣工环境保护验收管理办法》，自主进行环保设施竣工验收。竣工验收重点是</w:t>
      </w:r>
      <w:r>
        <w:rPr>
          <w:rFonts w:hint="default" w:ascii="Times New Roman" w:hAnsi="Times New Roman" w:eastAsia="宋体" w:cs="Times New Roman"/>
          <w:color w:val="auto"/>
          <w:highlight w:val="none"/>
        </w:rPr>
        <w:t>国家有排放标准的项目，同时，将事故防范措施和应急监测设施作为环保竣工验收内容，具体验收方案由环保验收单位确定，本节仅提出环评对环保竣工验收的建议。项目竣工环保验收内容建议见表</w:t>
      </w:r>
      <w:r>
        <w:rPr>
          <w:rFonts w:hint="eastAsia"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.4-1。</w:t>
      </w:r>
      <w:bookmarkEnd w:id="717"/>
    </w:p>
    <w:p>
      <w:pPr>
        <w:ind w:firstLine="0" w:firstLineChars="0"/>
        <w:rPr>
          <w:rFonts w:hint="default" w:ascii="Times New Roman" w:hAnsi="Times New Roman" w:eastAsia="宋体" w:cs="Times New Roman"/>
          <w:color w:val="auto"/>
          <w:highlight w:val="none"/>
        </w:rPr>
        <w:sectPr>
          <w:pgSz w:w="11906" w:h="16838"/>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312" w:charSpace="0"/>
        </w:sectPr>
      </w:pPr>
    </w:p>
    <w:p>
      <w:pPr>
        <w:pStyle w:val="83"/>
        <w:spacing w:line="240" w:lineRule="auto"/>
        <w:ind w:firstLine="49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表</w:t>
      </w:r>
      <w:r>
        <w:rPr>
          <w:rFonts w:hint="eastAsia" w:ascii="Times New Roman" w:hAnsi="Times New Roman" w:eastAsia="宋体" w:cs="Times New Roman"/>
          <w:b/>
          <w:color w:val="auto"/>
          <w:highlight w:val="none"/>
          <w:lang w:val="en-US" w:eastAsia="zh-CN"/>
        </w:rPr>
        <w:t>9</w:t>
      </w:r>
      <w:r>
        <w:rPr>
          <w:rFonts w:hint="default" w:ascii="Times New Roman" w:hAnsi="Times New Roman" w:eastAsia="宋体" w:cs="Times New Roman"/>
          <w:b/>
          <w:color w:val="auto"/>
          <w:highlight w:val="none"/>
        </w:rPr>
        <w:t>.4-1项目环境保护措施汇总及竣工验收一览表</w:t>
      </w:r>
    </w:p>
    <w:tbl>
      <w:tblPr>
        <w:tblStyle w:val="45"/>
        <w:tblW w:w="1329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57" w:type="dxa"/>
          <w:left w:w="57" w:type="dxa"/>
          <w:bottom w:w="57" w:type="dxa"/>
          <w:right w:w="57" w:type="dxa"/>
        </w:tblCellMar>
      </w:tblPr>
      <w:tblGrid>
        <w:gridCol w:w="1025"/>
        <w:gridCol w:w="1628"/>
        <w:gridCol w:w="5156"/>
        <w:gridCol w:w="4111"/>
        <w:gridCol w:w="137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tblHeader/>
          <w:jc w:val="center"/>
        </w:trPr>
        <w:tc>
          <w:tcPr>
            <w:tcW w:w="1025"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类别</w:t>
            </w: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环保项目</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工程内容及技术要求</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验收要求</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生活污水处理</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旱厕处理，定期清掏，不外排。</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具有防渗性能，符合环保要求</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矿坑涌水</w:t>
            </w:r>
          </w:p>
        </w:tc>
        <w:tc>
          <w:tcPr>
            <w:tcW w:w="5156" w:type="dxa"/>
            <w:vAlign w:val="center"/>
          </w:tcPr>
          <w:p>
            <w:pPr>
              <w:pStyle w:val="104"/>
              <w:jc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i w:val="0"/>
                <w:iCs w:val="0"/>
                <w:color w:val="auto"/>
                <w:kern w:val="0"/>
                <w:sz w:val="21"/>
                <w:szCs w:val="21"/>
                <w:highlight w:val="none"/>
                <w:u w:val="none"/>
                <w:lang w:val="en-US" w:eastAsia="zh-CN" w:bidi="ar"/>
              </w:rPr>
              <w:t>新建地表蓄水池</w:t>
            </w:r>
            <w:r>
              <w:rPr>
                <w:rFonts w:hint="default" w:ascii="Times New Roman" w:hAnsi="Times New Roman" w:eastAsia="宋体" w:cs="Times New Roman"/>
                <w:i w:val="0"/>
                <w:iCs w:val="0"/>
                <w:color w:val="auto"/>
                <w:kern w:val="0"/>
                <w:sz w:val="21"/>
                <w:szCs w:val="21"/>
                <w:highlight w:val="none"/>
                <w:u w:val="none"/>
                <w:lang w:val="en-US" w:eastAsia="zh-CN" w:bidi="ar"/>
              </w:rPr>
              <w:t>200m</w:t>
            </w:r>
            <w:r>
              <w:rPr>
                <w:rFonts w:hint="default" w:ascii="Times New Roman" w:hAnsi="Times New Roman" w:eastAsia="宋体" w:cs="Times New Roman"/>
                <w:i w:val="0"/>
                <w:iCs w:val="0"/>
                <w:color w:val="auto"/>
                <w:kern w:val="0"/>
                <w:sz w:val="21"/>
                <w:szCs w:val="21"/>
                <w:highlight w:val="none"/>
                <w:u w:val="none"/>
                <w:vertAlign w:val="superscript"/>
                <w:lang w:val="en-US" w:eastAsia="zh-CN" w:bidi="ar"/>
              </w:rPr>
              <w:t>3</w:t>
            </w:r>
            <w:r>
              <w:rPr>
                <w:rFonts w:hint="eastAsia" w:ascii="宋体" w:hAnsi="宋体" w:eastAsia="宋体" w:cs="宋体"/>
                <w:i w:val="0"/>
                <w:iCs w:val="0"/>
                <w:color w:val="auto"/>
                <w:kern w:val="0"/>
                <w:sz w:val="21"/>
                <w:szCs w:val="21"/>
                <w:highlight w:val="none"/>
                <w:u w:val="none"/>
                <w:lang w:val="en-US" w:eastAsia="zh-CN" w:bidi="ar"/>
              </w:rPr>
              <w:t>及配套管线</w:t>
            </w:r>
            <w:r>
              <w:rPr>
                <w:rFonts w:hint="eastAsia" w:cs="Times New Roman"/>
                <w:color w:val="auto"/>
                <w:sz w:val="21"/>
                <w:szCs w:val="21"/>
                <w:highlight w:val="none"/>
                <w:lang w:val="en-US" w:eastAsia="zh-CN"/>
              </w:rPr>
              <w:t>3套</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井下涌水沉淀后，优先用于井下生产洒水、道路抑尘</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绿</w:t>
            </w:r>
            <w:r>
              <w:rPr>
                <w:rFonts w:hint="default" w:ascii="Times New Roman" w:hAnsi="Times New Roman" w:eastAsia="宋体" w:cs="Times New Roman"/>
                <w:color w:val="auto"/>
                <w:sz w:val="21"/>
                <w:szCs w:val="21"/>
                <w:highlight w:val="none"/>
                <w:lang w:val="en-US" w:eastAsia="zh-CN"/>
              </w:rPr>
              <w:t>化</w:t>
            </w:r>
            <w:r>
              <w:rPr>
                <w:rFonts w:hint="default" w:ascii="Times New Roman" w:hAnsi="Times New Roman" w:eastAsia="宋体" w:cs="Times New Roman"/>
                <w:color w:val="auto"/>
                <w:sz w:val="21"/>
                <w:szCs w:val="21"/>
                <w:highlight w:val="none"/>
              </w:rPr>
              <w:t>等</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全部回用于生产，不外排</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矿石</w:t>
            </w:r>
            <w:r>
              <w:rPr>
                <w:rFonts w:hint="default" w:ascii="Times New Roman" w:hAnsi="Times New Roman" w:eastAsia="宋体" w:cs="Times New Roman"/>
                <w:color w:val="auto"/>
                <w:sz w:val="21"/>
                <w:szCs w:val="21"/>
                <w:highlight w:val="none"/>
              </w:rPr>
              <w:t>开采</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湿式凿岩、在主要产尘点安装喷雾器喷水洒尘、巷道洒水抑尘、铲装、爆破作业进行喷水降尘、强制排风</w:t>
            </w:r>
          </w:p>
        </w:tc>
        <w:tc>
          <w:tcPr>
            <w:tcW w:w="4111"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满足《大气污染物综合排放标准》（GB16297-1996）中新污染源大气污染物二级排放限值</w:t>
            </w:r>
          </w:p>
        </w:tc>
        <w:tc>
          <w:tcPr>
            <w:tcW w:w="1370"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8"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矿石装卸</w:t>
            </w:r>
          </w:p>
        </w:tc>
        <w:tc>
          <w:tcPr>
            <w:tcW w:w="5156"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控制装卸高度，必要时配备洒水措施</w:t>
            </w:r>
          </w:p>
        </w:tc>
        <w:tc>
          <w:tcPr>
            <w:tcW w:w="4111"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370" w:type="dxa"/>
            <w:vMerge w:val="continue"/>
            <w:vAlign w:val="center"/>
          </w:tcPr>
          <w:p>
            <w:pPr>
              <w:pStyle w:val="104"/>
              <w:jc w:val="center"/>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8"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道路运输</w:t>
            </w:r>
          </w:p>
        </w:tc>
        <w:tc>
          <w:tcPr>
            <w:tcW w:w="5156" w:type="dxa"/>
            <w:vAlign w:val="center"/>
          </w:tcPr>
          <w:p>
            <w:pPr>
              <w:widowControl/>
              <w:adjustRightInd/>
              <w:snapToGrid/>
              <w:spacing w:line="240" w:lineRule="auto"/>
              <w:ind w:firstLine="0" w:firstLineChars="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限制车速，道路硬化、运输车辆加盖苫布或使用带装箱体密封车、洒水抑尘</w:t>
            </w:r>
          </w:p>
        </w:tc>
        <w:tc>
          <w:tcPr>
            <w:tcW w:w="4111"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370" w:type="dxa"/>
            <w:vMerge w:val="continue"/>
            <w:vAlign w:val="center"/>
          </w:tcPr>
          <w:p>
            <w:pPr>
              <w:pStyle w:val="104"/>
              <w:jc w:val="center"/>
              <w:rPr>
                <w:rFonts w:hint="default" w:ascii="Times New Roman" w:hAnsi="Times New Roman" w:eastAsia="宋体"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噪声防治措施</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吸声、减震、消声、隔声等措施</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边界噪声满足《工业企业厂界环境噪声排放标准》</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类标准要求，夜间禁止施工。</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固体废物</w:t>
            </w: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采矿废石</w:t>
            </w:r>
          </w:p>
        </w:tc>
        <w:tc>
          <w:tcPr>
            <w:tcW w:w="5156" w:type="dxa"/>
            <w:vAlign w:val="center"/>
          </w:tcPr>
          <w:p>
            <w:pPr>
              <w:pStyle w:val="10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开采</w:t>
            </w:r>
            <w:r>
              <w:rPr>
                <w:rFonts w:hint="default" w:ascii="Times New Roman" w:hAnsi="Times New Roman" w:eastAsia="宋体" w:cs="Times New Roman"/>
                <w:color w:val="auto"/>
                <w:sz w:val="21"/>
                <w:szCs w:val="21"/>
                <w:highlight w:val="none"/>
              </w:rPr>
              <w:t>废石</w:t>
            </w:r>
            <w:r>
              <w:rPr>
                <w:rFonts w:hint="default" w:ascii="Times New Roman" w:hAnsi="Times New Roman" w:eastAsia="宋体" w:cs="Times New Roman"/>
                <w:color w:val="auto"/>
                <w:sz w:val="21"/>
                <w:szCs w:val="21"/>
                <w:highlight w:val="none"/>
                <w:lang w:val="en-US" w:eastAsia="zh-CN"/>
              </w:rPr>
              <w:t>堆放于废石堆场，堆场</w:t>
            </w:r>
            <w:r>
              <w:rPr>
                <w:rFonts w:hint="default" w:ascii="Times New Roman" w:hAnsi="Times New Roman" w:eastAsia="宋体" w:cs="Times New Roman"/>
                <w:color w:val="auto"/>
                <w:sz w:val="21"/>
                <w:szCs w:val="21"/>
                <w:highlight w:val="none"/>
              </w:rPr>
              <w:t>设置三面围挡，加盖防雨棚，地面硬化。</w:t>
            </w:r>
            <w:r>
              <w:rPr>
                <w:rFonts w:hint="default" w:ascii="Times New Roman" w:hAnsi="Times New Roman" w:eastAsia="宋体" w:cs="Times New Roman"/>
                <w:i w:val="0"/>
                <w:iCs w:val="0"/>
                <w:color w:val="auto"/>
                <w:kern w:val="0"/>
                <w:sz w:val="21"/>
                <w:szCs w:val="21"/>
                <w:highlight w:val="none"/>
                <w:u w:val="none"/>
                <w:lang w:val="en-US" w:eastAsia="zh-CN" w:bidi="ar"/>
              </w:rPr>
              <w:t>已开采结束</w:t>
            </w:r>
            <w:r>
              <w:rPr>
                <w:rFonts w:hint="eastAsia" w:cs="Times New Roman"/>
                <w:i w:val="0"/>
                <w:iCs w:val="0"/>
                <w:color w:val="auto"/>
                <w:kern w:val="0"/>
                <w:sz w:val="21"/>
                <w:szCs w:val="21"/>
                <w:highlight w:val="none"/>
                <w:u w:val="none"/>
                <w:lang w:val="en-US" w:eastAsia="zh-CN" w:bidi="ar"/>
              </w:rPr>
              <w:t>采场</w:t>
            </w:r>
            <w:r>
              <w:rPr>
                <w:rFonts w:hint="default" w:ascii="Times New Roman" w:hAnsi="Times New Roman" w:eastAsia="宋体" w:cs="Times New Roman"/>
                <w:i w:val="0"/>
                <w:iCs w:val="0"/>
                <w:color w:val="auto"/>
                <w:kern w:val="0"/>
                <w:sz w:val="21"/>
                <w:szCs w:val="21"/>
                <w:highlight w:val="none"/>
                <w:u w:val="none"/>
                <w:lang w:val="en-US" w:eastAsia="zh-CN" w:bidi="ar"/>
              </w:rPr>
              <w:t>，利用废石对</w:t>
            </w:r>
            <w:r>
              <w:rPr>
                <w:rFonts w:hint="default" w:ascii="Times New Roman" w:hAnsi="Times New Roman" w:eastAsia="宋体" w:cs="Times New Roman"/>
                <w:color w:val="auto"/>
                <w:sz w:val="21"/>
                <w:szCs w:val="21"/>
                <w:highlight w:val="none"/>
                <w:lang w:val="en-US" w:eastAsia="zh-CN"/>
              </w:rPr>
              <w:t>其进行</w:t>
            </w:r>
            <w:r>
              <w:rPr>
                <w:rFonts w:hint="default" w:ascii="Times New Roman" w:hAnsi="Times New Roman" w:eastAsia="宋体" w:cs="Times New Roman"/>
                <w:i w:val="0"/>
                <w:iCs w:val="0"/>
                <w:color w:val="auto"/>
                <w:kern w:val="0"/>
                <w:sz w:val="21"/>
                <w:szCs w:val="21"/>
                <w:highlight w:val="none"/>
                <w:u w:val="none"/>
                <w:lang w:val="en-US" w:eastAsia="zh-CN" w:bidi="ar"/>
              </w:rPr>
              <w:t>回填</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废石严禁在其他区域随意堆放</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废机油</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工业场地设置1处危废暂存间（建筑面积1</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），统一收集后由有资质单位进行收集及处理</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snapToGrid w:val="0"/>
                <w:color w:val="auto"/>
                <w:spacing w:val="2"/>
                <w:kern w:val="0"/>
                <w:sz w:val="21"/>
                <w:szCs w:val="21"/>
                <w:highlight w:val="none"/>
              </w:rPr>
              <w:t>暂存间采取混凝土地面防渗及密闭措施，符合防风、防雨、防晒和防渗漏的环保要求，并设置警示标识。</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生活垃圾处置</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设置垃圾筒、箱，收集后由环卫部门处理</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设备齐全，生活垃圾收集后定期送当地环卫部门统一处理</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restart"/>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生态防治、生态恢复、生态监测</w:t>
            </w:r>
          </w:p>
        </w:tc>
        <w:tc>
          <w:tcPr>
            <w:tcW w:w="1628"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生态环境综合整治</w:t>
            </w:r>
          </w:p>
        </w:tc>
        <w:tc>
          <w:tcPr>
            <w:tcW w:w="5156"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基建期对</w:t>
            </w:r>
            <w:r>
              <w:rPr>
                <w:rFonts w:hint="default" w:ascii="Times New Roman" w:hAnsi="Times New Roman" w:eastAsia="宋体" w:cs="Times New Roman"/>
                <w:i w:val="0"/>
                <w:iCs w:val="0"/>
                <w:color w:val="auto"/>
                <w:kern w:val="0"/>
                <w:sz w:val="21"/>
                <w:szCs w:val="21"/>
                <w:highlight w:val="none"/>
                <w:u w:val="none"/>
                <w:lang w:val="en-US" w:eastAsia="zh-CN" w:bidi="ar"/>
              </w:rPr>
              <w:t>矿区</w:t>
            </w:r>
            <w:r>
              <w:rPr>
                <w:rFonts w:hint="eastAsia" w:ascii="Times New Roman" w:hAnsi="Times New Roman" w:eastAsia="宋体" w:cs="Times New Roman"/>
                <w:i w:val="0"/>
                <w:iCs w:val="0"/>
                <w:color w:val="auto"/>
                <w:kern w:val="0"/>
                <w:sz w:val="21"/>
                <w:szCs w:val="21"/>
                <w:highlight w:val="none"/>
                <w:u w:val="none"/>
                <w:lang w:val="en-US" w:eastAsia="zh-CN" w:bidi="ar"/>
              </w:rPr>
              <w:t>原有历史采坑</w:t>
            </w:r>
            <w:r>
              <w:rPr>
                <w:rFonts w:hint="default" w:ascii="Times New Roman" w:hAnsi="Times New Roman" w:eastAsia="宋体" w:cs="Times New Roman"/>
                <w:i w:val="0"/>
                <w:iCs w:val="0"/>
                <w:color w:val="auto"/>
                <w:kern w:val="0"/>
                <w:sz w:val="21"/>
                <w:szCs w:val="21"/>
                <w:highlight w:val="none"/>
                <w:u w:val="none"/>
                <w:lang w:val="en-US" w:eastAsia="zh-CN" w:bidi="ar"/>
              </w:rPr>
              <w:t>生态修复，</w:t>
            </w:r>
            <w:r>
              <w:rPr>
                <w:rFonts w:hint="default" w:ascii="Times New Roman" w:hAnsi="Times New Roman" w:eastAsia="宋体" w:cs="Times New Roman"/>
                <w:color w:val="auto"/>
                <w:sz w:val="21"/>
                <w:szCs w:val="21"/>
                <w:highlight w:val="none"/>
              </w:rPr>
              <w:t>工业厂区裸露空地、道路及两侧及时洒水降尘，</w:t>
            </w:r>
            <w:r>
              <w:rPr>
                <w:rFonts w:hint="default" w:ascii="Times New Roman" w:hAnsi="Times New Roman" w:eastAsia="宋体" w:cs="Times New Roman"/>
                <w:i w:val="0"/>
                <w:iCs w:val="0"/>
                <w:color w:val="auto"/>
                <w:kern w:val="0"/>
                <w:sz w:val="21"/>
                <w:szCs w:val="21"/>
                <w:highlight w:val="none"/>
                <w:u w:val="none"/>
                <w:lang w:val="en-US" w:eastAsia="zh-CN" w:bidi="ar"/>
              </w:rPr>
              <w:t>采用由上而下的逐阶段开采，边开采边治理的方式。</w:t>
            </w:r>
          </w:p>
        </w:tc>
        <w:tc>
          <w:tcPr>
            <w:tcW w:w="4111" w:type="dxa"/>
            <w:vAlign w:val="center"/>
          </w:tcPr>
          <w:p>
            <w:pPr>
              <w:pStyle w:val="104"/>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基建期对</w:t>
            </w:r>
            <w:r>
              <w:rPr>
                <w:rFonts w:hint="default" w:ascii="Times New Roman" w:hAnsi="Times New Roman" w:eastAsia="宋体" w:cs="Times New Roman"/>
                <w:i w:val="0"/>
                <w:iCs w:val="0"/>
                <w:color w:val="auto"/>
                <w:kern w:val="0"/>
                <w:sz w:val="21"/>
                <w:szCs w:val="21"/>
                <w:highlight w:val="none"/>
                <w:u w:val="none"/>
                <w:lang w:val="en-US" w:eastAsia="zh-CN" w:bidi="ar"/>
              </w:rPr>
              <w:t>矿区</w:t>
            </w:r>
            <w:r>
              <w:rPr>
                <w:rFonts w:hint="eastAsia" w:ascii="Times New Roman" w:hAnsi="Times New Roman" w:eastAsia="宋体" w:cs="Times New Roman"/>
                <w:i w:val="0"/>
                <w:iCs w:val="0"/>
                <w:color w:val="auto"/>
                <w:kern w:val="0"/>
                <w:sz w:val="21"/>
                <w:szCs w:val="21"/>
                <w:highlight w:val="none"/>
                <w:u w:val="none"/>
                <w:lang w:val="en-US" w:eastAsia="zh-CN" w:bidi="ar"/>
              </w:rPr>
              <w:t>原有历史采坑</w:t>
            </w:r>
            <w:r>
              <w:rPr>
                <w:rFonts w:hint="default" w:ascii="Times New Roman" w:hAnsi="Times New Roman" w:eastAsia="宋体" w:cs="Times New Roman"/>
                <w:i w:val="0"/>
                <w:iCs w:val="0"/>
                <w:color w:val="auto"/>
                <w:kern w:val="0"/>
                <w:sz w:val="21"/>
                <w:szCs w:val="21"/>
                <w:highlight w:val="none"/>
                <w:u w:val="none"/>
                <w:lang w:val="en-US" w:eastAsia="zh-CN" w:bidi="ar"/>
              </w:rPr>
              <w:t>生态修复；运营期利用废石对已开采结束</w:t>
            </w:r>
            <w:r>
              <w:rPr>
                <w:rFonts w:hint="eastAsia" w:ascii="Times New Roman" w:hAnsi="Times New Roman" w:eastAsia="宋体" w:cs="Times New Roman"/>
                <w:i w:val="0"/>
                <w:iCs w:val="0"/>
                <w:color w:val="auto"/>
                <w:kern w:val="0"/>
                <w:sz w:val="21"/>
                <w:szCs w:val="21"/>
                <w:highlight w:val="none"/>
                <w:u w:val="none"/>
                <w:lang w:val="en-US" w:eastAsia="zh-CN" w:bidi="ar"/>
              </w:rPr>
              <w:t>采坑</w:t>
            </w:r>
            <w:r>
              <w:rPr>
                <w:rFonts w:hint="default" w:ascii="Times New Roman" w:hAnsi="Times New Roman" w:eastAsia="宋体" w:cs="Times New Roman"/>
                <w:i w:val="0"/>
                <w:iCs w:val="0"/>
                <w:color w:val="auto"/>
                <w:kern w:val="0"/>
                <w:sz w:val="21"/>
                <w:szCs w:val="21"/>
                <w:highlight w:val="none"/>
                <w:u w:val="none"/>
                <w:lang w:val="en-US" w:eastAsia="zh-CN" w:bidi="ar"/>
              </w:rPr>
              <w:t>进行回填，覆土，栽种树木。对硐口工业场地内土地进行平整、然后进行覆土、施肥；</w:t>
            </w:r>
            <w:r>
              <w:rPr>
                <w:rFonts w:hint="default" w:ascii="Times New Roman" w:hAnsi="Times New Roman" w:eastAsia="宋体" w:cs="Times New Roman"/>
                <w:color w:val="auto"/>
                <w:sz w:val="21"/>
                <w:szCs w:val="21"/>
                <w:highlight w:val="none"/>
              </w:rPr>
              <w:t>生态整治专用投资，每年投入的治理费用列入运行费用中</w:t>
            </w:r>
          </w:p>
        </w:tc>
        <w:tc>
          <w:tcPr>
            <w:tcW w:w="1370" w:type="dxa"/>
            <w:vAlign w:val="center"/>
          </w:tcPr>
          <w:p>
            <w:pPr>
              <w:pStyle w:val="104"/>
              <w:jc w:val="center"/>
              <w:rPr>
                <w:rFonts w:hint="default" w:ascii="Times New Roman" w:hAnsi="Times New Roman" w:eastAsia="宋体" w:cs="Times New Roman"/>
                <w:bCs/>
                <w:iCs/>
                <w:color w:val="auto"/>
                <w:sz w:val="21"/>
                <w:szCs w:val="21"/>
                <w:highlight w:val="none"/>
              </w:rPr>
            </w:pPr>
            <w:r>
              <w:rPr>
                <w:rFonts w:hint="default" w:ascii="Times New Roman" w:hAnsi="Times New Roman" w:eastAsia="宋体" w:cs="Times New Roman"/>
                <w:bCs/>
                <w:iCs/>
                <w:color w:val="auto"/>
                <w:sz w:val="21"/>
                <w:szCs w:val="21"/>
                <w:highlight w:val="none"/>
              </w:rPr>
              <w:t>列入年度生产成本</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Merge w:val="continue"/>
            <w:vAlign w:val="center"/>
          </w:tcPr>
          <w:p>
            <w:pPr>
              <w:pStyle w:val="104"/>
              <w:jc w:val="center"/>
              <w:rPr>
                <w:rFonts w:hint="default" w:ascii="Times New Roman" w:hAnsi="Times New Roman" w:eastAsia="宋体" w:cs="Times New Roman"/>
                <w:color w:val="auto"/>
                <w:sz w:val="21"/>
                <w:szCs w:val="21"/>
                <w:highlight w:val="none"/>
              </w:rPr>
            </w:pPr>
          </w:p>
        </w:tc>
        <w:tc>
          <w:tcPr>
            <w:tcW w:w="1628"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环境监测与地表岩移观测等</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购置常规监测设备</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1、设有环境保护管理与监测机构，有专职环保管理人员；2、有完善的环境管理和环境监测工作制度。</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2653" w:type="dxa"/>
            <w:gridSpan w:val="2"/>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地下水污染防范措施</w:t>
            </w:r>
          </w:p>
        </w:tc>
        <w:tc>
          <w:tcPr>
            <w:tcW w:w="5156" w:type="dxa"/>
            <w:vAlign w:val="center"/>
          </w:tcPr>
          <w:p>
            <w:pPr>
              <w:pStyle w:val="10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分区防渗</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矿区及下游设置监测井</w:t>
            </w:r>
          </w:p>
        </w:tc>
        <w:tc>
          <w:tcPr>
            <w:tcW w:w="4111"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防渗措施</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2眼监测井</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排放口</w:t>
            </w:r>
          </w:p>
        </w:tc>
        <w:tc>
          <w:tcPr>
            <w:tcW w:w="1628"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污染物排放口</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规范排放口</w:t>
            </w:r>
          </w:p>
        </w:tc>
        <w:tc>
          <w:tcPr>
            <w:tcW w:w="4111"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环保图形、监测取样</w:t>
            </w:r>
          </w:p>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口、采样平台</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管理</w:t>
            </w:r>
          </w:p>
        </w:tc>
        <w:tc>
          <w:tcPr>
            <w:tcW w:w="1628"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管理文件监测计划</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加强对</w:t>
            </w:r>
            <w:r>
              <w:rPr>
                <w:rFonts w:hint="default" w:ascii="Times New Roman" w:hAnsi="Times New Roman" w:eastAsia="宋体" w:cs="Times New Roman"/>
                <w:color w:val="auto"/>
                <w:sz w:val="21"/>
                <w:szCs w:val="21"/>
                <w:highlight w:val="none"/>
                <w:lang w:val="en-US" w:eastAsia="zh-CN"/>
              </w:rPr>
              <w:t>危废</w:t>
            </w:r>
            <w:r>
              <w:rPr>
                <w:rFonts w:hint="default" w:ascii="Times New Roman" w:hAnsi="Times New Roman" w:eastAsia="宋体" w:cs="Times New Roman"/>
                <w:color w:val="auto"/>
                <w:sz w:val="21"/>
                <w:szCs w:val="21"/>
                <w:highlight w:val="none"/>
              </w:rPr>
              <w:t>的管理</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管理文件，监测计划</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w:t>
            </w:r>
          </w:p>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防范</w:t>
            </w:r>
          </w:p>
        </w:tc>
        <w:tc>
          <w:tcPr>
            <w:tcW w:w="1628"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事故防范措施</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编制企业环境事故应急预案</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事故防范措施的建议、事故管理措施的建议、事故分级相应措施预案</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57" w:type="dxa"/>
            <w:left w:w="57" w:type="dxa"/>
            <w:bottom w:w="57" w:type="dxa"/>
            <w:right w:w="57" w:type="dxa"/>
          </w:tblCellMar>
        </w:tblPrEx>
        <w:trPr>
          <w:trHeight w:val="340" w:hRule="atLeast"/>
          <w:jc w:val="center"/>
        </w:trPr>
        <w:tc>
          <w:tcPr>
            <w:tcW w:w="1025"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tc>
        <w:tc>
          <w:tcPr>
            <w:tcW w:w="1628" w:type="dxa"/>
            <w:vAlign w:val="center"/>
          </w:tcPr>
          <w:p>
            <w:pPr>
              <w:spacing w:line="240" w:lineRule="atLeast"/>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废石</w:t>
            </w:r>
            <w:r>
              <w:rPr>
                <w:rFonts w:hint="default" w:ascii="Times New Roman" w:hAnsi="Times New Roman" w:eastAsia="宋体" w:cs="Times New Roman"/>
                <w:color w:val="auto"/>
                <w:sz w:val="21"/>
                <w:szCs w:val="21"/>
                <w:highlight w:val="none"/>
              </w:rPr>
              <w:t>临时堆场</w:t>
            </w:r>
          </w:p>
        </w:tc>
        <w:tc>
          <w:tcPr>
            <w:tcW w:w="5156"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设置废石临时堆场，面积</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00m</w:t>
            </w:r>
            <w:r>
              <w:rPr>
                <w:rFonts w:hint="default" w:ascii="Times New Roman" w:hAnsi="Times New Roman" w:eastAsia="宋体" w:cs="Times New Roman"/>
                <w:color w:val="auto"/>
                <w:sz w:val="21"/>
                <w:szCs w:val="21"/>
                <w:highlight w:val="none"/>
                <w:vertAlign w:val="superscript"/>
              </w:rPr>
              <w:t>2</w:t>
            </w:r>
          </w:p>
        </w:tc>
        <w:tc>
          <w:tcPr>
            <w:tcW w:w="4111" w:type="dxa"/>
            <w:vAlign w:val="center"/>
          </w:tcPr>
          <w:p>
            <w:pPr>
              <w:pStyle w:val="10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堆场</w:t>
            </w:r>
            <w:r>
              <w:rPr>
                <w:rFonts w:hint="default" w:ascii="Times New Roman" w:hAnsi="Times New Roman" w:eastAsia="宋体" w:cs="Times New Roman"/>
                <w:color w:val="auto"/>
                <w:sz w:val="21"/>
                <w:szCs w:val="21"/>
                <w:highlight w:val="none"/>
              </w:rPr>
              <w:t>设置三面围挡</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地面硬化、防渗等</w:t>
            </w:r>
          </w:p>
        </w:tc>
        <w:tc>
          <w:tcPr>
            <w:tcW w:w="1370" w:type="dxa"/>
            <w:vAlign w:val="center"/>
          </w:tcPr>
          <w:p>
            <w:pPr>
              <w:pStyle w:val="104"/>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三同时</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工程</w:t>
            </w:r>
          </w:p>
        </w:tc>
      </w:tr>
    </w:tbl>
    <w:p>
      <w:pPr>
        <w:ind w:firstLine="480"/>
        <w:rPr>
          <w:rFonts w:hint="default" w:ascii="Times New Roman" w:hAnsi="Times New Roman" w:eastAsia="宋体" w:cs="Times New Roman"/>
          <w:color w:val="auto"/>
          <w:highlight w:val="none"/>
        </w:rPr>
      </w:pPr>
    </w:p>
    <w:p>
      <w:pPr>
        <w:ind w:firstLine="480"/>
        <w:rPr>
          <w:rFonts w:hint="default" w:ascii="Times New Roman" w:hAnsi="Times New Roman" w:eastAsia="宋体" w:cs="Times New Roman"/>
          <w:color w:val="auto"/>
          <w:highlight w:val="none"/>
        </w:rPr>
        <w:sectPr>
          <w:pgSz w:w="16838" w:h="11906" w:orient="landscape"/>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312" w:charSpace="0"/>
        </w:sectPr>
      </w:pPr>
    </w:p>
    <w:bookmarkEnd w:id="694"/>
    <w:bookmarkEnd w:id="695"/>
    <w:bookmarkEnd w:id="696"/>
    <w:bookmarkEnd w:id="697"/>
    <w:bookmarkEnd w:id="698"/>
    <w:bookmarkEnd w:id="699"/>
    <w:bookmarkEnd w:id="700"/>
    <w:bookmarkEnd w:id="701"/>
    <w:bookmarkEnd w:id="702"/>
    <w:bookmarkEnd w:id="703"/>
    <w:p>
      <w:pPr>
        <w:pStyle w:val="4"/>
        <w:bidi w:val="0"/>
        <w:ind w:left="0" w:leftChars="0" w:firstLineChars="0"/>
        <w:rPr>
          <w:rFonts w:hint="default"/>
          <w:color w:val="auto"/>
          <w:highlight w:val="none"/>
        </w:rPr>
      </w:pPr>
      <w:bookmarkStart w:id="723" w:name="_Toc340754640"/>
      <w:bookmarkStart w:id="724" w:name="_Toc377022606"/>
      <w:bookmarkStart w:id="725" w:name="_Toc395187062"/>
      <w:bookmarkStart w:id="726" w:name="_Toc368298874"/>
      <w:bookmarkStart w:id="727" w:name="_Toc215741977"/>
      <w:bookmarkStart w:id="728" w:name="_Toc347317962"/>
      <w:bookmarkStart w:id="729" w:name="_Toc15376221"/>
      <w:bookmarkStart w:id="730" w:name="_Toc450827177"/>
      <w:bookmarkStart w:id="731" w:name="_Toc515537874"/>
      <w:bookmarkStart w:id="732" w:name="_Toc368298966"/>
      <w:bookmarkStart w:id="733" w:name="_Toc369000291"/>
      <w:bookmarkStart w:id="734" w:name="_Toc343774052"/>
      <w:bookmarkStart w:id="735" w:name="_Toc2190"/>
      <w:r>
        <w:rPr>
          <w:rFonts w:hint="default"/>
          <w:color w:val="auto"/>
          <w:highlight w:val="none"/>
        </w:rPr>
        <w:t>污染物总量控制</w:t>
      </w:r>
      <w:bookmarkEnd w:id="723"/>
      <w:bookmarkEnd w:id="724"/>
      <w:bookmarkEnd w:id="725"/>
      <w:bookmarkEnd w:id="726"/>
      <w:bookmarkEnd w:id="727"/>
      <w:bookmarkEnd w:id="728"/>
      <w:bookmarkEnd w:id="729"/>
      <w:bookmarkEnd w:id="730"/>
      <w:bookmarkEnd w:id="731"/>
      <w:bookmarkEnd w:id="732"/>
      <w:bookmarkEnd w:id="733"/>
      <w:bookmarkEnd w:id="734"/>
      <w:bookmarkEnd w:id="735"/>
    </w:p>
    <w:p>
      <w:pPr>
        <w:pStyle w:val="5"/>
        <w:bidi w:val="0"/>
        <w:rPr>
          <w:rFonts w:hint="default"/>
          <w:color w:val="auto"/>
          <w:highlight w:val="none"/>
        </w:rPr>
      </w:pPr>
      <w:bookmarkStart w:id="736" w:name="_Toc377022607"/>
      <w:bookmarkStart w:id="737" w:name="_Toc343774053"/>
      <w:bookmarkStart w:id="738" w:name="_Toc368298967"/>
      <w:bookmarkStart w:id="739" w:name="_Toc368298875"/>
      <w:bookmarkStart w:id="740" w:name="_Toc395187063"/>
      <w:bookmarkStart w:id="741" w:name="_Toc369000292"/>
      <w:bookmarkStart w:id="742" w:name="_Toc340754641"/>
      <w:bookmarkStart w:id="743" w:name="_Toc347317963"/>
      <w:bookmarkStart w:id="744" w:name="_Toc515537875"/>
      <w:bookmarkStart w:id="745" w:name="_Toc15376222"/>
      <w:bookmarkStart w:id="746" w:name="_Toc450827178"/>
      <w:r>
        <w:rPr>
          <w:rFonts w:hint="default"/>
          <w:color w:val="auto"/>
          <w:highlight w:val="none"/>
        </w:rPr>
        <w:t>总量控制</w:t>
      </w:r>
      <w:bookmarkEnd w:id="736"/>
      <w:bookmarkEnd w:id="737"/>
      <w:bookmarkEnd w:id="738"/>
      <w:bookmarkEnd w:id="739"/>
      <w:bookmarkEnd w:id="740"/>
      <w:bookmarkEnd w:id="741"/>
      <w:bookmarkEnd w:id="742"/>
      <w:bookmarkEnd w:id="743"/>
      <w:r>
        <w:rPr>
          <w:rFonts w:hint="default"/>
          <w:color w:val="auto"/>
          <w:highlight w:val="none"/>
        </w:rPr>
        <w:t>因子</w:t>
      </w:r>
      <w:bookmarkEnd w:id="744"/>
      <w:bookmarkEnd w:id="745"/>
      <w:bookmarkEnd w:id="746"/>
    </w:p>
    <w:p>
      <w:pPr>
        <w:pStyle w:val="62"/>
        <w:spacing w:line="360" w:lineRule="auto"/>
        <w:ind w:firstLine="480"/>
        <w:rPr>
          <w:rFonts w:hint="default" w:ascii="Times New Roman" w:hAnsi="Times New Roman" w:eastAsia="宋体" w:cs="Times New Roman"/>
          <w:bCs/>
          <w:color w:val="auto"/>
          <w:highlight w:val="none"/>
          <w:lang w:val="en-US" w:eastAsia="zh-CN"/>
        </w:rPr>
      </w:pPr>
      <w:r>
        <w:rPr>
          <w:rFonts w:hint="default" w:ascii="Times New Roman" w:hAnsi="Times New Roman" w:eastAsia="宋体" w:cs="Times New Roman"/>
          <w:bCs/>
          <w:color w:val="auto"/>
          <w:highlight w:val="none"/>
        </w:rPr>
        <w:t>根据</w:t>
      </w:r>
      <w:r>
        <w:rPr>
          <w:rFonts w:hint="default" w:ascii="Times New Roman" w:hAnsi="Times New Roman" w:eastAsia="宋体" w:cs="Times New Roman"/>
          <w:bCs/>
          <w:color w:val="auto"/>
          <w:highlight w:val="none"/>
          <w:lang w:val="en-US" w:eastAsia="zh-CN"/>
        </w:rPr>
        <w:t>国家环境保护部关于印发《建设项目主要污染物排放总量指标审核及管理暂存办法》的通知（环发[2014]197号），和辽宁省环保厅关于《贯彻执行环保部建设项目主要污染物排放总量指标审核及管理暂存办法》的通知（辽环发[2015]17号）的规定，提出</w:t>
      </w:r>
      <w:r>
        <w:rPr>
          <w:rFonts w:hint="eastAsia" w:ascii="Times New Roman" w:hAnsi="Times New Roman" w:cs="Times New Roman"/>
          <w:bCs/>
          <w:color w:val="auto"/>
          <w:highlight w:val="none"/>
          <w:lang w:val="en-US" w:eastAsia="zh-CN"/>
        </w:rPr>
        <w:t>“</w:t>
      </w:r>
      <w:r>
        <w:rPr>
          <w:rFonts w:hint="default" w:ascii="Times New Roman" w:hAnsi="Times New Roman" w:eastAsia="宋体" w:cs="Times New Roman"/>
          <w:bCs/>
          <w:color w:val="auto"/>
          <w:highlight w:val="none"/>
          <w:lang w:val="en-US" w:eastAsia="zh-CN"/>
        </w:rPr>
        <w:t>主要污染物是国家实施排放总量控制的污染物</w:t>
      </w:r>
      <w:r>
        <w:rPr>
          <w:rFonts w:hint="eastAsia" w:ascii="Times New Roman" w:hAnsi="Times New Roman" w:cs="Times New Roman"/>
          <w:bCs/>
          <w:color w:val="auto"/>
          <w:highlight w:val="none"/>
          <w:lang w:val="en-US" w:eastAsia="zh-CN"/>
        </w:rPr>
        <w:t>”</w:t>
      </w:r>
      <w:r>
        <w:rPr>
          <w:rFonts w:hint="default" w:ascii="Times New Roman" w:hAnsi="Times New Roman" w:eastAsia="宋体" w:cs="Times New Roman"/>
          <w:bCs/>
          <w:color w:val="auto"/>
          <w:highlight w:val="none"/>
          <w:lang w:val="en-US" w:eastAsia="zh-CN"/>
        </w:rPr>
        <w:t>，</w:t>
      </w:r>
      <w:r>
        <w:rPr>
          <w:rFonts w:hint="eastAsia" w:ascii="Times New Roman" w:hAnsi="Times New Roman" w:cs="Times New Roman"/>
          <w:bCs/>
          <w:color w:val="auto"/>
          <w:highlight w:val="none"/>
          <w:lang w:val="en-US" w:eastAsia="zh-CN"/>
        </w:rPr>
        <w:t>“</w:t>
      </w:r>
      <w:r>
        <w:rPr>
          <w:rFonts w:hint="default" w:ascii="Times New Roman" w:hAnsi="Times New Roman" w:eastAsia="宋体" w:cs="Times New Roman"/>
          <w:bCs/>
          <w:color w:val="auto"/>
          <w:highlight w:val="none"/>
          <w:lang w:val="en-US" w:eastAsia="zh-CN"/>
        </w:rPr>
        <w:t>以</w:t>
      </w:r>
      <w:r>
        <w:rPr>
          <w:rFonts w:hint="default" w:ascii="Times New Roman" w:hAnsi="Times New Roman" w:eastAsia="宋体" w:cs="Times New Roman"/>
          <w:color w:val="auto"/>
          <w:highlight w:val="none"/>
        </w:rPr>
        <w:t>化学需氧量、氨氮、二氧化硫、氮氧化物</w:t>
      </w:r>
      <w:r>
        <w:rPr>
          <w:rFonts w:hint="default" w:ascii="Times New Roman" w:hAnsi="Times New Roman" w:eastAsia="宋体" w:cs="Times New Roman"/>
          <w:color w:val="auto"/>
          <w:highlight w:val="none"/>
          <w:lang w:val="en-US" w:eastAsia="zh-CN"/>
        </w:rPr>
        <w:t>为重点，进一步加强建设项目主要污染物排放总量指标的审核和管理，严格新增排放量</w:t>
      </w:r>
      <w:r>
        <w:rPr>
          <w:rFonts w:hint="eastAsia" w:ascii="Times New Roman" w:hAnsi="Times New Roman" w:cs="Times New Roman"/>
          <w:bCs/>
          <w:color w:val="auto"/>
          <w:highlight w:val="none"/>
          <w:lang w:val="en-US" w:eastAsia="zh-CN"/>
        </w:rPr>
        <w:t>”</w:t>
      </w:r>
      <w:r>
        <w:rPr>
          <w:rFonts w:hint="default" w:ascii="Times New Roman" w:hAnsi="Times New Roman" w:eastAsia="宋体" w:cs="Times New Roman"/>
          <w:bCs/>
          <w:color w:val="auto"/>
          <w:highlight w:val="none"/>
          <w:lang w:val="en-US" w:eastAsia="zh-CN"/>
        </w:rPr>
        <w:t>。</w:t>
      </w:r>
    </w:p>
    <w:p>
      <w:pPr>
        <w:pStyle w:val="5"/>
        <w:bidi w:val="0"/>
        <w:rPr>
          <w:rFonts w:hint="default"/>
          <w:color w:val="auto"/>
          <w:highlight w:val="none"/>
        </w:rPr>
      </w:pPr>
      <w:bookmarkStart w:id="747" w:name="_Toc515537876"/>
      <w:bookmarkStart w:id="748" w:name="_Toc450827179"/>
      <w:bookmarkStart w:id="749" w:name="_Toc15376223"/>
      <w:r>
        <w:rPr>
          <w:rFonts w:hint="default"/>
          <w:color w:val="auto"/>
          <w:highlight w:val="none"/>
        </w:rPr>
        <w:t>总量控制措施</w:t>
      </w:r>
      <w:bookmarkEnd w:id="747"/>
      <w:bookmarkEnd w:id="748"/>
      <w:bookmarkEnd w:id="749"/>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污染物达标排放分析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本项目采暖采用电采暖，不新建锅炉，无锅炉大气污染物SO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和NOx产生。</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本项目井下涌水经沉淀处理后全部回用于井下生产、运输道路洒水降尘用水及绿化用水等；生活污水排至旱厕定期清掏，不外排。即本项目生产、生活废水100%资源化利用，实现了零排放。</w:t>
      </w:r>
    </w:p>
    <w:p>
      <w:pPr>
        <w:ind w:firstLine="4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w:t>
      </w:r>
      <w:r>
        <w:rPr>
          <w:rFonts w:hint="eastAsia" w:cs="Times New Roman"/>
          <w:color w:val="auto"/>
          <w:highlight w:val="none"/>
          <w:lang w:val="en-US" w:eastAsia="zh-CN"/>
        </w:rPr>
        <w:t>地下开采</w:t>
      </w:r>
      <w:r>
        <w:rPr>
          <w:rFonts w:hint="default" w:ascii="Times New Roman" w:hAnsi="Times New Roman" w:eastAsia="宋体" w:cs="Times New Roman"/>
          <w:color w:val="auto"/>
          <w:highlight w:val="none"/>
          <w:lang w:val="en-US" w:eastAsia="zh-CN"/>
        </w:rPr>
        <w:t>废石直接回填井下采空区，不外排</w:t>
      </w:r>
      <w:r>
        <w:rPr>
          <w:rFonts w:hint="eastAsia" w:cs="Times New Roman"/>
          <w:color w:val="auto"/>
          <w:highlight w:val="none"/>
          <w:lang w:val="en-US" w:eastAsia="zh-CN"/>
        </w:rPr>
        <w:t>，露天开采废石外卖综合处理</w:t>
      </w:r>
      <w:r>
        <w:rPr>
          <w:rFonts w:hint="default" w:ascii="Times New Roman" w:hAnsi="Times New Roman" w:eastAsia="宋体" w:cs="Times New Roman"/>
          <w:color w:val="auto"/>
          <w:highlight w:val="none"/>
          <w:lang w:val="en-US" w:eastAsia="zh-CN"/>
        </w:rPr>
        <w:t>。</w:t>
      </w:r>
    </w:p>
    <w:p>
      <w:pPr>
        <w:bidi w:val="0"/>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环境质量达标分析</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本报告书对本项目污染物排放影响的环境质量变化情况进行了预测，本项目粉尘等污染物对周围环境空气质量影响</w:t>
      </w:r>
      <w:r>
        <w:rPr>
          <w:rFonts w:hint="eastAsia" w:cs="Times New Roman"/>
          <w:color w:val="auto"/>
          <w:highlight w:val="none"/>
          <w:lang w:val="en-US" w:eastAsia="zh-CN"/>
        </w:rPr>
        <w:t>较</w:t>
      </w:r>
      <w:r>
        <w:rPr>
          <w:rFonts w:hint="default" w:ascii="Times New Roman" w:hAnsi="Times New Roman" w:eastAsia="宋体" w:cs="Times New Roman"/>
          <w:color w:val="auto"/>
          <w:highlight w:val="none"/>
          <w:lang w:val="en-US" w:eastAsia="zh-CN"/>
        </w:rPr>
        <w:t>小；本项目废水全部进行了资源化利用，不会对周边水体水质造成影响。</w:t>
      </w:r>
    </w:p>
    <w:p>
      <w:pPr>
        <w:pStyle w:val="5"/>
        <w:bidi w:val="0"/>
        <w:rPr>
          <w:rFonts w:hint="default"/>
          <w:color w:val="auto"/>
          <w:highlight w:val="none"/>
        </w:rPr>
      </w:pPr>
      <w:bookmarkStart w:id="750" w:name="_Toc15376224"/>
      <w:bookmarkStart w:id="751" w:name="_Toc450827180"/>
      <w:bookmarkStart w:id="752" w:name="_Toc515537877"/>
      <w:r>
        <w:rPr>
          <w:rFonts w:hint="default"/>
          <w:color w:val="auto"/>
          <w:highlight w:val="none"/>
        </w:rPr>
        <w:t>总量指标确认</w:t>
      </w:r>
      <w:bookmarkEnd w:id="750"/>
      <w:bookmarkEnd w:id="751"/>
      <w:bookmarkEnd w:id="752"/>
    </w:p>
    <w:p>
      <w:pPr>
        <w:pStyle w:val="62"/>
        <w:spacing w:before="156" w:after="156"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4"/>
          <w:highlight w:val="none"/>
        </w:rPr>
        <w:t>在采取了设计和评价提出的完善的污染防治措施的基础上，评价最终核定的本项目污染物排放总量为</w:t>
      </w:r>
      <w:r>
        <w:rPr>
          <w:rFonts w:hint="default" w:ascii="Times New Roman" w:hAnsi="Times New Roman" w:eastAsia="宋体" w:cs="Times New Roman"/>
          <w:color w:val="auto"/>
          <w:highlight w:val="none"/>
        </w:rPr>
        <w:t>：大气污染物二氧化硫</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氮氧化物</w:t>
      </w:r>
      <w:r>
        <w:rPr>
          <w:rFonts w:hint="default" w:ascii="Times New Roman" w:hAnsi="Times New Roman" w:eastAsia="宋体" w:cs="Times New Roman"/>
          <w:color w:val="auto"/>
          <w:highlight w:val="none"/>
          <w:lang w:val="en-US" w:eastAsia="zh-CN"/>
        </w:rPr>
        <w:t>排放量为零；水污染物：</w:t>
      </w:r>
      <w:r>
        <w:rPr>
          <w:rFonts w:hint="default" w:ascii="Times New Roman" w:hAnsi="Times New Roman" w:eastAsia="宋体" w:cs="Times New Roman"/>
          <w:color w:val="auto"/>
          <w:highlight w:val="none"/>
        </w:rPr>
        <w:t>化学需氧量、氨氮</w:t>
      </w:r>
      <w:r>
        <w:rPr>
          <w:rFonts w:hint="default" w:ascii="Times New Roman" w:hAnsi="Times New Roman" w:eastAsia="宋体" w:cs="Times New Roman"/>
          <w:color w:val="auto"/>
          <w:highlight w:val="none"/>
          <w:lang w:val="en-US" w:eastAsia="zh-CN"/>
        </w:rPr>
        <w:t>排放量为零</w:t>
      </w:r>
      <w:r>
        <w:rPr>
          <w:rFonts w:hint="default" w:ascii="Times New Roman" w:hAnsi="Times New Roman" w:eastAsia="宋体" w:cs="Times New Roman"/>
          <w:color w:val="auto"/>
          <w:highlight w:val="none"/>
        </w:rPr>
        <w:t>。</w:t>
      </w:r>
    </w:p>
    <w:p>
      <w:pPr>
        <w:pStyle w:val="3"/>
        <w:bidi w:val="0"/>
        <w:rPr>
          <w:rFonts w:hint="default"/>
          <w:color w:val="auto"/>
          <w:highlight w:val="none"/>
        </w:rPr>
      </w:pPr>
      <w:bookmarkStart w:id="753" w:name="_Toc13855"/>
      <w:bookmarkStart w:id="754" w:name="_Toc15376225"/>
      <w:bookmarkStart w:id="755" w:name="_Toc368298877"/>
      <w:bookmarkStart w:id="756" w:name="_Toc515537883"/>
      <w:bookmarkStart w:id="757" w:name="_Toc377022609"/>
      <w:bookmarkStart w:id="758" w:name="_Toc369000294"/>
      <w:bookmarkStart w:id="759" w:name="_Toc319511363"/>
      <w:bookmarkStart w:id="760" w:name="_Toc305953290"/>
      <w:bookmarkStart w:id="761" w:name="_Toc316410452"/>
      <w:bookmarkStart w:id="762" w:name="_Toc368298969"/>
      <w:bookmarkStart w:id="763" w:name="_Toc213732057"/>
      <w:bookmarkStart w:id="764" w:name="_Toc395187065"/>
      <w:bookmarkStart w:id="765" w:name="_Toc450827192"/>
      <w:r>
        <w:rPr>
          <w:rFonts w:hint="default"/>
          <w:color w:val="auto"/>
          <w:highlight w:val="none"/>
        </w:rPr>
        <w:t>政策规划相符性分析</w:t>
      </w:r>
      <w:bookmarkEnd w:id="753"/>
      <w:bookmarkEnd w:id="754"/>
    </w:p>
    <w:p>
      <w:pPr>
        <w:pStyle w:val="4"/>
        <w:bidi w:val="0"/>
        <w:ind w:left="0" w:leftChars="0" w:firstLineChars="0"/>
        <w:rPr>
          <w:rFonts w:hint="default"/>
          <w:color w:val="auto"/>
          <w:highlight w:val="none"/>
        </w:rPr>
      </w:pPr>
      <w:bookmarkStart w:id="766" w:name="_Toc15376226"/>
      <w:bookmarkStart w:id="767" w:name="_Toc515537879"/>
      <w:bookmarkStart w:id="768" w:name="_Toc445969179"/>
      <w:bookmarkStart w:id="769" w:name="_Toc802"/>
      <w:bookmarkStart w:id="770" w:name="_Toc456603858"/>
      <w:r>
        <w:rPr>
          <w:rFonts w:hint="default"/>
          <w:color w:val="auto"/>
          <w:highlight w:val="none"/>
        </w:rPr>
        <w:t>产业政策符合性分析</w:t>
      </w:r>
      <w:bookmarkEnd w:id="766"/>
      <w:bookmarkEnd w:id="767"/>
      <w:bookmarkEnd w:id="768"/>
      <w:bookmarkEnd w:id="769"/>
      <w:bookmarkEnd w:id="770"/>
    </w:p>
    <w:p>
      <w:pPr>
        <w:pStyle w:val="5"/>
        <w:bidi w:val="0"/>
        <w:rPr>
          <w:rFonts w:hint="default"/>
          <w:color w:val="auto"/>
          <w:highlight w:val="none"/>
        </w:rPr>
      </w:pPr>
      <w:bookmarkStart w:id="771" w:name="_Toc445969180"/>
      <w:r>
        <w:rPr>
          <w:rFonts w:hint="default"/>
          <w:color w:val="auto"/>
          <w:highlight w:val="none"/>
        </w:rPr>
        <w:t>《产业结构调整指导目录》符合性分析</w:t>
      </w:r>
      <w:bookmarkEnd w:id="771"/>
    </w:p>
    <w:p>
      <w:pPr>
        <w:ind w:left="120" w:leftChars="5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本项目不属于国家《产业结构调整指导目录(201</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年本)》中所列的鼓励类和限制类项目，采用的生产艺、设备和生产的产品不在该目录中所列的落后工艺、装备和产品之列，且符合国家相关法律、法规规定。</w:t>
      </w:r>
    </w:p>
    <w:p>
      <w:pPr>
        <w:ind w:left="120" w:leftChars="50"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根据国发[2005]40号国务院关于发布实施的《促进产业结构调整暂行规定》关于</w:t>
      </w:r>
      <w:r>
        <w:rPr>
          <w:rFonts w:hint="eastAsia" w:cs="Times New Roman"/>
          <w:color w:val="auto"/>
          <w:highlight w:val="none"/>
          <w:lang w:eastAsia="zh-CN"/>
        </w:rPr>
        <w:t>“</w:t>
      </w:r>
      <w:r>
        <w:rPr>
          <w:rFonts w:hint="default" w:ascii="Times New Roman" w:hAnsi="Times New Roman" w:eastAsia="宋体" w:cs="Times New Roman"/>
          <w:color w:val="auto"/>
          <w:highlight w:val="none"/>
        </w:rPr>
        <w:t>不属于鼓励类、限制类和淘汰类，且符合国家有关法律、法规和政策规定的，为允许类</w:t>
      </w:r>
      <w:r>
        <w:rPr>
          <w:rFonts w:hint="eastAsia" w:cs="Times New Roman"/>
          <w:color w:val="auto"/>
          <w:highlight w:val="none"/>
          <w:lang w:eastAsia="zh-CN"/>
        </w:rPr>
        <w:t>”</w:t>
      </w:r>
      <w:r>
        <w:rPr>
          <w:rFonts w:hint="default" w:ascii="Times New Roman" w:hAnsi="Times New Roman" w:eastAsia="宋体" w:cs="Times New Roman"/>
          <w:color w:val="auto"/>
          <w:highlight w:val="none"/>
        </w:rPr>
        <w:t>的原则，本工程属于允许类。</w:t>
      </w:r>
    </w:p>
    <w:p>
      <w:pPr>
        <w:pStyle w:val="5"/>
        <w:bidi w:val="0"/>
        <w:rPr>
          <w:rFonts w:hint="default"/>
          <w:color w:val="auto"/>
          <w:highlight w:val="none"/>
        </w:rPr>
      </w:pPr>
      <w:bookmarkStart w:id="772" w:name="_Toc445969182"/>
      <w:r>
        <w:rPr>
          <w:rFonts w:hint="default"/>
          <w:color w:val="auto"/>
          <w:highlight w:val="none"/>
        </w:rPr>
        <w:t>《矿山生态环境保护与污染防治技术政策》符合性分析</w:t>
      </w:r>
      <w:bookmarkEnd w:id="772"/>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根据《矿山生态环境保护与污染防治技术政策》（环发[2005]109号）中关于</w:t>
      </w:r>
      <w:r>
        <w:rPr>
          <w:rFonts w:hint="default" w:ascii="Times New Roman" w:hAnsi="Times New Roman" w:eastAsia="宋体" w:cs="Times New Roman"/>
          <w:color w:val="auto"/>
          <w:highlight w:val="none"/>
          <w:lang w:eastAsia="zh-CN"/>
        </w:rPr>
        <w:t>矿石开采</w:t>
      </w:r>
      <w:r>
        <w:rPr>
          <w:rFonts w:hint="default" w:ascii="Times New Roman" w:hAnsi="Times New Roman" w:eastAsia="宋体" w:cs="Times New Roman"/>
          <w:color w:val="auto"/>
          <w:highlight w:val="none"/>
        </w:rPr>
        <w:t>的要求：</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eastAsia="zh-CN"/>
        </w:rPr>
        <w:t>10.1</w:t>
      </w:r>
      <w:r>
        <w:rPr>
          <w:rFonts w:hint="default" w:ascii="Times New Roman" w:hAnsi="Times New Roman" w:eastAsia="宋体" w:cs="Times New Roman"/>
          <w:b/>
          <w:color w:val="auto"/>
          <w:sz w:val="21"/>
          <w:szCs w:val="21"/>
          <w:highlight w:val="none"/>
        </w:rPr>
        <w:t>-1满足</w:t>
      </w:r>
      <w:r>
        <w:rPr>
          <w:rFonts w:hint="eastAsia"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rPr>
        <w:t>矿山生态环境保护与污染防治技术政策</w:t>
      </w:r>
      <w:r>
        <w:rPr>
          <w:rFonts w:hint="eastAsia" w:cs="Times New Roman"/>
          <w:b/>
          <w:color w:val="auto"/>
          <w:sz w:val="21"/>
          <w:szCs w:val="21"/>
          <w:highlight w:val="none"/>
          <w:lang w:eastAsia="zh-CN"/>
        </w:rPr>
        <w:t>”</w:t>
      </w:r>
      <w:r>
        <w:rPr>
          <w:rFonts w:hint="default" w:ascii="Times New Roman" w:hAnsi="Times New Roman" w:eastAsia="宋体" w:cs="Times New Roman"/>
          <w:b/>
          <w:color w:val="auto"/>
          <w:sz w:val="21"/>
          <w:szCs w:val="21"/>
          <w:highlight w:val="none"/>
        </w:rPr>
        <w:t>情况表</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4"/>
        <w:gridCol w:w="4402"/>
        <w:gridCol w:w="3469"/>
        <w:gridCol w:w="7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p>
        </w:tc>
        <w:tc>
          <w:tcPr>
            <w:tcW w:w="440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矿山生态环境保护与污染防治技术政策</w:t>
            </w:r>
          </w:p>
        </w:tc>
        <w:tc>
          <w:tcPr>
            <w:tcW w:w="346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本项目情况</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选址</w:t>
            </w:r>
          </w:p>
        </w:tc>
        <w:tc>
          <w:tcPr>
            <w:tcW w:w="4402"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禁止在依法划定的自然保护区（核心区、缓冲区）、风景名胜区、森林公园、饮用水水源保护区、重要湖泊周边、文物古迹所在地、地质遗迹保护区、基本农田保护区等区域内采矿。</w:t>
            </w:r>
          </w:p>
        </w:tc>
        <w:tc>
          <w:tcPr>
            <w:tcW w:w="346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项目选址不在上述各类保护区之内</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continue"/>
            <w:vAlign w:val="center"/>
          </w:tcPr>
          <w:p>
            <w:pPr>
              <w:pStyle w:val="104"/>
              <w:jc w:val="center"/>
              <w:rPr>
                <w:rFonts w:hint="default" w:ascii="Times New Roman" w:hAnsi="Times New Roman" w:eastAsia="宋体" w:cs="Times New Roman"/>
                <w:color w:val="auto"/>
                <w:highlight w:val="none"/>
              </w:rPr>
            </w:pPr>
          </w:p>
        </w:tc>
        <w:tc>
          <w:tcPr>
            <w:tcW w:w="4402" w:type="dxa"/>
            <w:vAlign w:val="center"/>
          </w:tcPr>
          <w:p>
            <w:pPr>
              <w:pStyle w:val="104"/>
              <w:jc w:val="left"/>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w:t>
            </w:r>
            <w:r>
              <w:rPr>
                <w:rFonts w:hint="default" w:ascii="Times New Roman" w:hAnsi="Times New Roman" w:eastAsia="宋体" w:cs="Times New Roman"/>
                <w:color w:val="auto"/>
                <w:highlight w:val="none"/>
              </w:rPr>
              <w:t>对采矿活动所产生的固体废物，应使用专用场所堆放，并采取有效措施防止二次环境污染及诱发次生地质灾害</w:t>
            </w:r>
            <w:r>
              <w:rPr>
                <w:rFonts w:hint="eastAsia" w:cs="Times New Roman"/>
                <w:color w:val="auto"/>
                <w:highlight w:val="none"/>
                <w:lang w:eastAsia="zh-CN"/>
              </w:rPr>
              <w:t>”</w:t>
            </w:r>
          </w:p>
          <w:p>
            <w:pPr>
              <w:pStyle w:val="104"/>
              <w:jc w:val="left"/>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w:t>
            </w:r>
            <w:r>
              <w:rPr>
                <w:rFonts w:hint="default" w:ascii="Times New Roman" w:hAnsi="Times New Roman" w:eastAsia="宋体" w:cs="Times New Roman"/>
                <w:color w:val="auto"/>
                <w:highlight w:val="none"/>
              </w:rPr>
              <w:t>应根据采矿固体废物的性质、贮存场所的工程地质情况，采用完善的防渗、集排水措施，防止淋溶水污染地表水和地下水</w:t>
            </w:r>
            <w:r>
              <w:rPr>
                <w:rFonts w:hint="eastAsia" w:cs="Times New Roman"/>
                <w:color w:val="auto"/>
                <w:highlight w:val="none"/>
                <w:lang w:eastAsia="zh-CN"/>
              </w:rPr>
              <w:t>”</w:t>
            </w:r>
          </w:p>
        </w:tc>
        <w:tc>
          <w:tcPr>
            <w:tcW w:w="3469"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产生的废石堆放于</w:t>
            </w:r>
            <w:r>
              <w:rPr>
                <w:rFonts w:hint="eastAsia" w:cs="Times New Roman"/>
                <w:color w:val="auto"/>
                <w:highlight w:val="none"/>
                <w:lang w:val="en-US" w:eastAsia="zh-CN"/>
              </w:rPr>
              <w:t>排岩场</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开采结束后</w:t>
            </w:r>
            <w:r>
              <w:rPr>
                <w:rFonts w:hint="default" w:ascii="Times New Roman" w:hAnsi="Times New Roman" w:eastAsia="宋体" w:cs="Times New Roman"/>
                <w:color w:val="auto"/>
                <w:kern w:val="0"/>
                <w:highlight w:val="none"/>
              </w:rPr>
              <w:t>回填井下采空区</w:t>
            </w:r>
            <w:r>
              <w:rPr>
                <w:rFonts w:hint="default" w:ascii="Times New Roman" w:hAnsi="Times New Roman" w:eastAsia="宋体" w:cs="Times New Roman"/>
                <w:color w:val="auto"/>
                <w:kern w:val="0"/>
                <w:highlight w:val="none"/>
                <w:lang w:eastAsia="zh-CN"/>
              </w:rPr>
              <w:t>，</w:t>
            </w:r>
            <w:r>
              <w:rPr>
                <w:rFonts w:hint="default" w:ascii="Times New Roman" w:hAnsi="Times New Roman" w:eastAsia="宋体" w:cs="Times New Roman"/>
                <w:color w:val="auto"/>
                <w:kern w:val="0"/>
                <w:highlight w:val="none"/>
                <w:lang w:val="en-US" w:eastAsia="zh-CN"/>
              </w:rPr>
              <w:t>综合利用不外排</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采矿</w:t>
            </w:r>
          </w:p>
        </w:tc>
        <w:tc>
          <w:tcPr>
            <w:tcW w:w="4402"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历史遗留矿山开采破坏土地复垦率达到45%以上，新建矿山应做到边开采、边复垦，破坏土地复垦率达到85%以上</w:t>
            </w:r>
          </w:p>
        </w:tc>
        <w:tc>
          <w:tcPr>
            <w:tcW w:w="3469"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为扩建，对原有</w:t>
            </w:r>
            <w:r>
              <w:rPr>
                <w:rFonts w:hint="default" w:ascii="Times New Roman" w:hAnsi="Times New Roman" w:eastAsia="宋体" w:cs="Times New Roman"/>
                <w:color w:val="auto"/>
                <w:highlight w:val="none"/>
              </w:rPr>
              <w:t>历史遗留</w:t>
            </w:r>
            <w:r>
              <w:rPr>
                <w:rFonts w:hint="eastAsia" w:cs="Times New Roman"/>
                <w:color w:val="auto"/>
                <w:highlight w:val="none"/>
                <w:lang w:val="en-US" w:eastAsia="zh-CN"/>
              </w:rPr>
              <w:t>采坑进行复垦，</w:t>
            </w:r>
            <w:r>
              <w:rPr>
                <w:rFonts w:hint="default" w:ascii="Times New Roman" w:hAnsi="Times New Roman" w:eastAsia="宋体" w:cs="Times New Roman"/>
                <w:color w:val="auto"/>
                <w:highlight w:val="none"/>
              </w:rPr>
              <w:t>土地</w:t>
            </w:r>
            <w:r>
              <w:rPr>
                <w:rFonts w:hint="eastAsia" w:cs="Times New Roman"/>
                <w:color w:val="auto"/>
                <w:highlight w:val="none"/>
                <w:lang w:eastAsia="zh-CN"/>
              </w:rPr>
              <w:t>复垦率82.55%（</w:t>
            </w:r>
            <w:r>
              <w:rPr>
                <w:rFonts w:hint="eastAsia" w:cs="Times New Roman"/>
                <w:color w:val="auto"/>
                <w:sz w:val="21"/>
                <w:szCs w:val="21"/>
                <w:highlight w:val="none"/>
                <w:lang w:eastAsia="zh-CN"/>
              </w:rPr>
              <w:t>因露天采坑边坡3.0437hm²为坡度较大，无法满足植物生长的立地条件，仅靠平台种植乔木、对边坡进行遮挡式绿化，不在可绿化面积内，</w:t>
            </w:r>
            <w:r>
              <w:rPr>
                <w:rFonts w:hint="eastAsia" w:cs="Times New Roman"/>
                <w:color w:val="auto"/>
                <w:sz w:val="21"/>
                <w:szCs w:val="21"/>
                <w:highlight w:val="none"/>
                <w:lang w:val="en-US" w:eastAsia="zh-CN"/>
              </w:rPr>
              <w:t>不计入复垦面积</w:t>
            </w:r>
            <w:r>
              <w:rPr>
                <w:rFonts w:hint="eastAsia" w:cs="Times New Roman"/>
                <w:color w:val="auto"/>
                <w:highlight w:val="none"/>
                <w:lang w:eastAsia="zh-CN"/>
              </w:rPr>
              <w:t>）</w:t>
            </w:r>
            <w:r>
              <w:rPr>
                <w:rFonts w:hint="default" w:ascii="Times New Roman" w:hAnsi="Times New Roman" w:eastAsia="宋体" w:cs="Times New Roman"/>
                <w:color w:val="auto"/>
                <w:highlight w:val="none"/>
              </w:rPr>
              <w:t>，满足要求</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continue"/>
            <w:vAlign w:val="center"/>
          </w:tcPr>
          <w:p>
            <w:pPr>
              <w:pStyle w:val="104"/>
              <w:jc w:val="center"/>
              <w:rPr>
                <w:rFonts w:hint="default" w:ascii="Times New Roman" w:hAnsi="Times New Roman" w:eastAsia="宋体" w:cs="Times New Roman"/>
                <w:color w:val="auto"/>
                <w:highlight w:val="none"/>
              </w:rPr>
            </w:pPr>
          </w:p>
        </w:tc>
        <w:tc>
          <w:tcPr>
            <w:tcW w:w="4402"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宜采取修筑排水沟、引流渠，预先截堵水，防渗漏处理等措施，防止或减少各种水源进入露天采场和地下井巷</w:t>
            </w:r>
          </w:p>
        </w:tc>
        <w:tc>
          <w:tcPr>
            <w:tcW w:w="3469"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本项目采用地下开采方式，井下巷道设引流渠，</w:t>
            </w:r>
            <w:r>
              <w:rPr>
                <w:rFonts w:hint="default" w:ascii="Times New Roman" w:hAnsi="Times New Roman" w:eastAsia="宋体" w:cs="Times New Roman"/>
                <w:color w:val="auto"/>
                <w:szCs w:val="21"/>
                <w:highlight w:val="none"/>
                <w:lang w:val="en-US" w:eastAsia="zh-CN"/>
              </w:rPr>
              <w:t>沉淀池</w:t>
            </w:r>
            <w:r>
              <w:rPr>
                <w:rFonts w:hint="default" w:ascii="Times New Roman" w:hAnsi="Times New Roman" w:eastAsia="宋体" w:cs="Times New Roman"/>
                <w:color w:val="auto"/>
                <w:szCs w:val="21"/>
                <w:highlight w:val="none"/>
              </w:rPr>
              <w:t>，防止或减少废水进入井巷</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continue"/>
            <w:vAlign w:val="center"/>
          </w:tcPr>
          <w:p>
            <w:pPr>
              <w:pStyle w:val="104"/>
              <w:jc w:val="center"/>
              <w:rPr>
                <w:rFonts w:hint="default" w:ascii="Times New Roman" w:hAnsi="Times New Roman" w:eastAsia="宋体" w:cs="Times New Roman"/>
                <w:color w:val="auto"/>
                <w:highlight w:val="none"/>
              </w:rPr>
            </w:pPr>
          </w:p>
        </w:tc>
        <w:tc>
          <w:tcPr>
            <w:tcW w:w="4402" w:type="dxa"/>
            <w:vAlign w:val="center"/>
          </w:tcPr>
          <w:p>
            <w:pPr>
              <w:pStyle w:val="104"/>
              <w:jc w:val="left"/>
              <w:rPr>
                <w:rFonts w:hint="default" w:ascii="Times New Roman" w:hAnsi="Times New Roman" w:eastAsia="宋体" w:cs="Times New Roman"/>
                <w:color w:val="auto"/>
                <w:highlight w:val="none"/>
              </w:rPr>
            </w:pPr>
            <w:r>
              <w:rPr>
                <w:rFonts w:hint="eastAsia" w:cs="Times New Roman"/>
                <w:color w:val="auto"/>
                <w:highlight w:val="none"/>
                <w:lang w:eastAsia="zh-CN"/>
              </w:rPr>
              <w:t>“</w:t>
            </w:r>
            <w:r>
              <w:rPr>
                <w:rFonts w:hint="default" w:ascii="Times New Roman" w:hAnsi="Times New Roman" w:eastAsia="宋体" w:cs="Times New Roman"/>
                <w:color w:val="auto"/>
                <w:highlight w:val="none"/>
              </w:rPr>
              <w:t>宜采用安装除尘装置，湿式作业，个体防护等措施，防治凿岩、铲装、运输等采矿作业中的粉尘污染</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宜采用尘源密闭、局部抽风、安装除尘装置等措施，防止破碎、转运等选矿作业中的粉尘污染</w:t>
            </w:r>
            <w:r>
              <w:rPr>
                <w:rFonts w:hint="eastAsia" w:cs="Times New Roman"/>
                <w:color w:val="auto"/>
                <w:highlight w:val="none"/>
                <w:lang w:eastAsia="zh-CN"/>
              </w:rPr>
              <w:t>”</w:t>
            </w:r>
          </w:p>
        </w:tc>
        <w:tc>
          <w:tcPr>
            <w:tcW w:w="3469"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本项目采用湿法凿岩，井下作业平台、工业场地、运输道路</w:t>
            </w:r>
            <w:r>
              <w:rPr>
                <w:rFonts w:hint="default" w:ascii="Times New Roman" w:hAnsi="Times New Roman" w:eastAsia="宋体" w:cs="Times New Roman"/>
                <w:color w:val="auto"/>
                <w:highlight w:val="none"/>
              </w:rPr>
              <w:t>洒水</w:t>
            </w:r>
            <w:r>
              <w:rPr>
                <w:rFonts w:hint="default" w:ascii="Times New Roman" w:hAnsi="Times New Roman" w:eastAsia="宋体" w:cs="Times New Roman"/>
                <w:color w:val="auto"/>
                <w:highlight w:val="none"/>
                <w:lang w:val="en-US" w:eastAsia="zh-CN"/>
              </w:rPr>
              <w:t>抑尘等措施，</w:t>
            </w:r>
            <w:r>
              <w:rPr>
                <w:rFonts w:hint="default" w:ascii="Times New Roman" w:hAnsi="Times New Roman" w:eastAsia="宋体" w:cs="Times New Roman"/>
                <w:color w:val="auto"/>
                <w:highlight w:val="none"/>
              </w:rPr>
              <w:t>粉尘达标排放</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continue"/>
            <w:vAlign w:val="center"/>
          </w:tcPr>
          <w:p>
            <w:pPr>
              <w:pStyle w:val="104"/>
              <w:jc w:val="center"/>
              <w:rPr>
                <w:rFonts w:hint="default" w:ascii="Times New Roman" w:hAnsi="Times New Roman" w:eastAsia="宋体" w:cs="Times New Roman"/>
                <w:color w:val="auto"/>
                <w:highlight w:val="none"/>
              </w:rPr>
            </w:pPr>
          </w:p>
        </w:tc>
        <w:tc>
          <w:tcPr>
            <w:tcW w:w="4402"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鼓励将矿坑水优先利用为生产用水，作为辅助水源加以利用。</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在干旱缺水地区，鼓励将外排矿坑水用于农林灌溉，其水质应达到相应标准要求。</w:t>
            </w:r>
          </w:p>
        </w:tc>
        <w:tc>
          <w:tcPr>
            <w:tcW w:w="3469"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井下涌水不外排，全部回用于生产</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continue"/>
            <w:vAlign w:val="center"/>
          </w:tcPr>
          <w:p>
            <w:pPr>
              <w:pStyle w:val="104"/>
              <w:jc w:val="center"/>
              <w:rPr>
                <w:rFonts w:hint="default" w:ascii="Times New Roman" w:hAnsi="Times New Roman" w:eastAsia="宋体" w:cs="Times New Roman"/>
                <w:color w:val="auto"/>
                <w:highlight w:val="none"/>
              </w:rPr>
            </w:pPr>
          </w:p>
        </w:tc>
        <w:tc>
          <w:tcPr>
            <w:tcW w:w="4402"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对矿山基建产生的表土、底土和岩石等应分类堆放、分类管理和充分利用。</w:t>
            </w:r>
          </w:p>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对表土、底土和适于植物生长的地层物质均应进行保护性堆存和利用，可优先用作废弃地复垦时的土壤重构用土。</w:t>
            </w:r>
          </w:p>
        </w:tc>
        <w:tc>
          <w:tcPr>
            <w:tcW w:w="3469"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对</w:t>
            </w:r>
            <w:r>
              <w:rPr>
                <w:rFonts w:hint="default"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工程</w:t>
            </w:r>
            <w:r>
              <w:rPr>
                <w:rFonts w:hint="default" w:ascii="Times New Roman" w:hAnsi="Times New Roman" w:eastAsia="宋体" w:cs="Times New Roman"/>
                <w:color w:val="auto"/>
                <w:highlight w:val="none"/>
                <w:lang w:val="en-US" w:eastAsia="zh-CN"/>
              </w:rPr>
              <w:t>基建期</w:t>
            </w:r>
            <w:r>
              <w:rPr>
                <w:rFonts w:hint="default" w:ascii="Times New Roman" w:hAnsi="Times New Roman" w:eastAsia="宋体" w:cs="Times New Roman"/>
                <w:color w:val="auto"/>
                <w:highlight w:val="none"/>
              </w:rPr>
              <w:t>产生的表土单独存放，用于服务期满后植被恢复，底土及其他可用的岩石，用于回填</w:t>
            </w:r>
            <w:r>
              <w:rPr>
                <w:rFonts w:hint="default" w:ascii="Times New Roman" w:hAnsi="Times New Roman" w:eastAsia="宋体" w:cs="Times New Roman"/>
                <w:color w:val="auto"/>
                <w:kern w:val="0"/>
                <w:highlight w:val="none"/>
              </w:rPr>
              <w:t>井下</w:t>
            </w:r>
            <w:r>
              <w:rPr>
                <w:rFonts w:hint="eastAsia" w:cs="Times New Roman"/>
                <w:color w:val="auto"/>
                <w:kern w:val="0"/>
                <w:highlight w:val="none"/>
                <w:lang w:val="en-US" w:eastAsia="zh-CN"/>
              </w:rPr>
              <w:t>历史采坑</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674" w:type="dxa"/>
            <w:vMerge w:val="continue"/>
            <w:vAlign w:val="center"/>
          </w:tcPr>
          <w:p>
            <w:pPr>
              <w:pStyle w:val="104"/>
              <w:jc w:val="center"/>
              <w:rPr>
                <w:rFonts w:hint="default" w:ascii="Times New Roman" w:hAnsi="Times New Roman" w:eastAsia="宋体" w:cs="Times New Roman"/>
                <w:color w:val="auto"/>
                <w:highlight w:val="none"/>
              </w:rPr>
            </w:pPr>
          </w:p>
        </w:tc>
        <w:tc>
          <w:tcPr>
            <w:tcW w:w="4402"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矿山生产过程中应采取种植植物和覆盖等复垦措施，防止水土流失及风蚀扬尘等</w:t>
            </w:r>
          </w:p>
        </w:tc>
        <w:tc>
          <w:tcPr>
            <w:tcW w:w="3469"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本</w:t>
            </w:r>
            <w:r>
              <w:rPr>
                <w:rFonts w:hint="default" w:ascii="Times New Roman" w:hAnsi="Times New Roman" w:eastAsia="宋体" w:cs="Times New Roman"/>
                <w:color w:val="auto"/>
                <w:highlight w:val="none"/>
              </w:rPr>
              <w:t>工程在生产过程中及服务期满后，对采场、工业场地等处分阶段开展生态恢复措施，满足要求</w:t>
            </w:r>
          </w:p>
        </w:tc>
        <w:tc>
          <w:tcPr>
            <w:tcW w:w="74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综上，本项目满足《矿山生态环境保护与污染防治技术政策》（环发[2005]109号）中的相关要求。</w:t>
      </w:r>
    </w:p>
    <w:p>
      <w:pPr>
        <w:pStyle w:val="5"/>
        <w:bidi w:val="0"/>
        <w:rPr>
          <w:rFonts w:hint="default"/>
          <w:color w:val="auto"/>
        </w:rPr>
      </w:pPr>
      <w:bookmarkStart w:id="773" w:name="_Toc3973135"/>
      <w:r>
        <w:rPr>
          <w:rFonts w:hint="default"/>
          <w:color w:val="auto"/>
        </w:rPr>
        <w:t>《中共辽宁省委辽宁省人民政府关于深入贯彻落实新发展理念全面实施非煤矿山综合治理的意见》相符性分析</w:t>
      </w:r>
      <w:bookmarkEnd w:id="773"/>
    </w:p>
    <w:p>
      <w:pPr>
        <w:bidi w:val="0"/>
        <w:rPr>
          <w:rFonts w:hint="default"/>
          <w:color w:val="auto"/>
        </w:rPr>
      </w:pPr>
      <w:r>
        <w:rPr>
          <w:rFonts w:hint="default"/>
          <w:color w:val="auto"/>
        </w:rPr>
        <w:t>《中共辽宁省委辽宁省人民政府关于深入贯彻落实新发展理念全面实施非煤矿山综合治理的意见》辽委发[2018]49号由中共辽宁省委办公厅于2018年10月1日印发。意见中明确：构建严格非煤矿业权管理的政策体系，加强源头管控，围绕非煤矿业权管理的关键环节、审批程序以及重点热点敏感矿种，坚持环保、安全、集约节约，分类精准施策，建立长效机制，出台加强矿产资源管理的法律法规，建立严格规范的政策体系。本项目与辽委发[2018]49号符合性分析详见表</w:t>
      </w:r>
      <w:r>
        <w:rPr>
          <w:rFonts w:hint="default"/>
          <w:color w:val="auto"/>
          <w:lang w:eastAsia="zh-CN"/>
        </w:rPr>
        <w:t>10.1</w:t>
      </w:r>
      <w:r>
        <w:rPr>
          <w:rFonts w:hint="default"/>
          <w:color w:val="auto"/>
        </w:rPr>
        <w:t>-2。</w:t>
      </w:r>
    </w:p>
    <w:p>
      <w:pPr>
        <w:spacing w:line="480" w:lineRule="exact"/>
        <w:ind w:firstLine="422"/>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default" w:ascii="Times New Roman" w:hAnsi="Times New Roman" w:eastAsia="宋体" w:cs="Times New Roman"/>
          <w:b/>
          <w:bCs/>
          <w:color w:val="auto"/>
          <w:kern w:val="0"/>
          <w:sz w:val="21"/>
          <w:szCs w:val="21"/>
          <w:highlight w:val="none"/>
          <w:lang w:eastAsia="zh-CN"/>
        </w:rPr>
        <w:t>10.1</w:t>
      </w:r>
      <w:r>
        <w:rPr>
          <w:rFonts w:hint="default" w:ascii="Times New Roman" w:hAnsi="Times New Roman" w:eastAsia="宋体" w:cs="Times New Roman"/>
          <w:b/>
          <w:bCs/>
          <w:color w:val="auto"/>
          <w:kern w:val="0"/>
          <w:sz w:val="21"/>
          <w:szCs w:val="21"/>
          <w:highlight w:val="none"/>
        </w:rPr>
        <w:t>-2本项目与辽委发[2018]49号对照分析表</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3402"/>
        <w:gridCol w:w="4535"/>
        <w:gridCol w:w="6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3402"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辽委发[2018]49号要求</w:t>
            </w:r>
          </w:p>
        </w:tc>
        <w:tc>
          <w:tcPr>
            <w:tcW w:w="453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本项目情况</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w:t>
            </w:r>
          </w:p>
        </w:tc>
        <w:tc>
          <w:tcPr>
            <w:tcW w:w="8611" w:type="dxa"/>
            <w:gridSpan w:val="3"/>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申请新建、扩建、改建非煤矿山项目必须依法符合下列条件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符合生态保护、矿产资源规划及国家产业政策等要求</w:t>
            </w:r>
          </w:p>
        </w:tc>
        <w:tc>
          <w:tcPr>
            <w:tcW w:w="4535" w:type="dxa"/>
            <w:vAlign w:val="center"/>
          </w:tcPr>
          <w:p>
            <w:pPr>
              <w:spacing w:line="240" w:lineRule="auto"/>
              <w:ind w:firstLine="0" w:firstLineChars="0"/>
              <w:rPr>
                <w:rFonts w:hint="default" w:ascii="Times New Roman" w:hAnsi="Times New Roman" w:eastAsia="宋体" w:cs="Times New Roman"/>
                <w:color w:val="auto"/>
                <w:sz w:val="21"/>
                <w:szCs w:val="20"/>
                <w:highlight w:val="none"/>
              </w:rPr>
            </w:pPr>
            <w:r>
              <w:rPr>
                <w:rFonts w:hint="default" w:ascii="Times New Roman" w:hAnsi="Times New Roman" w:eastAsia="宋体" w:cs="Times New Roman"/>
                <w:color w:val="auto"/>
                <w:sz w:val="21"/>
                <w:szCs w:val="21"/>
                <w:highlight w:val="none"/>
              </w:rPr>
              <w:t>本项目不在生态保护红线划定方案的生态保护红线范围内；本项目不属于《产业结构调整指导目</w:t>
            </w:r>
            <w:r>
              <w:rPr>
                <w:rFonts w:hint="default" w:ascii="Times New Roman" w:hAnsi="Times New Roman" w:eastAsia="宋体" w:cs="Times New Roman"/>
                <w:color w:val="auto"/>
                <w:highlight w:val="none"/>
              </w:rPr>
              <w:t>录</w:t>
            </w:r>
            <w:r>
              <w:rPr>
                <w:rFonts w:hint="default" w:ascii="Times New Roman" w:hAnsi="Times New Roman" w:eastAsia="宋体" w:cs="Times New Roman"/>
                <w:color w:val="auto"/>
                <w:sz w:val="21"/>
                <w:szCs w:val="21"/>
                <w:highlight w:val="none"/>
              </w:rPr>
              <w:t>（2011年）（2013年修正）》中的限制类和淘汰类，属于允许类，符合国家产业政策。符合矿产资源总体规划（2016-2020年）。</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多个生产系统的矿山，每个生产系统须达到规划确定的最低开采规模</w:t>
            </w:r>
          </w:p>
        </w:tc>
        <w:tc>
          <w:tcPr>
            <w:tcW w:w="4535" w:type="dxa"/>
            <w:vAlign w:val="center"/>
          </w:tcPr>
          <w:p>
            <w:pPr>
              <w:pStyle w:val="104"/>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val="en-US" w:eastAsia="zh-CN"/>
              </w:rPr>
              <w:t>钾长石</w:t>
            </w:r>
            <w:r>
              <w:rPr>
                <w:rFonts w:hint="default" w:ascii="Times New Roman" w:hAnsi="Times New Roman" w:eastAsia="宋体" w:cs="Times New Roman"/>
                <w:color w:val="auto"/>
                <w:highlight w:val="none"/>
              </w:rPr>
              <w:t>矿地下开采，设计</w:t>
            </w:r>
            <w:r>
              <w:rPr>
                <w:rFonts w:hint="eastAsia" w:cs="Times New Roman"/>
                <w:color w:val="auto"/>
                <w:highlight w:val="none"/>
                <w:lang w:val="en-US" w:eastAsia="zh-CN"/>
              </w:rPr>
              <w:t>三</w:t>
            </w:r>
            <w:r>
              <w:rPr>
                <w:rFonts w:hint="default" w:ascii="Times New Roman" w:hAnsi="Times New Roman" w:eastAsia="宋体" w:cs="Times New Roman"/>
                <w:color w:val="auto"/>
                <w:highlight w:val="none"/>
              </w:rPr>
              <w:t>个开采系统，</w:t>
            </w:r>
            <w:r>
              <w:rPr>
                <w:rFonts w:hint="eastAsia" w:cs="Times New Roman"/>
                <w:color w:val="auto"/>
                <w:highlight w:val="none"/>
                <w:lang w:val="en-US" w:eastAsia="zh-CN"/>
              </w:rPr>
              <w:t>每个开采系统</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eastAsia="zh-CN"/>
              </w:rPr>
              <w:t>万t/a</w:t>
            </w:r>
            <w:r>
              <w:rPr>
                <w:rFonts w:hint="eastAsia" w:cs="Times New Roman"/>
                <w:color w:val="auto"/>
                <w:highlight w:val="none"/>
                <w:lang w:eastAsia="zh-CN"/>
              </w:rPr>
              <w:t>，</w:t>
            </w:r>
            <w:r>
              <w:rPr>
                <w:rFonts w:hint="eastAsia" w:cs="Times New Roman"/>
                <w:color w:val="auto"/>
                <w:highlight w:val="none"/>
                <w:lang w:val="en-US" w:eastAsia="zh-CN"/>
              </w:rPr>
              <w:t>达到长石最低开采规模</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w:t>
            </w:r>
          </w:p>
        </w:tc>
        <w:tc>
          <w:tcPr>
            <w:tcW w:w="8611" w:type="dxa"/>
            <w:gridSpan w:val="3"/>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存在以下情形之一，不得新立采矿权和商业性探矿权：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态保护红线、自然保护区、风景名胜区、世界文化和自然遗产地、森林公园、地质公园、矿山公园、重要湿地、湿地公园、饮用水水源地保护区、水产种资源保护区、青山规划禁止开发区及限制开发区、国家重点保护的不能移动的历史文物和名胜古迹所在地等各类保护区内</w:t>
            </w:r>
          </w:p>
        </w:tc>
        <w:tc>
          <w:tcPr>
            <w:tcW w:w="4535"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经核实，</w:t>
            </w:r>
            <w:r>
              <w:rPr>
                <w:rFonts w:hint="default" w:ascii="Times New Roman" w:hAnsi="Times New Roman" w:eastAsia="宋体" w:cs="Times New Roman"/>
                <w:color w:val="auto"/>
                <w:highlight w:val="none"/>
                <w:lang w:eastAsia="zh-CN"/>
              </w:rPr>
              <w:t>岫岩满族自治县苏子沟镇大何家堡村钾长石矿</w:t>
            </w:r>
            <w:r>
              <w:rPr>
                <w:rFonts w:hint="default" w:ascii="Times New Roman" w:hAnsi="Times New Roman" w:eastAsia="宋体" w:cs="Times New Roman"/>
                <w:color w:val="auto"/>
                <w:highlight w:val="none"/>
              </w:rPr>
              <w:t>不在</w:t>
            </w:r>
            <w:r>
              <w:rPr>
                <w:rFonts w:hint="eastAsia" w:cs="Times New Roman"/>
                <w:color w:val="auto"/>
                <w:highlight w:val="none"/>
                <w:lang w:eastAsia="zh-CN"/>
              </w:rPr>
              <w:t>“</w:t>
            </w:r>
            <w:r>
              <w:rPr>
                <w:rFonts w:hint="default" w:ascii="Times New Roman" w:hAnsi="Times New Roman" w:eastAsia="宋体" w:cs="Times New Roman"/>
                <w:color w:val="auto"/>
                <w:highlight w:val="none"/>
              </w:rPr>
              <w:t>各类保护区及敏感区内</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shd w:val="clear" w:color="auto" w:fill="FFFFFF"/>
              </w:rPr>
              <w:t>加强铁矿管理。停止新建露天矿山；已有露天矿山禁止平面扩大范围，允许深部扩大范围，但开采方式必须由露天变更为地下。</w:t>
            </w:r>
          </w:p>
        </w:tc>
        <w:tc>
          <w:tcPr>
            <w:tcW w:w="4535" w:type="dxa"/>
            <w:vAlign w:val="center"/>
          </w:tcPr>
          <w:p>
            <w:pPr>
              <w:pStyle w:val="104"/>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Cs/>
                <w:color w:val="auto"/>
                <w:szCs w:val="21"/>
                <w:highlight w:val="none"/>
              </w:rPr>
              <w:t>本项目为</w:t>
            </w:r>
            <w:r>
              <w:rPr>
                <w:rFonts w:hint="default" w:ascii="Times New Roman" w:hAnsi="Times New Roman" w:eastAsia="宋体" w:cs="Times New Roman"/>
                <w:bCs/>
                <w:color w:val="auto"/>
                <w:szCs w:val="21"/>
                <w:highlight w:val="none"/>
                <w:lang w:eastAsia="zh-CN"/>
              </w:rPr>
              <w:t>钾长石矿</w:t>
            </w:r>
            <w:r>
              <w:rPr>
                <w:rFonts w:hint="eastAsia" w:cs="Times New Roman"/>
                <w:bCs/>
                <w:color w:val="auto"/>
                <w:szCs w:val="21"/>
                <w:highlight w:val="none"/>
                <w:lang w:eastAsia="zh-CN"/>
              </w:rPr>
              <w:t>，</w:t>
            </w:r>
            <w:r>
              <w:rPr>
                <w:rFonts w:hint="eastAsia" w:cs="Times New Roman"/>
                <w:bCs/>
                <w:color w:val="auto"/>
                <w:szCs w:val="21"/>
                <w:highlight w:val="none"/>
                <w:lang w:val="en-US" w:eastAsia="zh-CN"/>
              </w:rPr>
              <w:t>不属于铁矿开采</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村庄、重要工业区、大型水利工程设施、城镇市政工程设施、重要河流、堤坝、石油类天然气输送管道和高压输电线路等安全距离不符合有关法律法规标准规范规定的。</w:t>
            </w:r>
          </w:p>
        </w:tc>
        <w:tc>
          <w:tcPr>
            <w:tcW w:w="4535"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本项目矿区不涉及村庄、重要工业区大型水利工程设施、城镇市政工程设施、重要河流、堤坝、石油类天然气输送管道和高压输电线路等</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4</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铁路、高速公路、国道两侧各1000m范围内及1000米外可视范围内。</w:t>
            </w:r>
          </w:p>
        </w:tc>
        <w:tc>
          <w:tcPr>
            <w:tcW w:w="4535"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本项目附近无铁路、高速公路、国道</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与已有采矿权间距不符合保留安全间距要求，或与相邻的露天采石场采矿许可证范围之间最小距离小于300米。</w:t>
            </w:r>
          </w:p>
        </w:tc>
        <w:tc>
          <w:tcPr>
            <w:tcW w:w="4535"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本项目周边</w:t>
            </w:r>
            <w:r>
              <w:rPr>
                <w:rFonts w:hint="eastAsia" w:cs="Times New Roman"/>
                <w:color w:val="auto"/>
                <w:highlight w:val="none"/>
                <w:lang w:val="en-US" w:eastAsia="zh-CN"/>
              </w:rPr>
              <w:t>300米范围内</w:t>
            </w:r>
            <w:r>
              <w:rPr>
                <w:rFonts w:hint="default" w:ascii="Times New Roman" w:hAnsi="Times New Roman" w:eastAsia="宋体" w:cs="Times New Roman"/>
                <w:color w:val="auto"/>
                <w:highlight w:val="none"/>
              </w:rPr>
              <w:t>无已有采矿权及露天采石场。</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w:t>
            </w:r>
          </w:p>
        </w:tc>
      </w:tr>
    </w:tbl>
    <w:p>
      <w:pPr>
        <w:ind w:firstLine="480"/>
        <w:rPr>
          <w:rFonts w:hint="default" w:ascii="Times New Roman" w:hAnsi="Times New Roman" w:eastAsia="宋体" w:cs="Times New Roman"/>
          <w:bCs/>
          <w:color w:val="auto"/>
          <w:kern w:val="0"/>
          <w:highlight w:val="none"/>
        </w:rPr>
      </w:pPr>
      <w:r>
        <w:rPr>
          <w:rFonts w:hint="default" w:ascii="Times New Roman" w:hAnsi="Times New Roman" w:eastAsia="宋体" w:cs="Times New Roman"/>
          <w:bCs/>
          <w:color w:val="auto"/>
          <w:kern w:val="0"/>
          <w:highlight w:val="none"/>
        </w:rPr>
        <w:t>根据表</w:t>
      </w:r>
      <w:r>
        <w:rPr>
          <w:rFonts w:hint="default" w:ascii="Times New Roman" w:hAnsi="Times New Roman" w:eastAsia="宋体" w:cs="Times New Roman"/>
          <w:bCs/>
          <w:color w:val="auto"/>
          <w:kern w:val="0"/>
          <w:highlight w:val="none"/>
          <w:lang w:eastAsia="zh-CN"/>
        </w:rPr>
        <w:t>10.1</w:t>
      </w:r>
      <w:r>
        <w:rPr>
          <w:rFonts w:hint="default" w:ascii="Times New Roman" w:hAnsi="Times New Roman" w:eastAsia="宋体" w:cs="Times New Roman"/>
          <w:bCs/>
          <w:color w:val="auto"/>
          <w:kern w:val="0"/>
          <w:highlight w:val="none"/>
        </w:rPr>
        <w:t>-2可知，本项目与《中共辽宁省委辽宁省人民政府关于深入贯彻落实新发展理念全面实施非煤矿山综合治理的意见》辽委发[2018]49号相关要求相符。</w:t>
      </w:r>
    </w:p>
    <w:p>
      <w:pPr>
        <w:pStyle w:val="5"/>
        <w:bidi w:val="0"/>
        <w:rPr>
          <w:rFonts w:hint="default"/>
          <w:color w:val="auto"/>
        </w:rPr>
      </w:pPr>
      <w:r>
        <w:rPr>
          <w:rFonts w:hint="default"/>
          <w:color w:val="auto"/>
        </w:rPr>
        <w:t>《</w:t>
      </w:r>
      <w:r>
        <w:rPr>
          <w:rFonts w:hint="default"/>
          <w:color w:val="auto"/>
          <w:lang w:val="en-US" w:eastAsia="zh-CN"/>
        </w:rPr>
        <w:t>辽宁省矿山综合治理条例</w:t>
      </w:r>
      <w:r>
        <w:rPr>
          <w:rFonts w:hint="default"/>
          <w:color w:val="auto"/>
        </w:rPr>
        <w:t>》相符性分析</w:t>
      </w:r>
    </w:p>
    <w:p>
      <w:pPr>
        <w:spacing w:line="480" w:lineRule="exact"/>
        <w:ind w:firstLine="480"/>
        <w:rPr>
          <w:rFonts w:hint="default" w:ascii="Times New Roman" w:hAnsi="Times New Roman" w:eastAsia="宋体" w:cs="Times New Roman"/>
          <w:bCs/>
          <w:color w:val="auto"/>
          <w:kern w:val="0"/>
          <w:highlight w:val="none"/>
        </w:rPr>
      </w:pPr>
      <w:r>
        <w:rPr>
          <w:rFonts w:hint="default" w:ascii="Times New Roman" w:hAnsi="Times New Roman" w:eastAsia="宋体" w:cs="Times New Roman"/>
          <w:bCs/>
          <w:color w:val="auto"/>
          <w:kern w:val="0"/>
          <w:highlight w:val="none"/>
          <w:lang w:val="en-US" w:eastAsia="zh-CN"/>
        </w:rPr>
        <w:t>本项目</w:t>
      </w:r>
      <w:r>
        <w:rPr>
          <w:rFonts w:hint="default" w:ascii="Times New Roman" w:hAnsi="Times New Roman" w:eastAsia="宋体" w:cs="Times New Roman"/>
          <w:color w:val="auto"/>
          <w:highlight w:val="none"/>
          <w:lang w:val="en-US" w:eastAsia="zh-CN"/>
        </w:rPr>
        <w:t>辽宁省矿山综合治理条例的</w:t>
      </w:r>
      <w:r>
        <w:rPr>
          <w:rFonts w:hint="default" w:ascii="Times New Roman" w:hAnsi="Times New Roman" w:eastAsia="宋体" w:cs="Times New Roman"/>
          <w:bCs/>
          <w:color w:val="auto"/>
          <w:kern w:val="0"/>
          <w:highlight w:val="none"/>
        </w:rPr>
        <w:t>符合性分析详见表</w:t>
      </w:r>
      <w:r>
        <w:rPr>
          <w:rFonts w:hint="default" w:ascii="Times New Roman" w:hAnsi="Times New Roman" w:eastAsia="宋体" w:cs="Times New Roman"/>
          <w:bCs/>
          <w:color w:val="auto"/>
          <w:kern w:val="0"/>
          <w:highlight w:val="none"/>
          <w:lang w:eastAsia="zh-CN"/>
        </w:rPr>
        <w:t>10.1</w:t>
      </w:r>
      <w:r>
        <w:rPr>
          <w:rFonts w:hint="default" w:ascii="Times New Roman" w:hAnsi="Times New Roman" w:eastAsia="宋体" w:cs="Times New Roman"/>
          <w:bCs/>
          <w:color w:val="auto"/>
          <w:kern w:val="0"/>
          <w:highlight w:val="none"/>
        </w:rPr>
        <w:t>-</w:t>
      </w:r>
      <w:r>
        <w:rPr>
          <w:rFonts w:hint="default" w:ascii="Times New Roman" w:hAnsi="Times New Roman" w:eastAsia="宋体" w:cs="Times New Roman"/>
          <w:bCs/>
          <w:color w:val="auto"/>
          <w:kern w:val="0"/>
          <w:highlight w:val="none"/>
          <w:lang w:val="en-US" w:eastAsia="zh-CN"/>
        </w:rPr>
        <w:t>3</w:t>
      </w:r>
      <w:r>
        <w:rPr>
          <w:rFonts w:hint="default" w:ascii="Times New Roman" w:hAnsi="Times New Roman" w:eastAsia="宋体" w:cs="Times New Roman"/>
          <w:bCs/>
          <w:color w:val="auto"/>
          <w:kern w:val="0"/>
          <w:highlight w:val="none"/>
        </w:rPr>
        <w:t>。</w:t>
      </w:r>
    </w:p>
    <w:p>
      <w:pPr>
        <w:spacing w:line="480" w:lineRule="exact"/>
        <w:ind w:firstLine="422"/>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default" w:ascii="Times New Roman" w:hAnsi="Times New Roman" w:eastAsia="宋体" w:cs="Times New Roman"/>
          <w:b/>
          <w:bCs/>
          <w:color w:val="auto"/>
          <w:kern w:val="0"/>
          <w:sz w:val="21"/>
          <w:szCs w:val="21"/>
          <w:highlight w:val="none"/>
          <w:lang w:eastAsia="zh-CN"/>
        </w:rPr>
        <w:t>10.1</w:t>
      </w:r>
      <w:r>
        <w:rPr>
          <w:rFonts w:hint="default" w:ascii="Times New Roman" w:hAnsi="Times New Roman" w:eastAsia="宋体" w:cs="Times New Roman"/>
          <w:b/>
          <w:bCs/>
          <w:color w:val="auto"/>
          <w:kern w:val="0"/>
          <w:sz w:val="21"/>
          <w:szCs w:val="21"/>
          <w:highlight w:val="none"/>
        </w:rPr>
        <w:t>-</w:t>
      </w:r>
      <w:r>
        <w:rPr>
          <w:rFonts w:hint="default" w:ascii="Times New Roman" w:hAnsi="Times New Roman" w:eastAsia="宋体" w:cs="Times New Roman"/>
          <w:b/>
          <w:bCs/>
          <w:color w:val="auto"/>
          <w:kern w:val="0"/>
          <w:sz w:val="21"/>
          <w:szCs w:val="21"/>
          <w:highlight w:val="none"/>
          <w:lang w:val="en-US" w:eastAsia="zh-CN"/>
        </w:rPr>
        <w:t>3</w:t>
      </w:r>
      <w:r>
        <w:rPr>
          <w:rFonts w:hint="default" w:ascii="Times New Roman" w:hAnsi="Times New Roman" w:eastAsia="宋体" w:cs="Times New Roman"/>
          <w:b/>
          <w:bCs/>
          <w:color w:val="auto"/>
          <w:kern w:val="0"/>
          <w:sz w:val="21"/>
          <w:szCs w:val="21"/>
          <w:highlight w:val="none"/>
        </w:rPr>
        <w:t>本项目与辽宁省矿山</w:t>
      </w:r>
      <w:r>
        <w:rPr>
          <w:rFonts w:hint="default" w:ascii="Times New Roman" w:hAnsi="Times New Roman" w:eastAsia="宋体" w:cs="Times New Roman"/>
          <w:b/>
          <w:bCs/>
          <w:color w:val="auto"/>
          <w:kern w:val="0"/>
          <w:sz w:val="21"/>
          <w:szCs w:val="21"/>
          <w:highlight w:val="none"/>
          <w:lang w:val="en-US" w:eastAsia="zh-CN"/>
        </w:rPr>
        <w:t>综合</w:t>
      </w:r>
      <w:r>
        <w:rPr>
          <w:rFonts w:hint="default" w:ascii="Times New Roman" w:hAnsi="Times New Roman" w:eastAsia="宋体" w:cs="Times New Roman"/>
          <w:b/>
          <w:bCs/>
          <w:color w:val="auto"/>
          <w:kern w:val="0"/>
          <w:sz w:val="21"/>
          <w:szCs w:val="21"/>
          <w:highlight w:val="none"/>
        </w:rPr>
        <w:t>治理</w:t>
      </w:r>
      <w:r>
        <w:rPr>
          <w:rFonts w:hint="default" w:ascii="Times New Roman" w:hAnsi="Times New Roman" w:eastAsia="宋体" w:cs="Times New Roman"/>
          <w:b/>
          <w:bCs/>
          <w:color w:val="auto"/>
          <w:kern w:val="0"/>
          <w:sz w:val="21"/>
          <w:szCs w:val="21"/>
          <w:highlight w:val="none"/>
          <w:lang w:val="en-US" w:eastAsia="zh-CN"/>
        </w:rPr>
        <w:t>相符性</w:t>
      </w:r>
      <w:r>
        <w:rPr>
          <w:rFonts w:hint="default" w:ascii="Times New Roman" w:hAnsi="Times New Roman" w:eastAsia="宋体" w:cs="Times New Roman"/>
          <w:b/>
          <w:bCs/>
          <w:color w:val="auto"/>
          <w:kern w:val="0"/>
          <w:sz w:val="21"/>
          <w:szCs w:val="21"/>
          <w:highlight w:val="none"/>
        </w:rPr>
        <w:t>分析表</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40"/>
        <w:gridCol w:w="2955"/>
        <w:gridCol w:w="2917"/>
        <w:gridCol w:w="6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695" w:type="dxa"/>
            <w:gridSpan w:val="2"/>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条例</w:t>
            </w:r>
            <w:r>
              <w:rPr>
                <w:rFonts w:hint="default" w:ascii="Times New Roman" w:hAnsi="Times New Roman" w:eastAsia="宋体" w:cs="Times New Roman"/>
                <w:color w:val="auto"/>
                <w:highlight w:val="none"/>
              </w:rPr>
              <w:t>要求</w:t>
            </w:r>
          </w:p>
        </w:tc>
        <w:tc>
          <w:tcPr>
            <w:tcW w:w="291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本项目情况</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740"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第九条新建、扩建、改建矿山项目应当符合国家有关生态保护、矿产资源规划以及产业政策等规定。</w:t>
            </w:r>
          </w:p>
        </w:tc>
        <w:tc>
          <w:tcPr>
            <w:tcW w:w="2955" w:type="dxa"/>
            <w:vAlign w:val="center"/>
          </w:tcPr>
          <w:p>
            <w:pPr>
              <w:pStyle w:val="37"/>
              <w:keepNext w:val="0"/>
              <w:keepLines w:val="0"/>
              <w:pageBreakBefore w:val="0"/>
              <w:widowControl w:val="0"/>
              <w:kinsoku/>
              <w:wordWrap/>
              <w:overflowPunct/>
              <w:topLinePunct w:val="0"/>
              <w:autoSpaceDE/>
              <w:autoSpaceDN/>
              <w:bidi w:val="0"/>
              <w:adjustRightInd w:val="0"/>
              <w:snapToGrid w:val="0"/>
              <w:ind w:left="0" w:lef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2"/>
                <w:sz w:val="21"/>
                <w:szCs w:val="20"/>
                <w:highlight w:val="none"/>
                <w:lang w:val="en-US" w:eastAsia="zh-CN" w:bidi="ar-SA"/>
              </w:rPr>
              <w:t>(一)探矿权转采矿权划定矿区范围前或采矿权出让前，依据评审通过的矿产资源开发利用方案，编制环境影响报告书，并获得生态环境部门的批准文件，法律另有规定的除外；</w:t>
            </w:r>
          </w:p>
        </w:tc>
        <w:tc>
          <w:tcPr>
            <w:tcW w:w="2917"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本项目为</w:t>
            </w:r>
            <w:r>
              <w:rPr>
                <w:rFonts w:hint="eastAsia" w:cs="Times New Roman"/>
                <w:color w:val="auto"/>
                <w:highlight w:val="none"/>
                <w:lang w:val="en-US" w:eastAsia="zh-CN"/>
              </w:rPr>
              <w:t>扩建</w:t>
            </w: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kern w:val="2"/>
                <w:sz w:val="21"/>
                <w:szCs w:val="20"/>
                <w:highlight w:val="none"/>
                <w:lang w:val="en-US" w:eastAsia="zh-CN" w:bidi="ar-SA"/>
              </w:rPr>
              <w:t>依据202</w:t>
            </w:r>
            <w:r>
              <w:rPr>
                <w:rFonts w:hint="eastAsia" w:cs="Times New Roman"/>
                <w:color w:val="auto"/>
                <w:kern w:val="2"/>
                <w:sz w:val="21"/>
                <w:szCs w:val="20"/>
                <w:highlight w:val="none"/>
                <w:lang w:val="en-US" w:eastAsia="zh-CN" w:bidi="ar-SA"/>
              </w:rPr>
              <w:t>1</w:t>
            </w:r>
            <w:r>
              <w:rPr>
                <w:rFonts w:hint="default" w:ascii="Times New Roman" w:hAnsi="Times New Roman" w:eastAsia="宋体" w:cs="Times New Roman"/>
                <w:color w:val="auto"/>
                <w:kern w:val="2"/>
                <w:sz w:val="21"/>
                <w:szCs w:val="20"/>
                <w:highlight w:val="none"/>
                <w:lang w:val="en-US" w:eastAsia="zh-CN" w:bidi="ar-SA"/>
              </w:rPr>
              <w:t>年</w:t>
            </w:r>
            <w:r>
              <w:rPr>
                <w:rFonts w:hint="eastAsia" w:cs="Times New Roman"/>
                <w:color w:val="auto"/>
                <w:kern w:val="2"/>
                <w:sz w:val="21"/>
                <w:szCs w:val="20"/>
                <w:highlight w:val="none"/>
                <w:lang w:val="en-US" w:eastAsia="zh-CN" w:bidi="ar-SA"/>
              </w:rPr>
              <w:t>10</w:t>
            </w:r>
            <w:r>
              <w:rPr>
                <w:rFonts w:hint="default" w:ascii="Times New Roman" w:hAnsi="Times New Roman" w:eastAsia="宋体" w:cs="Times New Roman"/>
                <w:color w:val="auto"/>
                <w:kern w:val="2"/>
                <w:sz w:val="21"/>
                <w:szCs w:val="20"/>
                <w:highlight w:val="none"/>
                <w:lang w:val="en-US" w:eastAsia="zh-CN" w:bidi="ar-SA"/>
              </w:rPr>
              <w:t>月</w:t>
            </w:r>
            <w:r>
              <w:rPr>
                <w:rFonts w:hint="eastAsia" w:cs="Times New Roman"/>
                <w:color w:val="auto"/>
                <w:kern w:val="2"/>
                <w:sz w:val="21"/>
                <w:szCs w:val="20"/>
                <w:highlight w:val="none"/>
                <w:lang w:val="en-US" w:eastAsia="zh-CN" w:bidi="ar-SA"/>
              </w:rPr>
              <w:t>8</w:t>
            </w:r>
            <w:r>
              <w:rPr>
                <w:rFonts w:hint="default" w:ascii="Times New Roman" w:hAnsi="Times New Roman" w:eastAsia="宋体" w:cs="Times New Roman"/>
                <w:color w:val="auto"/>
                <w:kern w:val="2"/>
                <w:sz w:val="21"/>
                <w:szCs w:val="20"/>
                <w:highlight w:val="none"/>
                <w:lang w:val="en-US" w:eastAsia="zh-CN" w:bidi="ar-SA"/>
              </w:rPr>
              <w:t>日评审通过的矿产资源开发利用方案，编制环境影响报告书</w:t>
            </w:r>
          </w:p>
        </w:tc>
        <w:tc>
          <w:tcPr>
            <w:tcW w:w="674"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740" w:type="dxa"/>
            <w:vMerge w:val="continue"/>
            <w:vAlign w:val="center"/>
          </w:tcPr>
          <w:p>
            <w:pPr>
              <w:pStyle w:val="104"/>
              <w:jc w:val="center"/>
              <w:rPr>
                <w:rFonts w:hint="default" w:ascii="Times New Roman" w:hAnsi="Times New Roman" w:eastAsia="宋体" w:cs="Times New Roman"/>
                <w:color w:val="auto"/>
                <w:highlight w:val="none"/>
              </w:rPr>
            </w:pPr>
          </w:p>
        </w:tc>
        <w:tc>
          <w:tcPr>
            <w:tcW w:w="2955"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(二)申请人履行矿山环境恢复治理义务，按期完成矿山地质环境保护与治理规划确定的年度治理任务；</w:t>
            </w:r>
          </w:p>
        </w:tc>
        <w:tc>
          <w:tcPr>
            <w:tcW w:w="2917" w:type="dxa"/>
            <w:vAlign w:val="center"/>
          </w:tcPr>
          <w:p>
            <w:pPr>
              <w:pStyle w:val="104"/>
              <w:jc w:val="left"/>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rPr>
              <w:t>岫岩满族自治县苏子沟镇大何家堡子村钾长石矿为续建矿山，</w:t>
            </w:r>
            <w:r>
              <w:rPr>
                <w:rFonts w:hint="eastAsia" w:cs="Times New Roman"/>
                <w:color w:val="auto"/>
                <w:highlight w:val="none"/>
                <w:lang w:val="en-US" w:eastAsia="zh-CN"/>
              </w:rPr>
              <w:t>按照</w:t>
            </w:r>
            <w:r>
              <w:rPr>
                <w:rFonts w:hint="default" w:ascii="Times New Roman" w:hAnsi="Times New Roman" w:eastAsia="宋体" w:cs="Times New Roman"/>
                <w:color w:val="auto"/>
                <w:highlight w:val="none"/>
                <w:lang w:val="en-US"/>
              </w:rPr>
              <w:t>《岫岩满族自治县苏子沟镇大何家堡村钾长石矿2021年度矿山地质环境保护与恢复治理工程实施方案》</w:t>
            </w:r>
            <w:r>
              <w:rPr>
                <w:rFonts w:hint="eastAsia" w:cs="Times New Roman"/>
                <w:color w:val="auto"/>
                <w:highlight w:val="none"/>
                <w:lang w:val="en-US" w:eastAsia="zh-CN"/>
              </w:rPr>
              <w:t>对矿山进行恢复，</w:t>
            </w:r>
            <w:r>
              <w:rPr>
                <w:rFonts w:hint="default" w:ascii="Times New Roman" w:hAnsi="Times New Roman" w:eastAsia="宋体" w:cs="Times New Roman"/>
                <w:color w:val="auto"/>
                <w:highlight w:val="none"/>
                <w:lang w:val="en-US"/>
              </w:rPr>
              <w:t>竣工后经专家验收合格。</w:t>
            </w:r>
          </w:p>
        </w:tc>
        <w:tc>
          <w:tcPr>
            <w:tcW w:w="674"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740" w:type="dxa"/>
            <w:vMerge w:val="continue"/>
            <w:vAlign w:val="center"/>
          </w:tcPr>
          <w:p>
            <w:pPr>
              <w:pStyle w:val="104"/>
              <w:jc w:val="center"/>
              <w:rPr>
                <w:rFonts w:hint="default" w:ascii="Times New Roman" w:hAnsi="Times New Roman" w:eastAsia="宋体" w:cs="Times New Roman"/>
                <w:color w:val="auto"/>
                <w:highlight w:val="none"/>
              </w:rPr>
            </w:pPr>
          </w:p>
        </w:tc>
        <w:tc>
          <w:tcPr>
            <w:tcW w:w="2955" w:type="dxa"/>
            <w:vAlign w:val="center"/>
          </w:tcPr>
          <w:p>
            <w:pPr>
              <w:pStyle w:val="37"/>
              <w:keepNext w:val="0"/>
              <w:keepLines w:val="0"/>
              <w:pageBreakBefore w:val="0"/>
              <w:widowControl w:val="0"/>
              <w:kinsoku/>
              <w:wordWrap/>
              <w:overflowPunct/>
              <w:topLinePunct w:val="0"/>
              <w:autoSpaceDE/>
              <w:autoSpaceDN/>
              <w:bidi w:val="0"/>
              <w:adjustRightInd w:val="0"/>
              <w:snapToGrid w:val="0"/>
              <w:ind w:left="0" w:leftChars="0" w:firstLine="0"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2"/>
                <w:sz w:val="21"/>
                <w:szCs w:val="20"/>
                <w:highlight w:val="none"/>
                <w:lang w:val="en-US" w:eastAsia="zh-CN" w:bidi="ar-SA"/>
              </w:rPr>
              <w:t>(三)未纳入矿业权人异常名录或者严重违法失信名单；</w:t>
            </w:r>
          </w:p>
        </w:tc>
        <w:tc>
          <w:tcPr>
            <w:tcW w:w="291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未纳入矿业权人异常名录或者严重违法失信名单</w:t>
            </w:r>
          </w:p>
        </w:tc>
        <w:tc>
          <w:tcPr>
            <w:tcW w:w="674"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2740"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第十条矿业权有下列情形之一的，不得延续：</w:t>
            </w:r>
          </w:p>
        </w:tc>
        <w:tc>
          <w:tcPr>
            <w:tcW w:w="2955"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(一)未依法提交矿山地质环境保护与土地复垦方案的；</w:t>
            </w:r>
          </w:p>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(二)未按规定缴纳矿业权出让收益的；</w:t>
            </w:r>
          </w:p>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(三)已有矿山不符合矿产资源规划确定的最低开采规模，未按规定整改到位的；</w:t>
            </w:r>
          </w:p>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(四)未按照矿产资源开发利用方案开采的；</w:t>
            </w:r>
          </w:p>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(五)未按照矿山地质环境保护与土地复垦方案完成恢复治理任务的；</w:t>
            </w:r>
          </w:p>
        </w:tc>
        <w:tc>
          <w:tcPr>
            <w:tcW w:w="291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val="en-US" w:eastAsia="zh-CN"/>
              </w:rPr>
              <w:t>钾长石</w:t>
            </w:r>
            <w:r>
              <w:rPr>
                <w:rFonts w:hint="default" w:ascii="Times New Roman" w:hAnsi="Times New Roman" w:eastAsia="宋体" w:cs="Times New Roman"/>
                <w:color w:val="auto"/>
                <w:highlight w:val="none"/>
              </w:rPr>
              <w:t>矿地下开采，设计</w:t>
            </w:r>
            <w:r>
              <w:rPr>
                <w:rFonts w:hint="eastAsia" w:cs="Times New Roman"/>
                <w:color w:val="auto"/>
                <w:highlight w:val="none"/>
                <w:lang w:val="en-US" w:eastAsia="zh-CN"/>
              </w:rPr>
              <w:t>三</w:t>
            </w:r>
            <w:r>
              <w:rPr>
                <w:rFonts w:hint="default" w:ascii="Times New Roman" w:hAnsi="Times New Roman" w:eastAsia="宋体" w:cs="Times New Roman"/>
                <w:color w:val="auto"/>
                <w:highlight w:val="none"/>
              </w:rPr>
              <w:t>个开采系统，</w:t>
            </w:r>
            <w:r>
              <w:rPr>
                <w:rFonts w:hint="eastAsia" w:cs="Times New Roman"/>
                <w:color w:val="auto"/>
                <w:highlight w:val="none"/>
                <w:lang w:val="en-US" w:eastAsia="zh-CN"/>
              </w:rPr>
              <w:t>每个开采系统</w:t>
            </w:r>
            <w:r>
              <w:rPr>
                <w:rFonts w:hint="eastAsia"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lang w:eastAsia="zh-CN"/>
              </w:rPr>
              <w:t>万t/a</w:t>
            </w:r>
            <w:r>
              <w:rPr>
                <w:rFonts w:hint="eastAsia" w:cs="Times New Roman"/>
                <w:color w:val="auto"/>
                <w:highlight w:val="none"/>
                <w:lang w:eastAsia="zh-CN"/>
              </w:rPr>
              <w:t>，</w:t>
            </w:r>
            <w:r>
              <w:rPr>
                <w:rFonts w:hint="eastAsia" w:cs="Times New Roman"/>
                <w:color w:val="auto"/>
                <w:highlight w:val="none"/>
                <w:lang w:val="en-US" w:eastAsia="zh-CN"/>
              </w:rPr>
              <w:t>达到长石最低开采规模；</w:t>
            </w:r>
            <w:r>
              <w:rPr>
                <w:rFonts w:hint="default" w:ascii="Times New Roman" w:hAnsi="Times New Roman" w:eastAsia="宋体" w:cs="Times New Roman"/>
                <w:color w:val="auto"/>
                <w:kern w:val="2"/>
                <w:sz w:val="21"/>
                <w:szCs w:val="20"/>
                <w:highlight w:val="none"/>
                <w:lang w:val="en-US" w:eastAsia="zh-CN" w:bidi="ar-SA"/>
              </w:rPr>
              <w:t>202</w:t>
            </w:r>
            <w:r>
              <w:rPr>
                <w:rFonts w:hint="eastAsia" w:cs="Times New Roman"/>
                <w:color w:val="auto"/>
                <w:kern w:val="2"/>
                <w:sz w:val="21"/>
                <w:szCs w:val="20"/>
                <w:highlight w:val="none"/>
                <w:lang w:val="en-US" w:eastAsia="zh-CN" w:bidi="ar-SA"/>
              </w:rPr>
              <w:t>1</w:t>
            </w:r>
            <w:r>
              <w:rPr>
                <w:rFonts w:hint="default" w:ascii="Times New Roman" w:hAnsi="Times New Roman" w:eastAsia="宋体" w:cs="Times New Roman"/>
                <w:color w:val="auto"/>
                <w:kern w:val="2"/>
                <w:sz w:val="21"/>
                <w:szCs w:val="20"/>
                <w:highlight w:val="none"/>
                <w:lang w:val="en-US" w:eastAsia="zh-CN" w:bidi="ar-SA"/>
              </w:rPr>
              <w:t>年</w:t>
            </w:r>
            <w:r>
              <w:rPr>
                <w:rFonts w:hint="eastAsia" w:cs="Times New Roman"/>
                <w:color w:val="auto"/>
                <w:kern w:val="2"/>
                <w:sz w:val="21"/>
                <w:szCs w:val="20"/>
                <w:highlight w:val="none"/>
                <w:lang w:val="en-US" w:eastAsia="zh-CN" w:bidi="ar-SA"/>
              </w:rPr>
              <w:t>10</w:t>
            </w:r>
            <w:r>
              <w:rPr>
                <w:rFonts w:hint="default" w:ascii="Times New Roman" w:hAnsi="Times New Roman" w:eastAsia="宋体" w:cs="Times New Roman"/>
                <w:color w:val="auto"/>
                <w:kern w:val="2"/>
                <w:sz w:val="21"/>
                <w:szCs w:val="20"/>
                <w:highlight w:val="none"/>
                <w:lang w:val="en-US" w:eastAsia="zh-CN" w:bidi="ar-SA"/>
              </w:rPr>
              <w:t>月</w:t>
            </w:r>
            <w:r>
              <w:rPr>
                <w:rFonts w:hint="eastAsia" w:cs="Times New Roman"/>
                <w:color w:val="auto"/>
                <w:kern w:val="2"/>
                <w:sz w:val="21"/>
                <w:szCs w:val="20"/>
                <w:highlight w:val="none"/>
                <w:lang w:val="en-US" w:eastAsia="zh-CN" w:bidi="ar-SA"/>
              </w:rPr>
              <w:t>8</w:t>
            </w:r>
            <w:r>
              <w:rPr>
                <w:rFonts w:hint="default" w:ascii="Times New Roman" w:hAnsi="Times New Roman" w:eastAsia="宋体" w:cs="Times New Roman"/>
                <w:color w:val="auto"/>
                <w:kern w:val="2"/>
                <w:sz w:val="21"/>
                <w:szCs w:val="20"/>
                <w:highlight w:val="none"/>
                <w:lang w:val="en-US" w:eastAsia="zh-CN" w:bidi="ar-SA"/>
              </w:rPr>
              <w:t>日评审通过的矿产资源开发利用方案</w:t>
            </w:r>
            <w:r>
              <w:rPr>
                <w:rFonts w:hint="eastAsia" w:cs="Times New Roman"/>
                <w:color w:val="auto"/>
                <w:kern w:val="2"/>
                <w:sz w:val="21"/>
                <w:szCs w:val="20"/>
                <w:highlight w:val="none"/>
                <w:lang w:val="en-US" w:eastAsia="zh-CN" w:bidi="ar-SA"/>
              </w:rPr>
              <w:t>；已</w:t>
            </w:r>
            <w:r>
              <w:rPr>
                <w:rFonts w:hint="eastAsia" w:cs="Times New Roman"/>
                <w:color w:val="auto"/>
                <w:highlight w:val="none"/>
                <w:lang w:val="en-US" w:eastAsia="zh-CN"/>
              </w:rPr>
              <w:t>按照</w:t>
            </w:r>
            <w:r>
              <w:rPr>
                <w:rFonts w:hint="default" w:ascii="Times New Roman" w:hAnsi="Times New Roman" w:eastAsia="宋体" w:cs="Times New Roman"/>
                <w:color w:val="auto"/>
                <w:highlight w:val="none"/>
                <w:lang w:val="en-US"/>
              </w:rPr>
              <w:t>《岫岩满族自治县苏子沟镇大何家堡村钾长石矿2021年度矿山地质环境保护与恢复治理工程实施方案》</w:t>
            </w:r>
            <w:r>
              <w:rPr>
                <w:rFonts w:hint="eastAsia" w:cs="Times New Roman"/>
                <w:color w:val="auto"/>
                <w:highlight w:val="none"/>
                <w:lang w:val="en-US" w:eastAsia="zh-CN"/>
              </w:rPr>
              <w:t>对矿山进行恢复，</w:t>
            </w:r>
            <w:r>
              <w:rPr>
                <w:rFonts w:hint="default" w:ascii="Times New Roman" w:hAnsi="Times New Roman" w:eastAsia="宋体" w:cs="Times New Roman"/>
                <w:color w:val="auto"/>
                <w:highlight w:val="none"/>
                <w:lang w:val="en-US"/>
              </w:rPr>
              <w:t>竣工后经专家验收合格。</w:t>
            </w:r>
          </w:p>
        </w:tc>
        <w:tc>
          <w:tcPr>
            <w:tcW w:w="674"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695" w:type="dxa"/>
            <w:gridSpan w:val="2"/>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第二十三条矿山建设项目防治污染设施，应当与主体工程同时设计、同时施工、同时投产使用。防治污染的设施应当符合经批准的环境影响评价文件的要求，不得擅自拆除或者闲置。矿山企业应当建立生态环境保护管理台账，如实记录防治污染设施的运行、维护、更新和污染物排放等情况，以及相应的主要参数。</w:t>
            </w:r>
          </w:p>
        </w:tc>
        <w:tc>
          <w:tcPr>
            <w:tcW w:w="2917" w:type="dxa"/>
            <w:vMerge w:val="restart"/>
            <w:vAlign w:val="center"/>
          </w:tcPr>
          <w:p>
            <w:pPr>
              <w:pStyle w:val="104"/>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本项目</w:t>
            </w:r>
            <w:r>
              <w:rPr>
                <w:rFonts w:hint="default" w:ascii="Times New Roman" w:hAnsi="Times New Roman" w:eastAsia="宋体" w:cs="Times New Roman"/>
                <w:color w:val="auto"/>
                <w:highlight w:val="none"/>
                <w:lang w:val="en-US" w:eastAsia="zh-CN"/>
              </w:rPr>
              <w:t>矿山均已荒废多年，无近期开采痕迹。2016年后开采方式改为地下开采，受市场行情影响，仅在施工过程形成平硐峒口2处，项目一直未正式投入运行。</w:t>
            </w:r>
          </w:p>
        </w:tc>
        <w:tc>
          <w:tcPr>
            <w:tcW w:w="674" w:type="dxa"/>
            <w:vMerge w:val="restart"/>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695" w:type="dxa"/>
            <w:gridSpan w:val="2"/>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第二十四条矿山企业应当在编制环境影响报告书、环境影响报告表的矿山建设项目竣工后，对配套建设的生态环境保护设施进行验收，编制验收报告，并依法向社会公开。</w:t>
            </w:r>
          </w:p>
        </w:tc>
        <w:tc>
          <w:tcPr>
            <w:tcW w:w="2917" w:type="dxa"/>
            <w:vMerge w:val="continue"/>
            <w:vAlign w:val="center"/>
          </w:tcPr>
          <w:p>
            <w:pPr>
              <w:pStyle w:val="104"/>
              <w:jc w:val="center"/>
              <w:rPr>
                <w:rFonts w:hint="default" w:ascii="Times New Roman" w:hAnsi="Times New Roman" w:eastAsia="宋体" w:cs="Times New Roman"/>
                <w:color w:val="auto"/>
                <w:highlight w:val="none"/>
                <w:lang w:val="en-US" w:eastAsia="zh-CN"/>
              </w:rPr>
            </w:pPr>
          </w:p>
        </w:tc>
        <w:tc>
          <w:tcPr>
            <w:tcW w:w="674" w:type="dxa"/>
            <w:vMerge w:val="continue"/>
            <w:vAlign w:val="center"/>
          </w:tcPr>
          <w:p>
            <w:pPr>
              <w:pStyle w:val="104"/>
              <w:jc w:val="center"/>
              <w:rPr>
                <w:rFonts w:hint="default" w:ascii="Times New Roman" w:hAnsi="Times New Roman" w:eastAsia="宋体"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695" w:type="dxa"/>
            <w:gridSpan w:val="2"/>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第二十七条矿山企业应当加强尾矿、废石、废水的综合利用，减少矿产资源在开发过程中对生态环境的影响;不得向江河、湖泊、运河、渠道、水库及其最高水位线以下的滩地和岸坡等法律、法规规定禁止倾倒、堆放废弃物的地点倾倒、堆放废弃物。</w:t>
            </w:r>
          </w:p>
        </w:tc>
        <w:tc>
          <w:tcPr>
            <w:tcW w:w="2917"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本项目废石回填采空区，综合利用不外排。矿井涌水排至地表沉淀池，沉淀后供给生产、抑尘及绿化用水，不外排。生活污水排入旱厕定期清掏。</w:t>
            </w:r>
          </w:p>
        </w:tc>
        <w:tc>
          <w:tcPr>
            <w:tcW w:w="674"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符合</w:t>
            </w:r>
          </w:p>
        </w:tc>
      </w:tr>
    </w:tbl>
    <w:p>
      <w:pPr>
        <w:ind w:firstLine="480"/>
        <w:rPr>
          <w:rFonts w:hint="default" w:ascii="Times New Roman" w:hAnsi="Times New Roman" w:eastAsia="宋体" w:cs="Times New Roman"/>
          <w:bCs/>
          <w:color w:val="auto"/>
          <w:kern w:val="0"/>
          <w:highlight w:val="none"/>
        </w:rPr>
      </w:pPr>
      <w:r>
        <w:rPr>
          <w:rFonts w:hint="default" w:ascii="Times New Roman" w:hAnsi="Times New Roman" w:eastAsia="宋体" w:cs="Times New Roman"/>
          <w:bCs/>
          <w:color w:val="auto"/>
          <w:kern w:val="0"/>
          <w:highlight w:val="none"/>
        </w:rPr>
        <w:t>根据表</w:t>
      </w:r>
      <w:r>
        <w:rPr>
          <w:rFonts w:hint="default" w:ascii="Times New Roman" w:hAnsi="Times New Roman" w:eastAsia="宋体" w:cs="Times New Roman"/>
          <w:bCs/>
          <w:color w:val="auto"/>
          <w:kern w:val="0"/>
          <w:highlight w:val="none"/>
          <w:lang w:eastAsia="zh-CN"/>
        </w:rPr>
        <w:t>10.1</w:t>
      </w:r>
      <w:r>
        <w:rPr>
          <w:rFonts w:hint="default" w:ascii="Times New Roman" w:hAnsi="Times New Roman" w:eastAsia="宋体" w:cs="Times New Roman"/>
          <w:bCs/>
          <w:color w:val="auto"/>
          <w:kern w:val="0"/>
          <w:highlight w:val="none"/>
        </w:rPr>
        <w:t>-</w:t>
      </w:r>
      <w:r>
        <w:rPr>
          <w:rFonts w:hint="default" w:ascii="Times New Roman" w:hAnsi="Times New Roman" w:eastAsia="宋体" w:cs="Times New Roman"/>
          <w:bCs/>
          <w:color w:val="auto"/>
          <w:kern w:val="0"/>
          <w:highlight w:val="none"/>
          <w:lang w:val="en-US" w:eastAsia="zh-CN"/>
        </w:rPr>
        <w:t>3</w:t>
      </w:r>
      <w:r>
        <w:rPr>
          <w:rFonts w:hint="default" w:ascii="Times New Roman" w:hAnsi="Times New Roman" w:eastAsia="宋体" w:cs="Times New Roman"/>
          <w:bCs/>
          <w:color w:val="auto"/>
          <w:kern w:val="0"/>
          <w:highlight w:val="none"/>
        </w:rPr>
        <w:t>可知，本项目与《</w:t>
      </w:r>
      <w:r>
        <w:rPr>
          <w:rFonts w:hint="default" w:ascii="Times New Roman" w:hAnsi="Times New Roman" w:eastAsia="宋体" w:cs="Times New Roman"/>
          <w:color w:val="auto"/>
          <w:highlight w:val="none"/>
          <w:lang w:val="en-US" w:eastAsia="zh-CN"/>
        </w:rPr>
        <w:t>辽宁省矿山综合治理条例</w:t>
      </w:r>
      <w:r>
        <w:rPr>
          <w:rFonts w:hint="default" w:ascii="Times New Roman" w:hAnsi="Times New Roman" w:eastAsia="宋体" w:cs="Times New Roman"/>
          <w:bCs/>
          <w:color w:val="auto"/>
          <w:kern w:val="0"/>
          <w:highlight w:val="none"/>
        </w:rPr>
        <w:t>》相关要求相符。</w:t>
      </w:r>
    </w:p>
    <w:p>
      <w:pPr>
        <w:pStyle w:val="5"/>
        <w:bidi w:val="0"/>
        <w:rPr>
          <w:rFonts w:hint="default"/>
          <w:color w:val="auto"/>
        </w:rPr>
      </w:pPr>
      <w:r>
        <w:rPr>
          <w:rFonts w:hint="default"/>
          <w:color w:val="auto"/>
        </w:rPr>
        <w:t>《自然资源部办公厅 生态环境部办公厅关于加快推进露天矿山综合整治工作实施意见的函》相符性分析</w:t>
      </w:r>
    </w:p>
    <w:p>
      <w:pPr>
        <w:bidi w:val="0"/>
        <w:rPr>
          <w:rFonts w:hint="default"/>
          <w:color w:val="auto"/>
        </w:rPr>
      </w:pPr>
      <w:r>
        <w:rPr>
          <w:rFonts w:hint="eastAsia" w:ascii="宋体" w:hAnsi="宋体" w:eastAsia="宋体" w:cs="宋体"/>
          <w:i w:val="0"/>
          <w:iCs w:val="0"/>
          <w:caps w:val="0"/>
          <w:color w:val="auto"/>
          <w:spacing w:val="0"/>
          <w:sz w:val="24"/>
          <w:szCs w:val="24"/>
          <w:shd w:val="clear" w:fill="FFFFFF"/>
        </w:rPr>
        <w:t>按照《国务院关于印发打赢蓝天保卫战三年行动计划的通知》（国发〔2018〕22号）要求，自然资源部会同生态环境部等部门统筹推进全国露天矿山综合整治工作。为协同做好露天矿山综合整治工作，现将有关实施意见函告如下。</w:t>
      </w:r>
      <w:r>
        <w:rPr>
          <w:rFonts w:hint="default"/>
          <w:color w:val="auto"/>
        </w:rPr>
        <w:t>本项目与自然资办函〔2019〕819号符合性分析详见表</w:t>
      </w:r>
      <w:r>
        <w:rPr>
          <w:rFonts w:hint="default"/>
          <w:color w:val="auto"/>
          <w:lang w:eastAsia="zh-CN"/>
        </w:rPr>
        <w:t>10.1</w:t>
      </w:r>
      <w:r>
        <w:rPr>
          <w:rFonts w:hint="default"/>
          <w:color w:val="auto"/>
        </w:rPr>
        <w:t>-</w:t>
      </w:r>
      <w:r>
        <w:rPr>
          <w:rFonts w:hint="eastAsia"/>
          <w:color w:val="auto"/>
          <w:lang w:val="en-US" w:eastAsia="zh-CN"/>
        </w:rPr>
        <w:t>4</w:t>
      </w:r>
      <w:r>
        <w:rPr>
          <w:rFonts w:hint="default"/>
          <w:color w:val="auto"/>
        </w:rPr>
        <w:t>。</w:t>
      </w:r>
    </w:p>
    <w:p>
      <w:pPr>
        <w:spacing w:line="480" w:lineRule="exact"/>
        <w:ind w:firstLine="422"/>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default" w:ascii="Times New Roman" w:hAnsi="Times New Roman" w:eastAsia="宋体" w:cs="Times New Roman"/>
          <w:b/>
          <w:bCs/>
          <w:color w:val="auto"/>
          <w:kern w:val="0"/>
          <w:sz w:val="21"/>
          <w:szCs w:val="21"/>
          <w:highlight w:val="none"/>
          <w:lang w:eastAsia="zh-CN"/>
        </w:rPr>
        <w:t>10.1</w:t>
      </w:r>
      <w:r>
        <w:rPr>
          <w:rFonts w:hint="default" w:ascii="Times New Roman" w:hAnsi="Times New Roman" w:eastAsia="宋体" w:cs="Times New Roman"/>
          <w:b/>
          <w:bCs/>
          <w:color w:val="auto"/>
          <w:kern w:val="0"/>
          <w:sz w:val="21"/>
          <w:szCs w:val="21"/>
          <w:highlight w:val="none"/>
        </w:rPr>
        <w:t>-</w:t>
      </w:r>
      <w:r>
        <w:rPr>
          <w:rFonts w:hint="eastAsia" w:ascii="Times New Roman" w:hAnsi="Times New Roman" w:eastAsia="宋体" w:cs="Times New Roman"/>
          <w:b/>
          <w:bCs/>
          <w:color w:val="auto"/>
          <w:kern w:val="0"/>
          <w:sz w:val="21"/>
          <w:szCs w:val="21"/>
          <w:highlight w:val="none"/>
          <w:lang w:val="en-US" w:eastAsia="zh-CN"/>
        </w:rPr>
        <w:t>4</w:t>
      </w:r>
      <w:r>
        <w:rPr>
          <w:rFonts w:hint="default" w:ascii="Times New Roman" w:hAnsi="Times New Roman" w:eastAsia="宋体" w:cs="Times New Roman"/>
          <w:b/>
          <w:bCs/>
          <w:color w:val="auto"/>
          <w:kern w:val="0"/>
          <w:sz w:val="21"/>
          <w:szCs w:val="21"/>
          <w:highlight w:val="none"/>
        </w:rPr>
        <w:t>本项目与自然资办函〔2019〕819号对照分析表</w:t>
      </w:r>
    </w:p>
    <w:tbl>
      <w:tblPr>
        <w:tblStyle w:val="4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3402"/>
        <w:gridCol w:w="4535"/>
        <w:gridCol w:w="6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7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序号</w:t>
            </w:r>
          </w:p>
        </w:tc>
        <w:tc>
          <w:tcPr>
            <w:tcW w:w="3402" w:type="dxa"/>
            <w:vAlign w:val="center"/>
          </w:tcPr>
          <w:p>
            <w:pPr>
              <w:pStyle w:val="104"/>
              <w:jc w:val="center"/>
              <w:rPr>
                <w:rFonts w:hint="default" w:ascii="Times New Roman" w:hAnsi="Times New Roman" w:eastAsia="宋体" w:cs="Times New Roman"/>
                <w:color w:val="auto"/>
                <w:highlight w:val="none"/>
              </w:rPr>
            </w:pPr>
            <w:r>
              <w:rPr>
                <w:rFonts w:hint="default"/>
                <w:color w:val="auto"/>
              </w:rPr>
              <w:t>自然资办函〔2019〕819号</w:t>
            </w:r>
          </w:p>
        </w:tc>
        <w:tc>
          <w:tcPr>
            <w:tcW w:w="453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本项目情况</w:t>
            </w:r>
          </w:p>
        </w:tc>
        <w:tc>
          <w:tcPr>
            <w:tcW w:w="67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是否</w:t>
            </w:r>
          </w:p>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强露天矿山生态修复。按照“谁开采、谁治理，边开采、边治理”原则，引导矿山按照绿色矿山建设行业标准，以环境影响报告书及批复、矿山地质环境保护与土地复垦方案等要求，开展生态修复。对责任主体灭失的露天矿山，按照“谁治理、谁受益”的原则，充分发挥财政资金的引导带动作用，大力探索构建“政府主导、政策扶持、社会参与、开发式治理、市场化运作”的矿山地质环境恢复和综合治理新模式，加快生态修复进度。</w:t>
            </w:r>
          </w:p>
        </w:tc>
        <w:tc>
          <w:tcPr>
            <w:tcW w:w="4535" w:type="dxa"/>
            <w:vAlign w:val="center"/>
          </w:tcPr>
          <w:p>
            <w:pPr>
              <w:spacing w:line="240" w:lineRule="auto"/>
              <w:ind w:firstLine="0" w:firstLineChars="0"/>
              <w:rPr>
                <w:rFonts w:hint="default" w:ascii="Times New Roman" w:hAnsi="Times New Roman" w:eastAsia="宋体" w:cs="Times New Roman"/>
                <w:color w:val="auto"/>
                <w:sz w:val="21"/>
                <w:szCs w:val="21"/>
                <w:highlight w:val="none"/>
                <w:lang w:val="en-US"/>
              </w:rPr>
            </w:pPr>
            <w:r>
              <w:rPr>
                <w:rFonts w:hint="eastAsia" w:ascii="Times New Roman" w:hAnsi="Times New Roman" w:eastAsia="宋体" w:cs="Times New Roman"/>
                <w:color w:val="auto"/>
                <w:sz w:val="21"/>
                <w:szCs w:val="21"/>
                <w:highlight w:val="none"/>
                <w:lang w:val="en-US" w:eastAsia="zh-CN"/>
              </w:rPr>
              <w:t>本项目已按照《岫岩满族自治县苏子沟镇大何家堡村钾长石矿2021年度矿山地质环境保护与恢复治理工程实施方案》对矿山进行恢复，竣工后经专家验收合格；委托岫岩满族自治县金源勘查有限公司编制完成《岫岩满族自治县苏子沟镇大何家堡村钾长石矿矿山地质环境保护与土地复垦方案》，并通过评审；严格按照矿山地质环境保护与土地复垦方案要求，开展生态修复。</w:t>
            </w:r>
          </w:p>
        </w:tc>
        <w:tc>
          <w:tcPr>
            <w:tcW w:w="674" w:type="dxa"/>
            <w:vAlign w:val="center"/>
          </w:tcPr>
          <w:p>
            <w:pPr>
              <w:pStyle w:val="10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vAlign w:val="center"/>
          </w:tcPr>
          <w:p>
            <w:pPr>
              <w:pStyle w:val="104"/>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2</w:t>
            </w:r>
          </w:p>
        </w:tc>
        <w:tc>
          <w:tcPr>
            <w:tcW w:w="3402" w:type="dxa"/>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格控制新建露天矿山建设项目。严格贯彻国发〔2018〕22号文件有关要求，重点区域原则上禁止新建露天矿山建设项目，国发〔2018〕22号文件下发前环境影响评价文件已经批复的重点区域露天矿山，确需建设的，在严格落实生态环境保护、矿产资源规划和绿色矿山建设行业标准等要求前提下可继续批准建设。其他区域新建露天矿山建设项目，也应严格执行生态环境保护、矿产资源规划和绿色矿山建设行业标准等要求。</w:t>
            </w:r>
          </w:p>
        </w:tc>
        <w:tc>
          <w:tcPr>
            <w:tcW w:w="4535" w:type="dxa"/>
            <w:vAlign w:val="center"/>
          </w:tcPr>
          <w:p>
            <w:pPr>
              <w:spacing w:line="240" w:lineRule="auto"/>
              <w:ind w:firstLine="0" w:firstLineChars="0"/>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不属于国发〔2018〕22号文件中的重点区域；已按照《岫岩满族自治县苏子沟镇大何家堡村钾长石矿2021年度矿山地质环境保护与恢复治理工程实施方案》对矿山进行恢复，竣工后经专家验收合格；委托岫岩满族自治县金源勘查有限公司编制完成《岫岩满族自治县苏子沟镇大何家堡村钾长石矿矿山地质环境保护与土地复垦方案》，并通过评审；符合矿产资源规划；满足《非金属矿行业绿色矿山建设要求》的要求。</w:t>
            </w:r>
          </w:p>
        </w:tc>
        <w:tc>
          <w:tcPr>
            <w:tcW w:w="674" w:type="dxa"/>
            <w:vAlign w:val="center"/>
          </w:tcPr>
          <w:p>
            <w:pPr>
              <w:pStyle w:val="104"/>
              <w:jc w:val="center"/>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符合</w:t>
            </w:r>
          </w:p>
        </w:tc>
      </w:tr>
    </w:tbl>
    <w:p>
      <w:pPr>
        <w:pStyle w:val="4"/>
        <w:bidi w:val="0"/>
        <w:rPr>
          <w:rFonts w:hint="default"/>
          <w:color w:val="auto"/>
        </w:rPr>
      </w:pPr>
      <w:bookmarkStart w:id="774" w:name="_Toc28130"/>
      <w:r>
        <w:rPr>
          <w:rFonts w:hint="default"/>
          <w:color w:val="auto"/>
          <w:lang w:val="en-US" w:eastAsia="zh-CN"/>
        </w:rPr>
        <w:t>与相关规划</w:t>
      </w:r>
      <w:r>
        <w:rPr>
          <w:rFonts w:hint="default"/>
          <w:color w:val="auto"/>
        </w:rPr>
        <w:t>符合性分析</w:t>
      </w:r>
      <w:bookmarkEnd w:id="774"/>
    </w:p>
    <w:p>
      <w:pPr>
        <w:pStyle w:val="5"/>
        <w:bidi w:val="0"/>
        <w:rPr>
          <w:rFonts w:hint="default"/>
          <w:color w:val="auto"/>
          <w:highlight w:val="none"/>
        </w:rPr>
      </w:pPr>
      <w:bookmarkStart w:id="775" w:name="_Toc445969184"/>
      <w:r>
        <w:rPr>
          <w:rFonts w:hint="default"/>
          <w:color w:val="auto"/>
          <w:highlight w:val="none"/>
        </w:rPr>
        <w:t>《辽宁省矿产资源总体规划(2016-2020年)》符合性分析</w:t>
      </w:r>
      <w:bookmarkEnd w:id="775"/>
    </w:p>
    <w:p>
      <w:pPr>
        <w:autoSpaceDE w:val="0"/>
        <w:autoSpaceDN w:val="0"/>
        <w:ind w:firstLine="480"/>
        <w:textAlignment w:val="bottom"/>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1）《辽宁省矿产资源总体规划(2016-2020年)》</w:t>
      </w:r>
    </w:p>
    <w:p>
      <w:pPr>
        <w:autoSpaceDE w:val="0"/>
        <w:autoSpaceDN w:val="0"/>
        <w:ind w:firstLine="480"/>
        <w:textAlignment w:val="bottom"/>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（1）开发利用方向</w:t>
      </w:r>
      <w:r>
        <w:rPr>
          <w:rFonts w:hint="default" w:ascii="Times New Roman" w:hAnsi="Times New Roman" w:eastAsia="宋体" w:cs="Times New Roman"/>
          <w:color w:val="auto"/>
          <w:highlight w:val="none"/>
        </w:rPr>
        <w:drawing>
          <wp:anchor distT="0" distB="0" distL="114300" distR="114300" simplePos="0" relativeHeight="251666432" behindDoc="0" locked="0" layoutInCell="1" allowOverlap="1">
            <wp:simplePos x="0" y="0"/>
            <wp:positionH relativeFrom="column">
              <wp:posOffset>8035290</wp:posOffset>
            </wp:positionH>
            <wp:positionV relativeFrom="paragraph">
              <wp:posOffset>-1243965</wp:posOffset>
            </wp:positionV>
            <wp:extent cx="499745" cy="600710"/>
            <wp:effectExtent l="19050" t="0" r="0" b="0"/>
            <wp:wrapNone/>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noChangeArrowheads="1"/>
                    </pic:cNvPicPr>
                  </pic:nvPicPr>
                  <pic:blipFill>
                    <a:blip r:embed="rId235"/>
                    <a:srcRect/>
                    <a:stretch>
                      <a:fillRect/>
                    </a:stretch>
                  </pic:blipFill>
                  <pic:spPr>
                    <a:xfrm>
                      <a:off x="0" y="0"/>
                      <a:ext cx="499745" cy="600710"/>
                    </a:xfrm>
                    <a:prstGeom prst="rect">
                      <a:avLst/>
                    </a:prstGeom>
                    <a:noFill/>
                  </pic:spPr>
                </pic:pic>
              </a:graphicData>
            </a:graphic>
          </wp:anchor>
        </w:drawing>
      </w:r>
    </w:p>
    <w:p>
      <w:pPr>
        <w:bidi w:val="0"/>
        <w:rPr>
          <w:color w:val="auto"/>
        </w:rPr>
      </w:pPr>
      <w:bookmarkStart w:id="776" w:name="_Toc466460825"/>
      <w:r>
        <w:rPr>
          <w:rFonts w:hint="eastAsia"/>
          <w:color w:val="auto"/>
        </w:rPr>
        <w:t>重点勘查</w:t>
      </w:r>
      <w:bookmarkEnd w:id="776"/>
      <w:r>
        <w:rPr>
          <w:rFonts w:hint="eastAsia"/>
          <w:color w:val="auto"/>
        </w:rPr>
        <w:t>地热、干热岩等能源矿产；重点勘查铁矿、铜矿、钼矿、金矿和“三稀矿产”等金属矿产；重点勘查硼矿、滑石、玉石、金刚石、长石、晶质石墨等非金属矿产。</w:t>
      </w:r>
      <w:bookmarkStart w:id="777" w:name="_Toc466460827"/>
      <w:r>
        <w:rPr>
          <w:rFonts w:hint="eastAsia"/>
          <w:color w:val="auto"/>
        </w:rPr>
        <w:t>限制勘查</w:t>
      </w:r>
      <w:bookmarkEnd w:id="777"/>
      <w:r>
        <w:rPr>
          <w:rFonts w:hint="eastAsia"/>
          <w:color w:val="auto"/>
        </w:rPr>
        <w:t>劣质煤等矿产。</w:t>
      </w:r>
    </w:p>
    <w:p>
      <w:pPr>
        <w:ind w:firstLine="480"/>
        <w:jc w:val="left"/>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本项目为</w:t>
      </w:r>
      <w:r>
        <w:rPr>
          <w:rFonts w:hint="default" w:ascii="Times New Roman" w:hAnsi="Times New Roman" w:eastAsia="宋体" w:cs="Times New Roman"/>
          <w:b/>
          <w:bCs/>
          <w:color w:val="auto"/>
          <w:highlight w:val="none"/>
          <w:lang w:eastAsia="zh-CN"/>
        </w:rPr>
        <w:t>钾长石矿</w:t>
      </w:r>
      <w:r>
        <w:rPr>
          <w:rFonts w:hint="default" w:ascii="Times New Roman" w:hAnsi="Times New Roman" w:eastAsia="宋体" w:cs="Times New Roman"/>
          <w:b/>
          <w:bCs/>
          <w:color w:val="auto"/>
          <w:highlight w:val="none"/>
        </w:rPr>
        <w:t>开采，</w:t>
      </w:r>
      <w:r>
        <w:rPr>
          <w:rFonts w:hint="eastAsia" w:cs="Times New Roman"/>
          <w:b/>
          <w:bCs/>
          <w:color w:val="auto"/>
          <w:highlight w:val="none"/>
          <w:lang w:val="en-US" w:eastAsia="zh-CN"/>
        </w:rPr>
        <w:t>属于重点开采</w:t>
      </w:r>
      <w:r>
        <w:rPr>
          <w:rStyle w:val="201"/>
          <w:rFonts w:hint="default" w:ascii="Times New Roman" w:hAnsi="Times New Roman" w:eastAsia="宋体" w:cs="Times New Roman"/>
          <w:b/>
          <w:bCs/>
          <w:color w:val="auto"/>
          <w:sz w:val="24"/>
          <w:highlight w:val="none"/>
        </w:rPr>
        <w:t>矿种</w:t>
      </w:r>
      <w:r>
        <w:rPr>
          <w:rFonts w:hint="default" w:ascii="Times New Roman" w:hAnsi="Times New Roman" w:eastAsia="宋体" w:cs="Times New Roman"/>
          <w:b/>
          <w:bCs/>
          <w:color w:val="auto"/>
          <w:highlight w:val="none"/>
        </w:rPr>
        <w:t>。</w:t>
      </w:r>
    </w:p>
    <w:p>
      <w:pPr>
        <w:autoSpaceDE w:val="0"/>
        <w:autoSpaceDN w:val="0"/>
        <w:ind w:firstLine="480"/>
        <w:textAlignment w:val="bottom"/>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（2）矿产资源开发利用布局</w:t>
      </w:r>
    </w:p>
    <w:p>
      <w:pPr>
        <w:autoSpaceDE w:val="0"/>
        <w:autoSpaceDN w:val="0"/>
        <w:ind w:firstLine="480"/>
        <w:textAlignment w:val="bottom"/>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紧密结合振兴东北老工业基地与加快沿海开放开发，实现辽宁振兴的战略布局，与国家和省主体功能区做好衔接，统筹工业、经济区划与矿产资源分布、矿业经济区划、扶持形成新的矿业产业集群。根据全省矿产资源分布与赋存特点、工业布局与区域经济发展水平，以市场为导向，以资源为基础，以矿产后续加工业为依托，依靠科技进步与创新，构筑与全省产业布局相协调的</w:t>
      </w:r>
      <w:r>
        <w:rPr>
          <w:rFonts w:hint="eastAsia" w:cs="Times New Roman"/>
          <w:color w:val="auto"/>
          <w:highlight w:val="none"/>
          <w:lang w:eastAsia="zh-CN"/>
        </w:rPr>
        <w:t>“</w:t>
      </w:r>
      <w:r>
        <w:rPr>
          <w:rFonts w:hint="default" w:ascii="Times New Roman" w:hAnsi="Times New Roman" w:eastAsia="宋体" w:cs="Times New Roman"/>
          <w:color w:val="auto"/>
          <w:highlight w:val="none"/>
        </w:rPr>
        <w:t>一中心、一带、三区</w:t>
      </w:r>
      <w:r>
        <w:rPr>
          <w:rFonts w:hint="eastAsia" w:cs="Times New Roman"/>
          <w:color w:val="auto"/>
          <w:highlight w:val="none"/>
          <w:lang w:eastAsia="zh-CN"/>
        </w:rPr>
        <w:t>”</w:t>
      </w:r>
      <w:r>
        <w:rPr>
          <w:rFonts w:hint="default" w:ascii="Times New Roman" w:hAnsi="Times New Roman" w:eastAsia="宋体" w:cs="Times New Roman"/>
          <w:color w:val="auto"/>
          <w:highlight w:val="none"/>
        </w:rPr>
        <w:t>的矿产资源开发利用格局。一中心指中部城市群矿业经济发展中心，一带指沿海矿业经济发展带，三区指辽东、辽西、辽北矿业经济发展区。辽宁矿业将以中部城市群地区为重振雄风的主战场，以沿海为对外开放的前沿阵地，以三区为羽翼，与时俱进，协调发展。</w:t>
      </w:r>
    </w:p>
    <w:p>
      <w:pPr>
        <w:ind w:firstLine="480"/>
        <w:jc w:val="left"/>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辽宁中部城市群矿业经济发展中心包括沈阳、抚顺、鞍山、本溪、辽阳的大部分地区。该区工业基础和科技力量雄厚，是我省老工业基地的核心区，也是全省经济最发达的地区。区内铁、煤、滑石、玉石及冶金辅助原料等优势矿产极其丰富且配套。该中心矿业经济发展的方向是：做大做强黑色金属、石油（天然气）矿业；做强做优菱镁、玉石等各种非金属矿业；用高新技术和先进适用技术，加速对鞍钢、本钢、抚钢、海镁、海城滑石、岫玉等传统资源产业提升改造，加速产业结构调整，挖潜、增效；组织对菱镁、滑石、岫玉等传统出口创汇产品的精深加工，实施名牌发展战略；加强对方解石、水镁石、煤层气、矿泉水、地热等矿产的开发利用。</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本项目位于鞍山岫岩满族自治县，属于</w:t>
      </w:r>
      <w:r>
        <w:rPr>
          <w:rFonts w:hint="default" w:ascii="Times New Roman" w:hAnsi="Times New Roman" w:eastAsia="宋体" w:cs="Times New Roman"/>
          <w:bCs/>
          <w:color w:val="auto"/>
          <w:highlight w:val="none"/>
        </w:rPr>
        <w:t>辽宁中部城市群矿业经济发展中心</w:t>
      </w:r>
      <w:r>
        <w:rPr>
          <w:rFonts w:hint="default" w:ascii="Times New Roman" w:hAnsi="Times New Roman" w:eastAsia="宋体" w:cs="Times New Roman"/>
          <w:color w:val="auto"/>
          <w:highlight w:val="none"/>
        </w:rPr>
        <w:t>内</w:t>
      </w:r>
      <w:r>
        <w:rPr>
          <w:rFonts w:hint="default" w:ascii="Times New Roman" w:hAnsi="Times New Roman" w:eastAsia="宋体" w:cs="Times New Roman"/>
          <w:bCs/>
          <w:color w:val="auto"/>
          <w:highlight w:val="none"/>
        </w:rPr>
        <w:t>优势的矿产</w:t>
      </w:r>
      <w:r>
        <w:rPr>
          <w:rFonts w:hint="default" w:ascii="Times New Roman" w:hAnsi="Times New Roman" w:eastAsia="宋体" w:cs="Times New Roman"/>
          <w:color w:val="auto"/>
          <w:highlight w:val="none"/>
        </w:rPr>
        <w:t>，符合《辽宁省矿产资源总体规划（</w:t>
      </w:r>
      <w:r>
        <w:rPr>
          <w:rFonts w:hint="default" w:ascii="Times New Roman" w:hAnsi="Times New Roman" w:eastAsia="宋体" w:cs="Times New Roman"/>
          <w:bCs/>
          <w:color w:val="auto"/>
          <w:highlight w:val="none"/>
        </w:rPr>
        <w:t>2016—2020年</w:t>
      </w:r>
      <w:r>
        <w:rPr>
          <w:rFonts w:hint="default" w:ascii="Times New Roman" w:hAnsi="Times New Roman" w:eastAsia="宋体" w:cs="Times New Roman"/>
          <w:color w:val="auto"/>
          <w:highlight w:val="none"/>
        </w:rPr>
        <w:t>）》内容。</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2、开采规划分区</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依据规划，全省划定重点矿区25个，其中6个国家规划矿区；禁止开采区12个，是依法依规设置的各级各类生态保护地等限制开采区3个，涉及的矿种主要是劣质煤。</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本项目位于岫岩-风城铅、锌多金属矿重点矿区（见图</w:t>
      </w:r>
      <w:r>
        <w:rPr>
          <w:rFonts w:hint="eastAsia" w:cs="Times New Roman"/>
          <w:color w:val="auto"/>
          <w:highlight w:val="none"/>
          <w:lang w:val="en-US" w:eastAsia="zh-CN"/>
        </w:rPr>
        <w:t>10.2</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），编号ZK016，类别属于重点矿区，面积2569.81km，主要矿产为铅、锌、金。</w:t>
      </w:r>
    </w:p>
    <w:p>
      <w:pPr>
        <w:bidi w:val="0"/>
        <w:rPr>
          <w:rFonts w:hint="default"/>
          <w:color w:val="auto"/>
          <w:highlight w:val="none"/>
        </w:rPr>
      </w:pPr>
      <w:r>
        <w:rPr>
          <w:rFonts w:hint="default"/>
          <w:color w:val="auto"/>
          <w:highlight w:val="none"/>
        </w:rPr>
        <w:t>3、矿山开采服务年限</w:t>
      </w:r>
    </w:p>
    <w:p>
      <w:pPr>
        <w:bidi w:val="0"/>
        <w:rPr>
          <w:rFonts w:hint="default"/>
          <w:color w:val="auto"/>
          <w:highlight w:val="none"/>
        </w:rPr>
      </w:pPr>
      <w:r>
        <w:rPr>
          <w:rFonts w:hint="default"/>
          <w:color w:val="auto"/>
          <w:highlight w:val="none"/>
        </w:rPr>
        <w:t>本项目属于</w:t>
      </w:r>
      <w:r>
        <w:rPr>
          <w:rFonts w:hint="eastAsia"/>
          <w:color w:val="auto"/>
          <w:highlight w:val="none"/>
          <w:lang w:val="en-US" w:eastAsia="zh-CN"/>
        </w:rPr>
        <w:t>长石矿</w:t>
      </w:r>
      <w:r>
        <w:rPr>
          <w:rFonts w:hint="default"/>
          <w:color w:val="auto"/>
          <w:highlight w:val="none"/>
        </w:rPr>
        <w:t>，设计开采规模为</w:t>
      </w:r>
      <w:r>
        <w:rPr>
          <w:rFonts w:hint="eastAsia"/>
          <w:color w:val="auto"/>
          <w:highlight w:val="none"/>
          <w:lang w:val="en-US" w:eastAsia="zh-CN"/>
        </w:rPr>
        <w:t>15</w:t>
      </w:r>
      <w:r>
        <w:rPr>
          <w:rFonts w:hint="default"/>
          <w:color w:val="auto"/>
          <w:highlight w:val="none"/>
        </w:rPr>
        <w:t>万t/a，满足</w:t>
      </w:r>
      <w:r>
        <w:rPr>
          <w:rFonts w:hint="eastAsia"/>
          <w:color w:val="auto"/>
          <w:highlight w:val="none"/>
          <w:lang w:val="en-US" w:eastAsia="zh-CN"/>
        </w:rPr>
        <w:t>长石矿中型矿山最低开采规模</w:t>
      </w:r>
      <w:r>
        <w:rPr>
          <w:rFonts w:hint="default"/>
          <w:color w:val="auto"/>
          <w:highlight w:val="none"/>
        </w:rPr>
        <w:t>要求。</w:t>
      </w:r>
    </w:p>
    <w:p>
      <w:pPr>
        <w:bidi w:val="0"/>
        <w:rPr>
          <w:rFonts w:hint="default" w:eastAsia="宋体"/>
          <w:color w:val="auto"/>
          <w:highlight w:val="none"/>
          <w:lang w:val="en-US" w:eastAsia="zh-CN"/>
        </w:rPr>
      </w:pPr>
      <w:r>
        <w:rPr>
          <w:rFonts w:hint="default"/>
          <w:color w:val="auto"/>
          <w:highlight w:val="none"/>
        </w:rPr>
        <w:t>综上所述，本项目满足辽宁省矿产资源总体规划要求。</w:t>
      </w:r>
    </w:p>
    <w:p>
      <w:pPr>
        <w:pStyle w:val="27"/>
        <w:rPr>
          <w:rFonts w:hint="default"/>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p>
    <w:p>
      <w:pPr>
        <w:bidi w:val="0"/>
        <w:ind w:left="0" w:leftChars="0" w:firstLine="0" w:firstLineChars="0"/>
        <w:rPr>
          <w:color w:val="auto"/>
          <w:highlight w:val="none"/>
        </w:rPr>
      </w:pPr>
      <w:r>
        <w:rPr>
          <w:color w:val="auto"/>
          <w:highlight w:val="none"/>
        </w:rPr>
        <w:drawing>
          <wp:inline distT="0" distB="0" distL="114300" distR="114300">
            <wp:extent cx="8585200" cy="5257800"/>
            <wp:effectExtent l="0" t="0" r="6350" b="0"/>
            <wp:docPr id="7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4"/>
                    <pic:cNvPicPr>
                      <a:picLocks noChangeAspect="1"/>
                    </pic:cNvPicPr>
                  </pic:nvPicPr>
                  <pic:blipFill>
                    <a:blip r:embed="rId236"/>
                    <a:stretch>
                      <a:fillRect/>
                    </a:stretch>
                  </pic:blipFill>
                  <pic:spPr>
                    <a:xfrm>
                      <a:off x="0" y="0"/>
                      <a:ext cx="8585200" cy="5257800"/>
                    </a:xfrm>
                    <a:prstGeom prst="rect">
                      <a:avLst/>
                    </a:prstGeom>
                    <a:noFill/>
                    <a:ln>
                      <a:noFill/>
                    </a:ln>
                  </pic:spPr>
                </pic:pic>
              </a:graphicData>
            </a:graphic>
          </wp:inline>
        </w:drawing>
      </w:r>
    </w:p>
    <w:p>
      <w:pPr>
        <w:bidi w:val="0"/>
        <w:ind w:left="0" w:leftChars="0" w:firstLine="0" w:firstLineChars="0"/>
        <w:jc w:val="center"/>
        <w:rPr>
          <w:rFonts w:hint="default"/>
          <w:b/>
          <w:bCs/>
          <w:color w:val="auto"/>
          <w:highlight w:val="none"/>
          <w:lang w:val="en-US" w:eastAsia="zh-CN"/>
        </w:rPr>
        <w:sectPr>
          <w:pgSz w:w="16840" w:h="11907" w:orient="landscape"/>
          <w:pgMar w:top="1418" w:right="158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eastAsia"/>
          <w:b/>
          <w:bCs/>
          <w:color w:val="auto"/>
          <w:highlight w:val="none"/>
          <w:lang w:val="en-US" w:eastAsia="zh-CN"/>
        </w:rPr>
        <w:t>图10.2-1  辽宁省矿产资源规划重点矿区分布图</w:t>
      </w:r>
    </w:p>
    <w:p>
      <w:pPr>
        <w:bidi w:val="0"/>
        <w:rPr>
          <w:rFonts w:hint="default" w:eastAsia="宋体"/>
          <w:b/>
          <w:bCs/>
          <w:color w:val="auto"/>
          <w:highlight w:val="none"/>
          <w:lang w:val="en-US" w:eastAsia="zh-CN"/>
        </w:rPr>
      </w:pPr>
      <w:r>
        <w:rPr>
          <w:rFonts w:hint="eastAsia"/>
          <w:b/>
          <w:bCs/>
          <w:color w:val="auto"/>
          <w:highlight w:val="none"/>
          <w:lang w:val="en-US" w:eastAsia="zh-CN"/>
        </w:rPr>
        <w:t>2）规划环评</w:t>
      </w:r>
    </w:p>
    <w:p>
      <w:pPr>
        <w:bidi w:val="0"/>
        <w:rPr>
          <w:rFonts w:hint="default"/>
          <w:color w:val="auto"/>
          <w:highlight w:val="none"/>
        </w:rPr>
      </w:pPr>
      <w:r>
        <w:rPr>
          <w:rFonts w:hint="default"/>
          <w:color w:val="auto"/>
          <w:highlight w:val="none"/>
        </w:rPr>
        <w:t>中国科学院沈阳应用生态研究所于2017年对《辽宁省矿产资源总体规划〔2016-2020年）》进行了环境影响评价，环境保护部于2017年7月21日以环审【2017】110号文予以批复。</w:t>
      </w:r>
    </w:p>
    <w:p>
      <w:pPr>
        <w:bidi w:val="0"/>
        <w:rPr>
          <w:rFonts w:hint="default"/>
          <w:color w:val="auto"/>
          <w:highlight w:val="none"/>
        </w:rPr>
      </w:pPr>
      <w:r>
        <w:rPr>
          <w:rFonts w:hint="default"/>
          <w:color w:val="auto"/>
          <w:highlight w:val="none"/>
        </w:rPr>
        <w:t>依据规划环评，本项目所在的</w:t>
      </w:r>
      <w:r>
        <w:rPr>
          <w:rFonts w:hint="eastAsia"/>
          <w:color w:val="auto"/>
          <w:highlight w:val="none"/>
          <w:lang w:eastAsia="zh-CN"/>
        </w:rPr>
        <w:t>“</w:t>
      </w:r>
      <w:r>
        <w:rPr>
          <w:rFonts w:hint="default"/>
          <w:color w:val="auto"/>
          <w:highlight w:val="none"/>
        </w:rPr>
        <w:t>帕岩-风城铅、锌、铜、锰矿重点开采区</w:t>
      </w:r>
      <w:r>
        <w:rPr>
          <w:rFonts w:hint="eastAsia"/>
          <w:color w:val="auto"/>
          <w:highlight w:val="none"/>
          <w:lang w:eastAsia="zh-CN"/>
        </w:rPr>
        <w:t>”</w:t>
      </w:r>
      <w:r>
        <w:rPr>
          <w:rFonts w:hint="default"/>
          <w:color w:val="auto"/>
          <w:highlight w:val="none"/>
        </w:rPr>
        <w:t>对全省环境综合影响的分析结果为地质环境影响为重度，水环境影响、生态保护地环境影响、水土流失影响均为轻度，综合评价其环境影响为轻度。另据规划环评，</w:t>
      </w:r>
      <w:r>
        <w:rPr>
          <w:rFonts w:hint="eastAsia"/>
          <w:color w:val="auto"/>
          <w:highlight w:val="none"/>
          <w:lang w:eastAsia="zh-CN"/>
        </w:rPr>
        <w:t>“</w:t>
      </w:r>
      <w:r>
        <w:rPr>
          <w:rFonts w:hint="default"/>
          <w:color w:val="auto"/>
          <w:highlight w:val="none"/>
        </w:rPr>
        <w:t>岫岩-凤城铅、锌、铜、锰矿重点开采区</w:t>
      </w:r>
      <w:r>
        <w:rPr>
          <w:rFonts w:hint="eastAsia"/>
          <w:color w:val="auto"/>
          <w:highlight w:val="none"/>
          <w:lang w:eastAsia="zh-CN"/>
        </w:rPr>
        <w:t>”</w:t>
      </w:r>
      <w:r>
        <w:rPr>
          <w:rFonts w:hint="default"/>
          <w:color w:val="auto"/>
          <w:highlight w:val="none"/>
        </w:rPr>
        <w:t>的规划范围与重要生态保护地无重叠，但与汤河水库水源地相重叠，重叠面积84.52km²，需要调整该重点开采区的范围。本项目位置距离汤河水库水源地15km以上，不在重叠面积内（见图</w:t>
      </w:r>
      <w:r>
        <w:rPr>
          <w:rFonts w:hint="eastAsia"/>
          <w:color w:val="auto"/>
          <w:highlight w:val="none"/>
          <w:lang w:val="en-US" w:eastAsia="zh-CN"/>
        </w:rPr>
        <w:t>10.2</w:t>
      </w:r>
      <w:r>
        <w:rPr>
          <w:rFonts w:hint="default"/>
          <w:color w:val="auto"/>
          <w:highlight w:val="none"/>
        </w:rPr>
        <w:t>-</w:t>
      </w:r>
      <w:r>
        <w:rPr>
          <w:rFonts w:hint="eastAsia"/>
          <w:color w:val="auto"/>
          <w:highlight w:val="none"/>
          <w:lang w:val="en-US" w:eastAsia="zh-CN"/>
        </w:rPr>
        <w:t>1</w:t>
      </w:r>
      <w:r>
        <w:rPr>
          <w:rFonts w:hint="default"/>
          <w:color w:val="auto"/>
          <w:highlight w:val="none"/>
        </w:rPr>
        <w:t>），因而仍位于调整后的</w:t>
      </w:r>
      <w:r>
        <w:rPr>
          <w:rFonts w:hint="eastAsia"/>
          <w:color w:val="auto"/>
          <w:highlight w:val="none"/>
          <w:lang w:eastAsia="zh-CN"/>
        </w:rPr>
        <w:t>“</w:t>
      </w:r>
      <w:r>
        <w:rPr>
          <w:rFonts w:hint="default"/>
          <w:color w:val="auto"/>
          <w:highlight w:val="none"/>
        </w:rPr>
        <w:t>岫岩-凤城铅、锌、铜、锰矿重点开采区</w:t>
      </w:r>
      <w:r>
        <w:rPr>
          <w:rFonts w:hint="eastAsia"/>
          <w:color w:val="auto"/>
          <w:highlight w:val="none"/>
          <w:lang w:eastAsia="zh-CN"/>
        </w:rPr>
        <w:t>”</w:t>
      </w:r>
      <w:r>
        <w:rPr>
          <w:rFonts w:hint="default"/>
          <w:color w:val="auto"/>
          <w:highlight w:val="none"/>
        </w:rPr>
        <w:t>。</w:t>
      </w:r>
    </w:p>
    <w:p>
      <w:pPr>
        <w:bidi w:val="0"/>
        <w:rPr>
          <w:rFonts w:hint="default" w:eastAsia="宋体"/>
          <w:color w:val="auto"/>
          <w:highlight w:val="none"/>
          <w:lang w:val="en-US" w:eastAsia="zh-CN"/>
        </w:rPr>
      </w:pPr>
      <w:r>
        <w:rPr>
          <w:rFonts w:hint="default"/>
          <w:color w:val="auto"/>
          <w:highlight w:val="none"/>
        </w:rPr>
        <w:t>依据</w:t>
      </w:r>
      <w:r>
        <w:rPr>
          <w:rFonts w:hint="eastAsia"/>
          <w:color w:val="auto"/>
          <w:highlight w:val="none"/>
          <w:lang w:eastAsia="zh-CN"/>
        </w:rPr>
        <w:t>“</w:t>
      </w:r>
      <w:r>
        <w:rPr>
          <w:rFonts w:hint="default"/>
          <w:color w:val="auto"/>
          <w:highlight w:val="none"/>
        </w:rPr>
        <w:t>环审【2017】110号</w:t>
      </w:r>
      <w:r>
        <w:rPr>
          <w:rFonts w:hint="eastAsia"/>
          <w:color w:val="auto"/>
          <w:highlight w:val="none"/>
          <w:lang w:eastAsia="zh-CN"/>
        </w:rPr>
        <w:t>”</w:t>
      </w:r>
      <w:r>
        <w:rPr>
          <w:rFonts w:hint="default"/>
          <w:color w:val="auto"/>
          <w:highlight w:val="none"/>
        </w:rPr>
        <w:t>规划环评的审查意见中</w:t>
      </w:r>
      <w:r>
        <w:rPr>
          <w:rFonts w:hint="eastAsia"/>
          <w:color w:val="auto"/>
          <w:highlight w:val="none"/>
          <w:lang w:eastAsia="zh-CN"/>
        </w:rPr>
        <w:t>“</w:t>
      </w:r>
      <w:r>
        <w:rPr>
          <w:rFonts w:hint="default"/>
          <w:color w:val="auto"/>
          <w:highlight w:val="none"/>
        </w:rPr>
        <w:t>《规划》优化和实施过程中的意见</w:t>
      </w:r>
      <w:r>
        <w:rPr>
          <w:rFonts w:hint="eastAsia"/>
          <w:color w:val="auto"/>
          <w:highlight w:val="none"/>
          <w:lang w:eastAsia="zh-CN"/>
        </w:rPr>
        <w:t>”</w:t>
      </w:r>
      <w:r>
        <w:rPr>
          <w:rFonts w:hint="default"/>
          <w:color w:val="auto"/>
          <w:highlight w:val="none"/>
        </w:rPr>
        <w:t>，具体内容与本项目的符合情况见表</w:t>
      </w:r>
      <w:r>
        <w:rPr>
          <w:rFonts w:hint="eastAsia"/>
          <w:color w:val="auto"/>
          <w:highlight w:val="none"/>
          <w:lang w:val="en-US" w:eastAsia="zh-CN"/>
        </w:rPr>
        <w:t>10.2</w:t>
      </w:r>
      <w:r>
        <w:rPr>
          <w:rFonts w:hint="default"/>
          <w:color w:val="auto"/>
          <w:highlight w:val="none"/>
        </w:rPr>
        <w:t>-</w:t>
      </w:r>
      <w:r>
        <w:rPr>
          <w:rFonts w:hint="eastAsia"/>
          <w:color w:val="auto"/>
          <w:highlight w:val="none"/>
          <w:lang w:val="en-US" w:eastAsia="zh-CN"/>
        </w:rPr>
        <w:t>1。</w:t>
      </w:r>
    </w:p>
    <w:p>
      <w:pPr>
        <w:keepNext w:val="0"/>
        <w:keepLines w:val="0"/>
        <w:pageBreakBefore w:val="0"/>
        <w:widowControl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表10.2-1 本项目与辽宁省矿产资源总体规划(2016-2020年)环评审查意见符合性</w:t>
      </w:r>
    </w:p>
    <w:tbl>
      <w:tblPr>
        <w:tblStyle w:val="46"/>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6"/>
        <w:gridCol w:w="4594"/>
        <w:gridCol w:w="2625"/>
        <w:gridCol w:w="13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left="0" w:leftChars="0" w:firstLine="0" w:firstLineChars="0"/>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序号</w:t>
            </w:r>
          </w:p>
        </w:tc>
        <w:tc>
          <w:tcPr>
            <w:tcW w:w="4594" w:type="dxa"/>
            <w:tcBorders>
              <w:tl2br w:val="nil"/>
              <w:tr2bl w:val="nil"/>
            </w:tcBorders>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环评审查意见</w:t>
            </w:r>
          </w:p>
        </w:tc>
        <w:tc>
          <w:tcPr>
            <w:tcW w:w="2625" w:type="dxa"/>
            <w:tcBorders>
              <w:tl2br w:val="nil"/>
              <w:tr2bl w:val="nil"/>
            </w:tcBorders>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本项目情况</w:t>
            </w:r>
          </w:p>
        </w:tc>
        <w:tc>
          <w:tcPr>
            <w:tcW w:w="133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4594" w:type="dxa"/>
            <w:tcBorders>
              <w:tl2br w:val="nil"/>
              <w:tr2bl w:val="nil"/>
            </w:tcBorders>
          </w:tcPr>
          <w:p>
            <w:pPr>
              <w:pStyle w:val="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tLeast"/>
              <w:ind w:left="0" w:right="0" w:firstLine="0" w:firstLineChars="0"/>
              <w:textAlignment w:val="auto"/>
              <w:rPr>
                <w:rFonts w:hint="default" w:ascii="Times New Roman" w:hAnsi="Times New Roman" w:eastAsia="宋体" w:cs="Times New Roman"/>
                <w:color w:val="auto"/>
                <w:sz w:val="21"/>
                <w:szCs w:val="21"/>
                <w:highlight w:val="none"/>
                <w:vertAlign w:val="baseline"/>
              </w:rPr>
            </w:pPr>
            <w:r>
              <w:rPr>
                <w:color w:val="auto"/>
                <w:sz w:val="21"/>
                <w:szCs w:val="21"/>
                <w:highlight w:val="none"/>
              </w:rPr>
              <w:t>坚持生态优先、绿色发展的规划理念。结合区域生态系统保护和环境质量改善要求，明确《规划》的环境目标，将规划期重点勘查、开发区域的生态环境质量底线，作为《规划》实施的硬约束，推动环境目标与资源开发目标同步实现，加快结构调整和转型。</w:t>
            </w:r>
          </w:p>
        </w:tc>
        <w:tc>
          <w:tcPr>
            <w:tcW w:w="26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left"/>
              <w:textAlignment w:val="auto"/>
              <w:rPr>
                <w:rFonts w:hint="default" w:ascii="Times New Roman" w:hAnsi="Times New Roman" w:eastAsia="宋体" w:cs="Times New Roman"/>
                <w:color w:val="auto"/>
                <w:sz w:val="21"/>
                <w:szCs w:val="21"/>
                <w:highlight w:val="none"/>
                <w:vertAlign w:val="baseline"/>
              </w:rPr>
            </w:pPr>
            <w:r>
              <w:rPr>
                <w:color w:val="auto"/>
                <w:sz w:val="21"/>
                <w:szCs w:val="21"/>
                <w:highlight w:val="none"/>
              </w:rPr>
              <w:t>本项目已编制完成《土地复垦方案》，将以</w:t>
            </w:r>
            <w:r>
              <w:rPr>
                <w:rFonts w:hint="eastAsia"/>
                <w:color w:val="auto"/>
                <w:sz w:val="21"/>
                <w:szCs w:val="21"/>
                <w:highlight w:val="none"/>
                <w:lang w:eastAsia="zh-CN"/>
              </w:rPr>
              <w:t>“</w:t>
            </w:r>
            <w:r>
              <w:rPr>
                <w:color w:val="auto"/>
                <w:sz w:val="21"/>
                <w:szCs w:val="21"/>
                <w:highlight w:val="none"/>
              </w:rPr>
              <w:t>边开采、边治理</w:t>
            </w:r>
            <w:r>
              <w:rPr>
                <w:rFonts w:hint="eastAsia"/>
                <w:color w:val="auto"/>
                <w:sz w:val="21"/>
                <w:szCs w:val="21"/>
                <w:highlight w:val="none"/>
                <w:lang w:eastAsia="zh-CN"/>
              </w:rPr>
              <w:t>”</w:t>
            </w:r>
            <w:r>
              <w:rPr>
                <w:color w:val="auto"/>
                <w:sz w:val="21"/>
                <w:szCs w:val="21"/>
                <w:highlight w:val="none"/>
              </w:rPr>
              <w:t>为原则，严格落实方案内容，并将矿山历史遗留损毁土地全部列入本项目的生态恢复范围。</w:t>
            </w:r>
          </w:p>
        </w:tc>
        <w:tc>
          <w:tcPr>
            <w:tcW w:w="133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4594" w:type="dxa"/>
            <w:tcBorders>
              <w:tl2br w:val="nil"/>
              <w:tr2bl w:val="nil"/>
            </w:tcBorders>
          </w:tcPr>
          <w:p>
            <w:pPr>
              <w:pStyle w:val="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tLeast"/>
              <w:ind w:left="0" w:right="0" w:firstLine="0" w:firstLineChars="0"/>
              <w:textAlignment w:val="auto"/>
              <w:rPr>
                <w:rFonts w:hint="default" w:ascii="Times New Roman" w:hAnsi="Times New Roman" w:eastAsia="宋体" w:cs="Times New Roman"/>
                <w:color w:val="auto"/>
                <w:sz w:val="21"/>
                <w:szCs w:val="21"/>
                <w:highlight w:val="none"/>
                <w:vertAlign w:val="baseline"/>
              </w:rPr>
            </w:pPr>
            <w:r>
              <w:rPr>
                <w:color w:val="auto"/>
                <w:sz w:val="21"/>
                <w:szCs w:val="21"/>
                <w:highlight w:val="none"/>
              </w:rPr>
              <w:t>严格保护生态空间，引导优化《规划》空间布局。加强森林、草地、湿地等生态系统保护，落实生态保护红线管控要求，依法实施强制性保护。结合《报告书》识别分析结论，对与生态保护红线存在空间冲突的矿产资源勘查开发，有关重叠区域应予以避让或不纳入《规划》，重点优化……岫岩-凤城铅、锌、铜、锰矿重点矿区，长安-五龙金、高岭土矿重点矿区等与生态保护红线重叠的重点矿区空间布局区域内已存在的矿产开发，应依法有序退出并及时开展生态修复。</w:t>
            </w:r>
          </w:p>
        </w:tc>
        <w:tc>
          <w:tcPr>
            <w:tcW w:w="26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left"/>
              <w:textAlignment w:val="auto"/>
              <w:rPr>
                <w:rFonts w:hint="default" w:ascii="Times New Roman" w:hAnsi="Times New Roman" w:eastAsia="宋体" w:cs="Times New Roman"/>
                <w:color w:val="auto"/>
                <w:sz w:val="21"/>
                <w:szCs w:val="21"/>
                <w:highlight w:val="none"/>
                <w:vertAlign w:val="baseline"/>
              </w:rPr>
            </w:pPr>
            <w:r>
              <w:rPr>
                <w:color w:val="auto"/>
                <w:sz w:val="21"/>
                <w:szCs w:val="21"/>
                <w:highlight w:val="none"/>
              </w:rPr>
              <w:t>本项目不在鞍山市划定的生态保护红线范围内，岫岩-凤城铅、锌、铜、锰矿重点矿区调整后，本项目仍位于该重点矿区内。</w:t>
            </w:r>
          </w:p>
        </w:tc>
        <w:tc>
          <w:tcPr>
            <w:tcW w:w="133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eastAsia" w:cs="Times New Roman"/>
                <w:color w:val="auto"/>
                <w:sz w:val="21"/>
                <w:szCs w:val="21"/>
                <w:highlight w:val="none"/>
                <w:vertAlign w:val="baseli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3</w:t>
            </w:r>
          </w:p>
        </w:tc>
        <w:tc>
          <w:tcPr>
            <w:tcW w:w="4594" w:type="dxa"/>
            <w:tcBorders>
              <w:tl2br w:val="nil"/>
              <w:tr2bl w:val="nil"/>
            </w:tcBorders>
          </w:tcPr>
          <w:p>
            <w:pPr>
              <w:keepNext w:val="0"/>
              <w:keepLines w:val="0"/>
              <w:pageBreakBefore w:val="0"/>
              <w:kinsoku/>
              <w:wordWrap/>
              <w:overflowPunct/>
              <w:topLinePunct w:val="0"/>
              <w:autoSpaceDE/>
              <w:autoSpaceDN/>
              <w:bidi w:val="0"/>
              <w:adjustRightInd w:val="0"/>
              <w:snapToGrid w:val="0"/>
              <w:spacing w:line="240" w:lineRule="atLeast"/>
              <w:ind w:firstLine="0" w:firstLineChars="0"/>
              <w:textAlignment w:val="auto"/>
              <w:rPr>
                <w:rFonts w:hint="default" w:ascii="Times New Roman" w:hAnsi="Times New Roman" w:eastAsia="宋体" w:cs="Times New Roman"/>
                <w:color w:val="auto"/>
                <w:sz w:val="21"/>
                <w:szCs w:val="21"/>
                <w:highlight w:val="none"/>
                <w:vertAlign w:val="baseline"/>
              </w:rPr>
            </w:pPr>
            <w:r>
              <w:rPr>
                <w:color w:val="auto"/>
                <w:sz w:val="21"/>
                <w:szCs w:val="21"/>
                <w:highlight w:val="none"/>
              </w:rPr>
              <w:t>严格矿产资源开发的准入条件，降低环境影响范围和程度。对临近重要环境敏感区的矿产资源开大，应采取有效措施，避免影响生态服务功能和环境质量改善。应针对突出环境问题，提出降低污染排放强度、提高矿区矸石、及尾矿综合利用率和防控环境风险等差别化对策措施，避免对辽河、浑河、太子河等产生污染，有效减缓矿产资源开发的环境影响和生态破坏。对存在重金属污染的区域，应严格控制涉重金属矿产资源开发活动，控制开采规模和污染物排放总量。加强矿产资源综合利用，提高资源节约集约利用水平。</w:t>
            </w:r>
          </w:p>
        </w:tc>
        <w:tc>
          <w:tcPr>
            <w:tcW w:w="2625" w:type="dxa"/>
            <w:tcBorders>
              <w:tl2br w:val="nil"/>
              <w:tr2bl w:val="nil"/>
            </w:tcBorders>
            <w:vAlign w:val="center"/>
          </w:tcPr>
          <w:p>
            <w:pPr>
              <w:pStyle w:val="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tLeast"/>
              <w:ind w:left="0" w:right="0" w:firstLine="0" w:firstLineChars="0"/>
              <w:jc w:val="left"/>
              <w:textAlignment w:val="auto"/>
              <w:rPr>
                <w:rFonts w:hint="default" w:ascii="Times New Roman" w:hAnsi="Times New Roman" w:eastAsia="宋体" w:cs="Times New Roman"/>
                <w:color w:val="auto"/>
                <w:sz w:val="21"/>
                <w:szCs w:val="21"/>
                <w:highlight w:val="none"/>
                <w:vertAlign w:val="baseline"/>
              </w:rPr>
            </w:pPr>
            <w:r>
              <w:rPr>
                <w:color w:val="auto"/>
                <w:sz w:val="21"/>
                <w:szCs w:val="21"/>
                <w:highlight w:val="none"/>
              </w:rPr>
              <w:t>本项目符合国家产业政策要求和辽宁省、鞍山市、岫岩县矿产资源规划的要求，并采取行之有效的环保措施最大限度降低本项目对环境敏感目标的影响。本项目不涉及研石、尾矿及重金属开采。</w:t>
            </w:r>
          </w:p>
        </w:tc>
        <w:tc>
          <w:tcPr>
            <w:tcW w:w="133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eastAsia" w:cs="Times New Roman"/>
                <w:color w:val="auto"/>
                <w:sz w:val="21"/>
                <w:szCs w:val="21"/>
                <w:highlight w:val="none"/>
                <w:vertAlign w:val="baseli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4</w:t>
            </w:r>
          </w:p>
        </w:tc>
        <w:tc>
          <w:tcPr>
            <w:tcW w:w="4594" w:type="dxa"/>
            <w:tcBorders>
              <w:tl2br w:val="nil"/>
              <w:tr2bl w:val="nil"/>
            </w:tcBorders>
          </w:tcPr>
          <w:p>
            <w:pPr>
              <w:keepNext w:val="0"/>
              <w:keepLines w:val="0"/>
              <w:pageBreakBefore w:val="0"/>
              <w:kinsoku/>
              <w:wordWrap/>
              <w:overflowPunct/>
              <w:topLinePunct w:val="0"/>
              <w:autoSpaceDE/>
              <w:autoSpaceDN/>
              <w:bidi w:val="0"/>
              <w:adjustRightInd w:val="0"/>
              <w:snapToGrid w:val="0"/>
              <w:spacing w:line="240" w:lineRule="atLeast"/>
              <w:ind w:firstLine="0" w:firstLineChars="0"/>
              <w:textAlignment w:val="auto"/>
              <w:rPr>
                <w:color w:val="auto"/>
                <w:sz w:val="21"/>
                <w:szCs w:val="21"/>
                <w:highlight w:val="none"/>
              </w:rPr>
            </w:pPr>
            <w:r>
              <w:rPr>
                <w:color w:val="auto"/>
                <w:sz w:val="21"/>
                <w:szCs w:val="21"/>
                <w:highlight w:val="none"/>
              </w:rPr>
              <w:t>加强矿区生态修复和环境治理。针对环境质量改善目标和突出环境问题，分区域、分矿种完善矿山生态修复和环境治理总体安排，进一步明确矿山生态修复和环境治理目标任务，提出现有采矿区环境整治及生态修复要求。对已造成水不境、土壤环境污染，以及生态破坏等环境问题的矿区，进一步加大治理投入，明确和落实修复任务。</w:t>
            </w:r>
          </w:p>
        </w:tc>
        <w:tc>
          <w:tcPr>
            <w:tcW w:w="2625"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color w:val="auto"/>
                <w:sz w:val="21"/>
                <w:szCs w:val="21"/>
                <w:highlight w:val="none"/>
              </w:rPr>
              <w:t>参见第一条。</w:t>
            </w:r>
          </w:p>
        </w:tc>
        <w:tc>
          <w:tcPr>
            <w:tcW w:w="133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vertAlign w:val="baseline"/>
              </w:rPr>
            </w:pPr>
            <w:r>
              <w:rPr>
                <w:rFonts w:hint="eastAsia" w:cs="Times New Roman"/>
                <w:color w:val="auto"/>
                <w:sz w:val="21"/>
                <w:szCs w:val="21"/>
                <w:highlight w:val="none"/>
                <w:vertAlign w:val="baseli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5</w:t>
            </w:r>
          </w:p>
        </w:tc>
        <w:tc>
          <w:tcPr>
            <w:tcW w:w="4594" w:type="dxa"/>
            <w:tcBorders>
              <w:tl2br w:val="nil"/>
              <w:tr2bl w:val="nil"/>
            </w:tcBorders>
          </w:tcPr>
          <w:p>
            <w:pPr>
              <w:pStyle w:val="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tLeast"/>
              <w:ind w:left="0" w:right="0" w:firstLine="0" w:firstLineChars="0"/>
              <w:textAlignment w:val="auto"/>
              <w:rPr>
                <w:color w:val="auto"/>
                <w:sz w:val="21"/>
                <w:szCs w:val="21"/>
                <w:highlight w:val="none"/>
              </w:rPr>
            </w:pPr>
            <w:r>
              <w:rPr>
                <w:color w:val="auto"/>
                <w:sz w:val="21"/>
                <w:szCs w:val="21"/>
                <w:highlight w:val="none"/>
              </w:rPr>
              <w:t>加强环境保护监测和预警。结合自然保护区、饮用水水源保护区、重点生态功能区保护要求和土壤污染防治目标等，制定并实施重点矿区地表水、地下水、土壤等环境要素的长期监测监控计划。适时组织开展重点矿区生态恢复效果评估，针对地表水环境及土壤环境累积影响、生态图画等建立预警机制。</w:t>
            </w:r>
          </w:p>
        </w:tc>
        <w:tc>
          <w:tcPr>
            <w:tcW w:w="2625" w:type="dxa"/>
            <w:tcBorders>
              <w:tl2br w:val="nil"/>
              <w:tr2bl w:val="nil"/>
            </w:tcBorders>
            <w:vAlign w:val="center"/>
          </w:tcPr>
          <w:p>
            <w:pPr>
              <w:pStyle w:val="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tLeast"/>
              <w:ind w:left="0" w:right="0" w:firstLine="0" w:firstLineChars="0"/>
              <w:jc w:val="left"/>
              <w:textAlignment w:val="auto"/>
              <w:rPr>
                <w:rFonts w:hint="eastAsia"/>
                <w:color w:val="auto"/>
                <w:sz w:val="21"/>
                <w:szCs w:val="21"/>
                <w:highlight w:val="none"/>
                <w:lang w:val="en-US" w:eastAsia="zh-CN"/>
              </w:rPr>
            </w:pPr>
            <w:r>
              <w:rPr>
                <w:color w:val="auto"/>
                <w:sz w:val="21"/>
                <w:szCs w:val="21"/>
                <w:highlight w:val="none"/>
              </w:rPr>
              <w:t>本项目不涉及所列区域，满足</w:t>
            </w:r>
            <w:r>
              <w:rPr>
                <w:rFonts w:hint="eastAsia"/>
                <w:color w:val="auto"/>
                <w:sz w:val="21"/>
                <w:szCs w:val="21"/>
                <w:highlight w:val="none"/>
                <w:lang w:eastAsia="zh-CN"/>
              </w:rPr>
              <w:t>“</w:t>
            </w:r>
            <w:r>
              <w:rPr>
                <w:color w:val="auto"/>
                <w:sz w:val="21"/>
                <w:szCs w:val="21"/>
                <w:highlight w:val="none"/>
              </w:rPr>
              <w:t>土十条</w:t>
            </w:r>
            <w:r>
              <w:rPr>
                <w:rFonts w:hint="eastAsia"/>
                <w:color w:val="auto"/>
                <w:sz w:val="21"/>
                <w:szCs w:val="21"/>
                <w:highlight w:val="none"/>
                <w:lang w:eastAsia="zh-CN"/>
              </w:rPr>
              <w:t>”</w:t>
            </w:r>
            <w:r>
              <w:rPr>
                <w:color w:val="auto"/>
                <w:sz w:val="21"/>
                <w:szCs w:val="21"/>
                <w:highlight w:val="none"/>
              </w:rPr>
              <w:t>的相关要求，并制定有环境监测计划和污染源监测计划。</w:t>
            </w:r>
          </w:p>
        </w:tc>
        <w:tc>
          <w:tcPr>
            <w:tcW w:w="133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default"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6</w:t>
            </w:r>
          </w:p>
        </w:tc>
        <w:tc>
          <w:tcPr>
            <w:tcW w:w="4594" w:type="dxa"/>
            <w:tcBorders>
              <w:tl2br w:val="nil"/>
              <w:tr2bl w:val="nil"/>
            </w:tcBorders>
          </w:tcPr>
          <w:p>
            <w:pPr>
              <w:pStyle w:val="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tLeast"/>
              <w:ind w:left="0" w:right="0" w:firstLine="0" w:firstLineChars="0"/>
              <w:textAlignment w:val="auto"/>
              <w:rPr>
                <w:color w:val="auto"/>
                <w:sz w:val="21"/>
                <w:szCs w:val="21"/>
                <w:highlight w:val="none"/>
              </w:rPr>
            </w:pPr>
            <w:r>
              <w:rPr>
                <w:color w:val="auto"/>
                <w:sz w:val="21"/>
                <w:szCs w:val="21"/>
                <w:highlight w:val="none"/>
              </w:rPr>
              <w:t>在《规划》实施过程中，适时开展环境影响跟踪评价，《规划》修缩时应重新编制环境影响报告书。</w:t>
            </w:r>
          </w:p>
        </w:tc>
        <w:tc>
          <w:tcPr>
            <w:tcW w:w="2625" w:type="dxa"/>
            <w:tcBorders>
              <w:tl2br w:val="nil"/>
              <w:tr2bl w:val="nil"/>
            </w:tcBorders>
            <w:vAlign w:val="center"/>
          </w:tcPr>
          <w:p>
            <w:pPr>
              <w:pStyle w:val="39"/>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tLeast"/>
              <w:ind w:left="0" w:right="0" w:firstLine="0" w:firstLineChars="0"/>
              <w:jc w:val="center"/>
              <w:textAlignment w:val="auto"/>
              <w:rPr>
                <w:rFonts w:hint="eastAsia"/>
                <w:color w:val="auto"/>
                <w:sz w:val="21"/>
                <w:szCs w:val="21"/>
                <w:highlight w:val="none"/>
                <w:lang w:eastAsia="zh-CN"/>
              </w:rPr>
            </w:pPr>
            <w:r>
              <w:rPr>
                <w:rFonts w:hint="eastAsia"/>
                <w:color w:val="auto"/>
                <w:sz w:val="21"/>
                <w:szCs w:val="21"/>
                <w:highlight w:val="none"/>
              </w:rPr>
              <w:t>本项目不涉及</w:t>
            </w:r>
            <w:r>
              <w:rPr>
                <w:rFonts w:hint="eastAsia"/>
                <w:color w:val="auto"/>
                <w:sz w:val="21"/>
                <w:szCs w:val="21"/>
                <w:highlight w:val="none"/>
                <w:lang w:eastAsia="zh-CN"/>
              </w:rPr>
              <w:t>。</w:t>
            </w:r>
          </w:p>
        </w:tc>
        <w:tc>
          <w:tcPr>
            <w:tcW w:w="1332" w:type="dxa"/>
            <w:tcBorders>
              <w:tl2br w:val="nil"/>
              <w:tr2bl w:val="nil"/>
            </w:tcBorders>
            <w:vAlign w:val="center"/>
          </w:tcPr>
          <w:p>
            <w:pPr>
              <w:keepNext w:val="0"/>
              <w:keepLines w:val="0"/>
              <w:pageBreakBefore w:val="0"/>
              <w:kinsoku/>
              <w:wordWrap/>
              <w:overflowPunct/>
              <w:topLinePunct w:val="0"/>
              <w:autoSpaceDE/>
              <w:autoSpaceDN/>
              <w:bidi w:val="0"/>
              <w:adjustRightInd w:val="0"/>
              <w:snapToGrid w:val="0"/>
              <w:spacing w:line="240" w:lineRule="atLeast"/>
              <w:ind w:firstLine="0" w:firstLineChars="0"/>
              <w:jc w:val="center"/>
              <w:textAlignment w:val="auto"/>
              <w:rPr>
                <w:rFonts w:hint="eastAsia"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符合</w:t>
            </w:r>
          </w:p>
        </w:tc>
      </w:tr>
    </w:tbl>
    <w:p>
      <w:pPr>
        <w:pStyle w:val="5"/>
        <w:bidi w:val="0"/>
        <w:rPr>
          <w:rFonts w:hint="default"/>
          <w:color w:val="auto"/>
          <w:highlight w:val="none"/>
        </w:rPr>
      </w:pPr>
      <w:r>
        <w:rPr>
          <w:rFonts w:hint="default"/>
          <w:color w:val="auto"/>
          <w:highlight w:val="none"/>
        </w:rPr>
        <w:t>《鞍山市矿产资源总体规划(2016-2020年)》符合性分析</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（1）开发利用方案</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重点开采地热、干热岩、铁、金、银、菱镁矿、普通萤石、长石、方解石、饰面用花岗岩等矿产；</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限制开采高硫、高灰、高砷、高氟煤炭、河砂（砾）等矿产；</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禁止开发蓝石棉、汞、可耕地砖瓦用粘土等矿产。</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本项目为</w:t>
      </w:r>
      <w:r>
        <w:rPr>
          <w:rStyle w:val="201"/>
          <w:rFonts w:hint="default" w:ascii="Times New Roman" w:hAnsi="Times New Roman" w:eastAsia="宋体" w:cs="Times New Roman"/>
          <w:color w:val="auto"/>
          <w:sz w:val="24"/>
          <w:highlight w:val="none"/>
          <w:lang w:eastAsia="zh-CN"/>
        </w:rPr>
        <w:t>钾长石矿</w:t>
      </w:r>
      <w:r>
        <w:rPr>
          <w:rStyle w:val="201"/>
          <w:rFonts w:hint="default" w:ascii="Times New Roman" w:hAnsi="Times New Roman" w:eastAsia="宋体" w:cs="Times New Roman"/>
          <w:color w:val="auto"/>
          <w:sz w:val="24"/>
          <w:highlight w:val="none"/>
        </w:rPr>
        <w:t>，</w:t>
      </w:r>
      <w:r>
        <w:rPr>
          <w:rStyle w:val="201"/>
          <w:rFonts w:hint="eastAsia" w:cs="Times New Roman"/>
          <w:color w:val="auto"/>
          <w:sz w:val="24"/>
          <w:highlight w:val="none"/>
          <w:lang w:val="en-US" w:eastAsia="zh-CN"/>
        </w:rPr>
        <w:t>属于鼓励开采矿产</w:t>
      </w:r>
      <w:r>
        <w:rPr>
          <w:rStyle w:val="201"/>
          <w:rFonts w:hint="default" w:ascii="Times New Roman" w:hAnsi="Times New Roman" w:eastAsia="宋体" w:cs="Times New Roman"/>
          <w:color w:val="auto"/>
          <w:sz w:val="24"/>
          <w:highlight w:val="none"/>
        </w:rPr>
        <w:t>。</w:t>
      </w:r>
    </w:p>
    <w:p>
      <w:pPr>
        <w:ind w:firstLine="480"/>
        <w:jc w:val="left"/>
        <w:rPr>
          <w:rFonts w:hint="default" w:ascii="Times New Roman" w:hAnsi="Times New Roman" w:eastAsia="宋体" w:cs="Times New Roman"/>
          <w:color w:val="auto"/>
          <w:highlight w:val="none"/>
        </w:rPr>
      </w:pPr>
      <w:bookmarkStart w:id="778" w:name="_Toc445969187"/>
      <w:bookmarkStart w:id="779" w:name="_Toc456603860"/>
      <w:bookmarkStart w:id="780" w:name="_Toc515537881"/>
      <w:r>
        <w:rPr>
          <w:rStyle w:val="201"/>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highlight w:val="none"/>
        </w:rPr>
        <w:t>2）采矿权设置区划</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下列情况视同符合采矿权设置区划要求：</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eq \o\ac(○,</w:instrText>
      </w:r>
      <w:r>
        <w:rPr>
          <w:rFonts w:hint="default" w:ascii="Times New Roman" w:hAnsi="Times New Roman" w:eastAsia="宋体" w:cs="Times New Roman"/>
          <w:color w:val="auto"/>
          <w:position w:val="3"/>
          <w:sz w:val="16"/>
          <w:highlight w:val="none"/>
        </w:rPr>
        <w:instrText xml:space="preserve">1</w:instrText>
      </w:r>
      <w:r>
        <w:rPr>
          <w:rFonts w:hint="default" w:ascii="Times New Roman" w:hAnsi="Times New Roman" w:eastAsia="宋体" w:cs="Times New Roman"/>
          <w:color w:val="auto"/>
          <w:highlight w:val="none"/>
        </w:rPr>
        <w:instrText xml:space="preserve">)</w:instrTex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已设探矿权转采矿权，且拟设采矿权区范围未超出已设探矿权勘察范围的项目；</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②扩大开采面积不超过原面积25%的矿业权；</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③经省政府批准的矿产资源开发整合项目。</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矿区面积不变</w:t>
      </w:r>
      <w:r>
        <w:rPr>
          <w:rFonts w:hint="default" w:ascii="Times New Roman" w:hAnsi="Times New Roman" w:eastAsia="宋体" w:cs="Times New Roman"/>
          <w:color w:val="auto"/>
          <w:highlight w:val="none"/>
        </w:rPr>
        <w:t>，符合采矿权区划要求。</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因此本项目符合《鞍山矿产资源总体规划(2016-2020年)》。</w:t>
      </w:r>
    </w:p>
    <w:p>
      <w:pPr>
        <w:pStyle w:val="5"/>
        <w:bidi w:val="0"/>
        <w:rPr>
          <w:rFonts w:hint="default"/>
          <w:color w:val="auto"/>
          <w:highlight w:val="none"/>
        </w:rPr>
      </w:pPr>
      <w:r>
        <w:rPr>
          <w:rFonts w:hint="default"/>
          <w:color w:val="auto"/>
          <w:highlight w:val="none"/>
        </w:rPr>
        <w:t>《岫岩满族自治县矿产资源总体规划(2016-2020年)》符合性分析</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（1）开发利用方案</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鼓励开采地热、铁、铅、锌、镍、钨、钴、金、银、普通萤石、长石、晶质石墨、菱镁矿、玉石、硫铁矿、方解石、水镁石、饰面用花岗岩、矿泉水等矿产。</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限制开采超贫矿、低品位菱镁矿。</w:t>
      </w:r>
    </w:p>
    <w:p>
      <w:pPr>
        <w:pStyle w:val="78"/>
        <w:ind w:firstLine="488"/>
        <w:rPr>
          <w:rStyle w:val="201"/>
          <w:rFonts w:hint="default" w:ascii="Times New Roman" w:hAnsi="Times New Roman" w:eastAsia="宋体" w:cs="Times New Roman"/>
          <w:color w:val="auto"/>
          <w:sz w:val="24"/>
          <w:highlight w:val="none"/>
        </w:rPr>
      </w:pPr>
      <w:r>
        <w:rPr>
          <w:rStyle w:val="201"/>
          <w:rFonts w:hint="default" w:ascii="Times New Roman" w:hAnsi="Times New Roman" w:eastAsia="宋体" w:cs="Times New Roman"/>
          <w:color w:val="auto"/>
          <w:sz w:val="24"/>
          <w:highlight w:val="none"/>
        </w:rPr>
        <w:t>禁止在耕地上开采普通建筑用砂石粘土等矿产。</w:t>
      </w:r>
    </w:p>
    <w:p>
      <w:pPr>
        <w:pStyle w:val="78"/>
        <w:ind w:firstLine="488"/>
        <w:rPr>
          <w:rStyle w:val="201"/>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rPr>
        <w:t>本项目开采矿种为</w:t>
      </w:r>
      <w:r>
        <w:rPr>
          <w:rFonts w:hint="default" w:ascii="Times New Roman" w:hAnsi="Times New Roman" w:eastAsia="宋体" w:cs="Times New Roman"/>
          <w:color w:val="auto"/>
          <w:highlight w:val="none"/>
          <w:lang w:eastAsia="zh-CN"/>
        </w:rPr>
        <w:t>钾长石矿</w:t>
      </w:r>
      <w:r>
        <w:rPr>
          <w:rFonts w:hint="default" w:ascii="Times New Roman" w:hAnsi="Times New Roman" w:eastAsia="宋体" w:cs="Times New Roman"/>
          <w:color w:val="auto"/>
          <w:highlight w:val="none"/>
        </w:rPr>
        <w:t>，</w:t>
      </w:r>
      <w:r>
        <w:rPr>
          <w:rStyle w:val="201"/>
          <w:rFonts w:hint="eastAsia" w:cs="Times New Roman"/>
          <w:color w:val="auto"/>
          <w:sz w:val="24"/>
          <w:highlight w:val="none"/>
          <w:lang w:val="en-US" w:eastAsia="zh-CN"/>
        </w:rPr>
        <w:t>属于鼓励开采矿产</w:t>
      </w:r>
      <w:r>
        <w:rPr>
          <w:rStyle w:val="201"/>
          <w:rFonts w:hint="default" w:ascii="Times New Roman" w:hAnsi="Times New Roman" w:eastAsia="宋体" w:cs="Times New Roman"/>
          <w:color w:val="auto"/>
          <w:sz w:val="24"/>
          <w:highlight w:val="none"/>
        </w:rPr>
        <w:t>。</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2）采矿权设置区划</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下列情况视同符合采矿权设置区划要求：</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eq \o\ac(○,</w:instrText>
      </w:r>
      <w:r>
        <w:rPr>
          <w:rFonts w:hint="default" w:ascii="Times New Roman" w:hAnsi="Times New Roman" w:eastAsia="宋体" w:cs="Times New Roman"/>
          <w:color w:val="auto"/>
          <w:position w:val="3"/>
          <w:sz w:val="16"/>
          <w:highlight w:val="none"/>
        </w:rPr>
        <w:instrText xml:space="preserve">1</w:instrText>
      </w:r>
      <w:r>
        <w:rPr>
          <w:rFonts w:hint="default" w:ascii="Times New Roman" w:hAnsi="Times New Roman" w:eastAsia="宋体" w:cs="Times New Roman"/>
          <w:color w:val="auto"/>
          <w:highlight w:val="none"/>
        </w:rPr>
        <w:instrText xml:space="preserve">)</w:instrText>
      </w:r>
      <w:r>
        <w:rPr>
          <w:rFonts w:hint="default" w:ascii="Times New Roman" w:hAnsi="Times New Roman" w:eastAsia="宋体" w:cs="Times New Roman"/>
          <w:color w:val="auto"/>
          <w:highlight w:val="none"/>
        </w:rPr>
        <w:fldChar w:fldCharType="end"/>
      </w:r>
      <w:r>
        <w:rPr>
          <w:rFonts w:hint="default" w:ascii="Times New Roman" w:hAnsi="Times New Roman" w:eastAsia="宋体" w:cs="Times New Roman"/>
          <w:color w:val="auto"/>
          <w:highlight w:val="none"/>
        </w:rPr>
        <w:t>已设探矿权转采矿权，且拟设采矿权区范围未超出已设探矿权勘察范围的项目；</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②扩大开采面积不超过原面积25%的矿业权；</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③经省政府批准的矿产资源开发整合项目。</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矿区面积不变</w:t>
      </w:r>
      <w:r>
        <w:rPr>
          <w:rFonts w:hint="default" w:ascii="Times New Roman" w:hAnsi="Times New Roman" w:eastAsia="宋体" w:cs="Times New Roman"/>
          <w:color w:val="auto"/>
          <w:highlight w:val="none"/>
        </w:rPr>
        <w:t>，符合采矿权区划要求。</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综上所述，本项目符合《岫岩满族自治县矿产资源总体规划(2016-2020年)》。</w:t>
      </w:r>
    </w:p>
    <w:bookmarkEnd w:id="778"/>
    <w:bookmarkEnd w:id="779"/>
    <w:bookmarkEnd w:id="780"/>
    <w:p>
      <w:pPr>
        <w:pStyle w:val="5"/>
        <w:bidi w:val="0"/>
        <w:rPr>
          <w:rFonts w:hint="default"/>
          <w:color w:val="auto"/>
          <w:highlight w:val="none"/>
        </w:rPr>
      </w:pPr>
      <w:r>
        <w:rPr>
          <w:rFonts w:hint="default"/>
          <w:color w:val="auto"/>
          <w:highlight w:val="none"/>
        </w:rPr>
        <w:t>《辽宁省主体功能区划》符合性分析</w:t>
      </w:r>
    </w:p>
    <w:p>
      <w:pPr>
        <w:widowControl/>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辽宁省主体功能区规划》将全省国土空间划分为以下主体功能区：按开发方式，分为优化开发区域、重点开发区域、限制开发区域和禁止开发区域；按开发内容，分为城市化地区、农产品主产区和重点生态功能区；按层级，分为国家级和省级两个层面。</w:t>
      </w:r>
    </w:p>
    <w:p>
      <w:pPr>
        <w:widowControl/>
        <w:ind w:firstLine="48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highlight w:val="none"/>
        </w:rPr>
        <w:t>本项目位于岫岩县</w:t>
      </w:r>
      <w:r>
        <w:rPr>
          <w:rFonts w:hint="default" w:ascii="Times New Roman" w:hAnsi="Times New Roman" w:eastAsia="宋体" w:cs="Times New Roman"/>
          <w:color w:val="auto"/>
          <w:highlight w:val="none"/>
          <w:lang w:eastAsia="zh-CN"/>
        </w:rPr>
        <w:t>苏子沟镇</w:t>
      </w:r>
      <w:r>
        <w:rPr>
          <w:rFonts w:hint="default" w:ascii="Times New Roman" w:hAnsi="Times New Roman" w:eastAsia="宋体" w:cs="Times New Roman"/>
          <w:color w:val="auto"/>
          <w:highlight w:val="none"/>
        </w:rPr>
        <w:t>，不属于《辽宁省主体功能区规划》中的禁止开发区，属于限制开发区域的省级重点生态功能区，详见</w:t>
      </w:r>
      <w:r>
        <w:rPr>
          <w:rFonts w:hint="default" w:ascii="Times New Roman" w:hAnsi="Times New Roman" w:eastAsia="宋体" w:cs="Times New Roman"/>
          <w:color w:val="auto"/>
          <w:kern w:val="0"/>
          <w:highlight w:val="none"/>
        </w:rPr>
        <w:t>图</w:t>
      </w:r>
      <w:r>
        <w:rPr>
          <w:rFonts w:hint="eastAsia" w:cs="Times New Roman"/>
          <w:color w:val="auto"/>
          <w:kern w:val="0"/>
          <w:highlight w:val="none"/>
          <w:lang w:val="en-US" w:eastAsia="zh-CN"/>
        </w:rPr>
        <w:t>5.1</w:t>
      </w:r>
      <w:r>
        <w:rPr>
          <w:rFonts w:hint="default" w:ascii="Times New Roman" w:hAnsi="Times New Roman" w:eastAsia="宋体" w:cs="Times New Roman"/>
          <w:color w:val="auto"/>
          <w:kern w:val="0"/>
          <w:highlight w:val="none"/>
        </w:rPr>
        <w:t>-</w:t>
      </w:r>
      <w:r>
        <w:rPr>
          <w:rFonts w:hint="default" w:ascii="Times New Roman" w:hAnsi="Times New Roman" w:eastAsia="宋体" w:cs="Times New Roman"/>
          <w:color w:val="auto"/>
          <w:kern w:val="0"/>
          <w:highlight w:val="none"/>
          <w:lang w:val="en-US" w:eastAsia="zh-CN"/>
        </w:rPr>
        <w:t>2</w:t>
      </w:r>
      <w:r>
        <w:rPr>
          <w:rFonts w:hint="default" w:ascii="Times New Roman" w:hAnsi="Times New Roman" w:eastAsia="宋体" w:cs="Times New Roman"/>
          <w:color w:val="auto"/>
          <w:kern w:val="0"/>
          <w:highlight w:val="none"/>
        </w:rPr>
        <w:t>。</w:t>
      </w:r>
    </w:p>
    <w:p>
      <w:pPr>
        <w:widowControl/>
        <w:ind w:firstLine="48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重点生态功能区，即为生态系统脆弱或生态功能重要，资源环境承载能力较低，不具备大规模高强度工业化城镇化开发的条件，必须把增强生态产品生产能力作为首要任务，应该限制进行大规模高强度工业化城镇化开发的地区。</w:t>
      </w:r>
    </w:p>
    <w:p>
      <w:pPr>
        <w:autoSpaceDE w:val="0"/>
        <w:autoSpaceDN w:val="0"/>
        <w:ind w:firstLine="48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本项目属于省级重点生态功能区的水源涵养型（鞍山市岫岩县），功能定位推进天然林保护、退耕还林和围栏封育，治理水土流失，恢复和保护湿地、森林等生态系统。严格保护具有水源涵养功能的自然植被，严禁无序采矿、毁林开荒等行为。加强流域治理和植树造林，减少面源污染。拓宽农民增收渠道，解决农民长远生计。加强水土流失治理，提高生态修复型人工影响天气作业能力。</w:t>
      </w:r>
    </w:p>
    <w:p>
      <w:pPr>
        <w:pStyle w:val="19"/>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本项目为</w:t>
      </w:r>
      <w:r>
        <w:rPr>
          <w:rFonts w:hint="eastAsia" w:cs="Times New Roman"/>
          <w:bCs/>
          <w:color w:val="auto"/>
          <w:highlight w:val="none"/>
          <w:lang w:val="en-US" w:eastAsia="zh-CN"/>
        </w:rPr>
        <w:t>中</w:t>
      </w:r>
      <w:r>
        <w:rPr>
          <w:rFonts w:hint="default" w:ascii="Times New Roman" w:hAnsi="Times New Roman" w:eastAsia="宋体" w:cs="Times New Roman"/>
          <w:bCs/>
          <w:color w:val="auto"/>
          <w:highlight w:val="none"/>
        </w:rPr>
        <w:t>型</w:t>
      </w:r>
      <w:r>
        <w:rPr>
          <w:rFonts w:hint="eastAsia" w:cs="Times New Roman"/>
          <w:bCs/>
          <w:color w:val="auto"/>
          <w:highlight w:val="none"/>
          <w:lang w:val="en-US" w:eastAsia="zh-CN"/>
        </w:rPr>
        <w:t>非金属</w:t>
      </w:r>
      <w:r>
        <w:rPr>
          <w:rFonts w:hint="default" w:ascii="Times New Roman" w:hAnsi="Times New Roman" w:eastAsia="宋体" w:cs="Times New Roman"/>
          <w:bCs/>
          <w:color w:val="auto"/>
          <w:highlight w:val="none"/>
        </w:rPr>
        <w:t>矿山开采项目，不属于大规模高强度工业化城镇化开发；项目占地范围内无耕地，</w:t>
      </w:r>
      <w:r>
        <w:rPr>
          <w:rFonts w:hint="default" w:ascii="Times New Roman" w:hAnsi="Times New Roman" w:eastAsia="宋体" w:cs="Times New Roman"/>
          <w:color w:val="auto"/>
          <w:highlight w:val="none"/>
        </w:rPr>
        <w:t>不破坏水源涵养植被，不影响区域水源涵养功能；</w:t>
      </w:r>
      <w:r>
        <w:rPr>
          <w:rFonts w:hint="default" w:ascii="Times New Roman" w:hAnsi="Times New Roman" w:eastAsia="宋体" w:cs="Times New Roman"/>
          <w:bCs/>
          <w:color w:val="auto"/>
          <w:highlight w:val="none"/>
        </w:rPr>
        <w:t>本项目严格按照《</w:t>
      </w:r>
      <w:r>
        <w:rPr>
          <w:rFonts w:hint="default" w:ascii="Times New Roman" w:hAnsi="Times New Roman" w:eastAsia="宋体" w:cs="Times New Roman"/>
          <w:bCs/>
          <w:color w:val="auto"/>
          <w:highlight w:val="none"/>
          <w:lang w:eastAsia="zh-CN"/>
        </w:rPr>
        <w:t>岫岩满族自治县苏子沟镇大何家堡村钾长石矿</w:t>
      </w:r>
      <w:r>
        <w:rPr>
          <w:rFonts w:hint="default" w:ascii="Times New Roman" w:hAnsi="Times New Roman" w:eastAsia="宋体" w:cs="Times New Roman"/>
          <w:bCs/>
          <w:color w:val="auto"/>
          <w:highlight w:val="none"/>
        </w:rPr>
        <w:t>矿产资源开发利用方案》进行开采，不存在无序开采。</w:t>
      </w:r>
      <w:r>
        <w:rPr>
          <w:rFonts w:hint="default" w:ascii="Times New Roman" w:hAnsi="Times New Roman" w:eastAsia="宋体" w:cs="Times New Roman"/>
          <w:color w:val="auto"/>
          <w:highlight w:val="none"/>
        </w:rPr>
        <w:t>因此，本项目符合《辽宁省主体功能区规划》的要求。</w:t>
      </w:r>
    </w:p>
    <w:p>
      <w:pPr>
        <w:pStyle w:val="5"/>
        <w:bidi w:val="0"/>
        <w:rPr>
          <w:rFonts w:hint="default"/>
          <w:color w:val="auto"/>
          <w:highlight w:val="none"/>
        </w:rPr>
      </w:pPr>
      <w:bookmarkStart w:id="781" w:name="_Toc15376229"/>
      <w:bookmarkStart w:id="782" w:name="_Toc3973136"/>
      <w:r>
        <w:rPr>
          <w:rFonts w:hint="default"/>
          <w:color w:val="auto"/>
          <w:highlight w:val="none"/>
        </w:rPr>
        <w:t>《辽宁省</w:t>
      </w:r>
      <w:r>
        <w:rPr>
          <w:rFonts w:hint="eastAsia"/>
          <w:color w:val="auto"/>
          <w:highlight w:val="none"/>
          <w:lang w:eastAsia="zh-CN"/>
        </w:rPr>
        <w:t>“</w:t>
      </w:r>
      <w:r>
        <w:rPr>
          <w:rFonts w:hint="default"/>
          <w:color w:val="auto"/>
          <w:highlight w:val="none"/>
        </w:rPr>
        <w:t>十四五</w:t>
      </w:r>
      <w:r>
        <w:rPr>
          <w:rFonts w:hint="eastAsia"/>
          <w:color w:val="auto"/>
          <w:highlight w:val="none"/>
          <w:lang w:eastAsia="zh-CN"/>
        </w:rPr>
        <w:t>”</w:t>
      </w:r>
      <w:r>
        <w:rPr>
          <w:rFonts w:hint="default"/>
          <w:color w:val="auto"/>
          <w:highlight w:val="none"/>
        </w:rPr>
        <w:t>生态环境保护规划》符合性分析</w:t>
      </w:r>
    </w:p>
    <w:p>
      <w:pPr>
        <w:autoSpaceDE w:val="0"/>
        <w:autoSpaceDN w:val="0"/>
        <w:ind w:firstLine="480"/>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辽宁省人民政府办公厅关于印发《辽宁省</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十四五</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生态环境保护规划的通知》辽政办发〔2022〕16号附件，即《</w:t>
      </w:r>
      <w:r>
        <w:rPr>
          <w:rFonts w:hint="default"/>
          <w:color w:val="auto"/>
          <w:highlight w:val="none"/>
        </w:rPr>
        <w:t>辽宁省</w:t>
      </w:r>
      <w:r>
        <w:rPr>
          <w:rFonts w:hint="eastAsia"/>
          <w:color w:val="auto"/>
          <w:highlight w:val="none"/>
          <w:lang w:eastAsia="zh-CN"/>
        </w:rPr>
        <w:t>“</w:t>
      </w:r>
      <w:r>
        <w:rPr>
          <w:rFonts w:hint="default"/>
          <w:color w:val="auto"/>
          <w:highlight w:val="none"/>
        </w:rPr>
        <w:t>十四五</w:t>
      </w:r>
      <w:r>
        <w:rPr>
          <w:rFonts w:hint="eastAsia"/>
          <w:color w:val="auto"/>
          <w:highlight w:val="none"/>
          <w:lang w:eastAsia="zh-CN"/>
        </w:rPr>
        <w:t>”</w:t>
      </w:r>
      <w:r>
        <w:rPr>
          <w:rFonts w:hint="default"/>
          <w:color w:val="auto"/>
          <w:highlight w:val="none"/>
        </w:rPr>
        <w:t>生态环境保护规划</w:t>
      </w:r>
      <w:r>
        <w:rPr>
          <w:rFonts w:hint="default" w:ascii="Times New Roman" w:hAnsi="Times New Roman" w:eastAsia="宋体" w:cs="Times New Roman"/>
          <w:color w:val="auto"/>
          <w:kern w:val="0"/>
          <w:highlight w:val="none"/>
          <w:lang w:val="en-US" w:eastAsia="zh-CN"/>
        </w:rPr>
        <w:t>》中指出：</w:t>
      </w:r>
    </w:p>
    <w:p>
      <w:pPr>
        <w:autoSpaceDE w:val="0"/>
        <w:autoSpaceDN w:val="0"/>
        <w:ind w:firstLine="480"/>
        <w:rPr>
          <w:rFonts w:hint="default" w:ascii="Times New Roman" w:hAnsi="Times New Roman" w:eastAsia="宋体" w:cs="Times New Roman"/>
          <w:color w:val="auto"/>
          <w:kern w:val="0"/>
          <w:highlight w:val="none"/>
          <w:lang w:val="en-US" w:eastAsia="zh-CN"/>
        </w:rPr>
      </w:pPr>
      <w:r>
        <w:rPr>
          <w:rFonts w:hint="default" w:ascii="Times New Roman" w:hAnsi="Times New Roman" w:eastAsia="宋体" w:cs="Times New Roman"/>
          <w:color w:val="auto"/>
          <w:kern w:val="0"/>
          <w:highlight w:val="none"/>
          <w:lang w:val="en-US" w:eastAsia="zh-CN"/>
        </w:rPr>
        <w:t>辽西融入京津冀协同发展战略先导区筑牢辽西陆海生态屏障</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加强区域生态共同治理,推进与京津冀区域生态环境联防联治</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统筹山水林田湖草沙系统保护和修复</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开展防沙治沙和封沙育草</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强化防护林建设</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筑牢防风固沙生态屏障</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开展科尔沁沙地南部植被恢复与沙化治理、努鲁儿虎山植被恢复与荒漠化防治</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推进朝阳市建设国家造林绿化示范市</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推进流域海域综合治理</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以绥中县和兴城市为实施区域</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修复河口—海湾—海岸生态系统</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支持资源型城市转型升级</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加快绿色低碳循环发展</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大力发展节能环保、新能源、生态有机农林业等绿色产业</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建设绿色农业和草原生态项目</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加快推动传统产业改造升级</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加强矿区生态治理与修复</w:t>
      </w:r>
      <w:r>
        <w:rPr>
          <w:rFonts w:hint="eastAsia" w:cs="Times New Roman"/>
          <w:color w:val="auto"/>
          <w:kern w:val="0"/>
          <w:highlight w:val="none"/>
          <w:lang w:val="en-US" w:eastAsia="zh-CN"/>
        </w:rPr>
        <w:t>，</w:t>
      </w:r>
      <w:r>
        <w:rPr>
          <w:rFonts w:hint="default" w:ascii="Times New Roman" w:hAnsi="Times New Roman" w:eastAsia="宋体" w:cs="Times New Roman"/>
          <w:color w:val="auto"/>
          <w:kern w:val="0"/>
          <w:highlight w:val="none"/>
          <w:lang w:val="en-US" w:eastAsia="zh-CN"/>
        </w:rPr>
        <w:t>推进绿色矿山建设</w:t>
      </w:r>
      <w:r>
        <w:rPr>
          <w:rFonts w:hint="eastAsia" w:cs="Times New Roman"/>
          <w:color w:val="auto"/>
          <w:kern w:val="0"/>
          <w:highlight w:val="none"/>
          <w:lang w:val="en-US"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辽东绿色经济区夯实绿色发展生态基础</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全面落实国家建设东北东部绿色经济带部署</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依托丰富的森林资源和优质的水资源</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协同探索推进生态优先、绿色发展新路径</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严格控制开发强度、减轻生态环境压力</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大力实施水生态保护修复、湿地保护、农田生态管护等生态工程</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巩固提升生态功能</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推进重点生态功能区建设</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开展生态质量状况监测评估</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提高水源涵养能力</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保护森林生态系统</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维护生物多样性功能</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加强大伙房水库、观音阁水库、桓仁水库、诚信水库等饮用水水源地和水源涵养地生态保护和建设</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形成保障全省生态安全的重要区域</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推进岫岩满族自治县、宽甸满族自治县、凤城市等废弃矿山生态修复</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开展历史遗留废弃矿山核查</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加强废弃露天矿坑治理</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探索建立区域生态补偿机制</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依法依规加大对辽东地区的生态补偿力度</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发展生态经济</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建设全域旅游示范区</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增加生态产品供给能力</w:t>
      </w:r>
      <w:r>
        <w:rPr>
          <w:rFonts w:hint="eastAsia" w:cs="Times New Roman"/>
          <w:color w:val="auto"/>
          <w:highlight w:val="none"/>
          <w:lang w:val="en-US" w:eastAsia="zh-CN"/>
        </w:rPr>
        <w:t>。</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为</w:t>
      </w:r>
      <w:r>
        <w:rPr>
          <w:rFonts w:hint="default" w:ascii="Times New Roman" w:hAnsi="Times New Roman" w:eastAsia="宋体" w:cs="Times New Roman"/>
          <w:color w:val="auto"/>
          <w:highlight w:val="none"/>
          <w:lang w:val="en-US" w:eastAsia="zh-CN"/>
        </w:rPr>
        <w:t>岫岩满族自治县</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不在生态保护区及各类保护区或敏感区内，评价范围内不存在公益林、永久基本农田等保护目标。项目建设的通时对原有</w:t>
      </w:r>
      <w:r>
        <w:rPr>
          <w:rFonts w:hint="eastAsia" w:cs="Times New Roman"/>
          <w:color w:val="auto"/>
          <w:highlight w:val="none"/>
          <w:lang w:val="en-US" w:eastAsia="zh-CN"/>
        </w:rPr>
        <w:t>历史</w:t>
      </w:r>
      <w:r>
        <w:rPr>
          <w:rFonts w:hint="default" w:ascii="Times New Roman" w:hAnsi="Times New Roman" w:eastAsia="宋体" w:cs="Times New Roman"/>
          <w:color w:val="auto"/>
          <w:highlight w:val="none"/>
          <w:lang w:val="en-US" w:eastAsia="zh-CN"/>
        </w:rPr>
        <w:t>遗留</w:t>
      </w:r>
      <w:r>
        <w:rPr>
          <w:rFonts w:hint="eastAsia" w:cs="Times New Roman"/>
          <w:color w:val="auto"/>
          <w:highlight w:val="none"/>
          <w:lang w:val="en-US" w:eastAsia="zh-CN"/>
        </w:rPr>
        <w:t>采坑进行</w:t>
      </w:r>
      <w:r>
        <w:rPr>
          <w:rFonts w:hint="default" w:ascii="Times New Roman" w:hAnsi="Times New Roman" w:eastAsia="宋体" w:cs="Times New Roman"/>
          <w:color w:val="auto"/>
          <w:highlight w:val="none"/>
          <w:lang w:val="en-US" w:eastAsia="zh-CN"/>
        </w:rPr>
        <w:t>生态破坏进行治理，开采结束后要求企业严格按照《矿山生态环境保护与恢复技术规范（试行）》对矿山全面恢复治理</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符合</w:t>
      </w:r>
      <w:r>
        <w:rPr>
          <w:rFonts w:hint="default" w:ascii="Times New Roman" w:hAnsi="Times New Roman" w:eastAsia="宋体" w:cs="Times New Roman"/>
          <w:color w:val="auto"/>
          <w:kern w:val="0"/>
          <w:highlight w:val="none"/>
          <w:lang w:val="en-US" w:eastAsia="zh-CN"/>
        </w:rPr>
        <w:t>《</w:t>
      </w:r>
      <w:r>
        <w:rPr>
          <w:rFonts w:hint="default"/>
          <w:color w:val="auto"/>
          <w:highlight w:val="none"/>
        </w:rPr>
        <w:t>辽宁省</w:t>
      </w:r>
      <w:r>
        <w:rPr>
          <w:rFonts w:hint="eastAsia"/>
          <w:color w:val="auto"/>
          <w:highlight w:val="none"/>
          <w:lang w:eastAsia="zh-CN"/>
        </w:rPr>
        <w:t>“</w:t>
      </w:r>
      <w:r>
        <w:rPr>
          <w:rFonts w:hint="default"/>
          <w:color w:val="auto"/>
          <w:highlight w:val="none"/>
        </w:rPr>
        <w:t>十四五</w:t>
      </w:r>
      <w:r>
        <w:rPr>
          <w:rFonts w:hint="eastAsia"/>
          <w:color w:val="auto"/>
          <w:highlight w:val="none"/>
          <w:lang w:eastAsia="zh-CN"/>
        </w:rPr>
        <w:t>”</w:t>
      </w:r>
      <w:r>
        <w:rPr>
          <w:rFonts w:hint="default"/>
          <w:color w:val="auto"/>
          <w:highlight w:val="none"/>
        </w:rPr>
        <w:t>生态环境保护规划</w:t>
      </w:r>
      <w:r>
        <w:rPr>
          <w:rFonts w:hint="default" w:ascii="Times New Roman" w:hAnsi="Times New Roman" w:eastAsia="宋体" w:cs="Times New Roman"/>
          <w:color w:val="auto"/>
          <w:kern w:val="0"/>
          <w:highlight w:val="none"/>
          <w:lang w:val="en-US" w:eastAsia="zh-CN"/>
        </w:rPr>
        <w:t>》的要求。</w:t>
      </w:r>
    </w:p>
    <w:p>
      <w:pPr>
        <w:pStyle w:val="4"/>
        <w:bidi w:val="0"/>
        <w:rPr>
          <w:rFonts w:hint="default"/>
          <w:color w:val="auto"/>
        </w:rPr>
      </w:pPr>
      <w:bookmarkStart w:id="783" w:name="_Toc32635"/>
      <w:r>
        <w:rPr>
          <w:rFonts w:hint="default"/>
          <w:color w:val="auto"/>
        </w:rPr>
        <w:t>与</w:t>
      </w:r>
      <w:r>
        <w:rPr>
          <w:rFonts w:hint="eastAsia"/>
          <w:color w:val="auto"/>
          <w:lang w:eastAsia="zh-CN"/>
        </w:rPr>
        <w:t>“</w:t>
      </w:r>
      <w:r>
        <w:rPr>
          <w:rFonts w:hint="default"/>
          <w:color w:val="auto"/>
        </w:rPr>
        <w:t>三线一单</w:t>
      </w:r>
      <w:bookmarkEnd w:id="781"/>
      <w:bookmarkEnd w:id="782"/>
      <w:r>
        <w:rPr>
          <w:rFonts w:hint="eastAsia"/>
          <w:color w:val="auto"/>
          <w:lang w:eastAsia="zh-CN"/>
        </w:rPr>
        <w:t>”</w:t>
      </w:r>
      <w:r>
        <w:rPr>
          <w:rFonts w:hint="default"/>
          <w:color w:val="auto"/>
        </w:rPr>
        <w:t>符合性分析</w:t>
      </w:r>
      <w:bookmarkEnd w:id="783"/>
    </w:p>
    <w:p>
      <w:pPr>
        <w:ind w:firstLine="480"/>
        <w:rPr>
          <w:rFonts w:hint="default" w:ascii="Times New Roman" w:hAnsi="Times New Roman" w:eastAsia="宋体" w:cs="Times New Roman"/>
          <w:color w:val="auto"/>
          <w:highlight w:val="none"/>
        </w:rPr>
      </w:pPr>
      <w:r>
        <w:rPr>
          <w:rFonts w:hint="eastAsia" w:cs="Times New Roman"/>
          <w:color w:val="auto"/>
          <w:highlight w:val="none"/>
          <w:lang w:val="en-US" w:eastAsia="zh-CN"/>
        </w:rPr>
        <w:t>根据</w:t>
      </w:r>
      <w:r>
        <w:rPr>
          <w:rFonts w:hint="default" w:ascii="Times New Roman" w:hAnsi="Times New Roman" w:eastAsia="宋体" w:cs="Times New Roman"/>
          <w:color w:val="auto"/>
          <w:highlight w:val="none"/>
        </w:rPr>
        <w:t>建设单位向</w:t>
      </w:r>
      <w:r>
        <w:rPr>
          <w:rFonts w:hint="eastAsia" w:cs="Times New Roman"/>
          <w:color w:val="auto"/>
          <w:highlight w:val="none"/>
          <w:lang w:val="en-US" w:eastAsia="zh-CN"/>
        </w:rPr>
        <w:t>鞍山市</w:t>
      </w:r>
      <w:r>
        <w:rPr>
          <w:rFonts w:hint="default" w:ascii="Times New Roman" w:hAnsi="Times New Roman" w:eastAsia="宋体" w:cs="Times New Roman"/>
          <w:color w:val="auto"/>
          <w:highlight w:val="none"/>
        </w:rPr>
        <w:t>生态环境局</w:t>
      </w:r>
      <w:r>
        <w:rPr>
          <w:rFonts w:hint="eastAsia" w:cs="Times New Roman"/>
          <w:color w:val="auto"/>
          <w:highlight w:val="none"/>
          <w:lang w:val="en-US" w:eastAsia="zh-CN"/>
        </w:rPr>
        <w:t>提交的《</w:t>
      </w:r>
      <w:r>
        <w:rPr>
          <w:rFonts w:hint="default" w:ascii="Times New Roman" w:hAnsi="Times New Roman" w:eastAsia="宋体" w:cs="Times New Roman"/>
          <w:color w:val="auto"/>
          <w:highlight w:val="none"/>
        </w:rPr>
        <w:t>“三线一单”管控单元查询申请表</w:t>
      </w:r>
      <w:r>
        <w:rPr>
          <w:rFonts w:hint="eastAsia" w:cs="Times New Roman"/>
          <w:color w:val="auto"/>
          <w:highlight w:val="none"/>
          <w:lang w:val="en-US" w:eastAsia="zh-CN"/>
        </w:rPr>
        <w:t>》回复信息：</w:t>
      </w:r>
      <w:r>
        <w:rPr>
          <w:rFonts w:hint="default" w:ascii="Times New Roman" w:hAnsi="Times New Roman" w:eastAsia="宋体" w:cs="Times New Roman"/>
          <w:color w:val="auto"/>
          <w:highlight w:val="none"/>
        </w:rPr>
        <w:t>本矿区用地编码：ZH21032330001，属于</w:t>
      </w:r>
      <w:r>
        <w:rPr>
          <w:rFonts w:hint="default" w:ascii="Times New Roman" w:hAnsi="Times New Roman" w:eastAsia="宋体" w:cs="Times New Roman"/>
          <w:b/>
          <w:bCs/>
          <w:color w:val="auto"/>
          <w:highlight w:val="none"/>
        </w:rPr>
        <w:t>一般管控区</w:t>
      </w:r>
      <w:r>
        <w:rPr>
          <w:rFonts w:hint="default" w:ascii="Times New Roman" w:hAnsi="Times New Roman" w:eastAsia="宋体" w:cs="Times New Roman"/>
          <w:color w:val="auto"/>
          <w:highlight w:val="none"/>
        </w:rPr>
        <w:t>，不在生态红线范围内，与鞍山市</w:t>
      </w:r>
      <w:r>
        <w:rPr>
          <w:rFonts w:hint="eastAsia" w:cs="Times New Roman"/>
          <w:color w:val="auto"/>
          <w:highlight w:val="none"/>
          <w:lang w:eastAsia="zh-CN"/>
        </w:rPr>
        <w:t>“</w:t>
      </w:r>
      <w:r>
        <w:rPr>
          <w:rFonts w:hint="default" w:ascii="Times New Roman" w:hAnsi="Times New Roman" w:eastAsia="宋体" w:cs="Times New Roman"/>
          <w:color w:val="auto"/>
          <w:highlight w:val="none"/>
        </w:rPr>
        <w:t>三线一单</w:t>
      </w:r>
      <w:r>
        <w:rPr>
          <w:rFonts w:hint="eastAsia" w:cs="Times New Roman"/>
          <w:color w:val="auto"/>
          <w:highlight w:val="none"/>
          <w:lang w:eastAsia="zh-CN"/>
        </w:rPr>
        <w:t>”</w:t>
      </w:r>
      <w:r>
        <w:rPr>
          <w:rFonts w:hint="default" w:ascii="Times New Roman" w:hAnsi="Times New Roman" w:eastAsia="宋体" w:cs="Times New Roman"/>
          <w:color w:val="auto"/>
          <w:highlight w:val="none"/>
        </w:rPr>
        <w:t>生态环境总体准入政策以及</w:t>
      </w:r>
      <w:r>
        <w:rPr>
          <w:rFonts w:hint="eastAsia" w:cs="Times New Roman"/>
          <w:color w:val="auto"/>
          <w:highlight w:val="none"/>
          <w:lang w:eastAsia="zh-CN"/>
        </w:rPr>
        <w:t>“</w:t>
      </w:r>
      <w:r>
        <w:rPr>
          <w:rFonts w:hint="default" w:ascii="Times New Roman" w:hAnsi="Times New Roman" w:eastAsia="宋体" w:cs="Times New Roman"/>
          <w:color w:val="auto"/>
          <w:highlight w:val="none"/>
        </w:rPr>
        <w:t>鞍山市分区生态环境准入清单</w:t>
      </w:r>
      <w:r>
        <w:rPr>
          <w:rFonts w:hint="eastAsia" w:cs="Times New Roman"/>
          <w:color w:val="auto"/>
          <w:highlight w:val="none"/>
          <w:lang w:eastAsia="zh-CN"/>
        </w:rPr>
        <w:t>”</w:t>
      </w:r>
      <w:r>
        <w:rPr>
          <w:rFonts w:hint="default" w:ascii="Times New Roman" w:hAnsi="Times New Roman" w:eastAsia="宋体" w:cs="Times New Roman"/>
          <w:color w:val="auto"/>
          <w:highlight w:val="none"/>
        </w:rPr>
        <w:t>的有关要求相符。</w:t>
      </w:r>
    </w:p>
    <w:p>
      <w:pPr>
        <w:ind w:left="0" w:leftChars="0" w:firstLine="0" w:firstLineChars="0"/>
        <w:rPr>
          <w:color w:val="auto"/>
        </w:rPr>
      </w:pPr>
      <w:r>
        <w:rPr>
          <w:color w:val="auto"/>
        </w:rPr>
        <w:drawing>
          <wp:inline distT="0" distB="0" distL="114300" distR="114300">
            <wp:extent cx="5751830" cy="4284980"/>
            <wp:effectExtent l="0" t="0" r="1270" b="1270"/>
            <wp:docPr id="9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0"/>
                    <pic:cNvPicPr>
                      <a:picLocks noChangeAspect="1"/>
                    </pic:cNvPicPr>
                  </pic:nvPicPr>
                  <pic:blipFill>
                    <a:blip r:embed="rId237"/>
                    <a:stretch>
                      <a:fillRect/>
                    </a:stretch>
                  </pic:blipFill>
                  <pic:spPr>
                    <a:xfrm>
                      <a:off x="0" y="0"/>
                      <a:ext cx="5751830" cy="4284980"/>
                    </a:xfrm>
                    <a:prstGeom prst="rect">
                      <a:avLst/>
                    </a:prstGeom>
                    <a:noFill/>
                    <a:ln>
                      <a:noFill/>
                    </a:ln>
                  </pic:spPr>
                </pic:pic>
              </a:graphicData>
            </a:graphic>
          </wp:inline>
        </w:drawing>
      </w:r>
    </w:p>
    <w:p>
      <w:pPr>
        <w:ind w:left="0" w:leftChars="0" w:firstLine="0" w:firstLineChars="0"/>
        <w:jc w:val="center"/>
        <w:rPr>
          <w:rFonts w:hint="default"/>
          <w:color w:val="auto"/>
          <w:lang w:val="en-US"/>
        </w:rPr>
      </w:pPr>
      <w:r>
        <w:rPr>
          <w:rFonts w:hint="eastAsia"/>
          <w:b/>
          <w:bCs/>
          <w:color w:val="auto"/>
          <w:highlight w:val="none"/>
          <w:lang w:val="en-US" w:eastAsia="zh-CN"/>
        </w:rPr>
        <w:t>图10.2-2 本项目“三线一单”管控单元情况</w:t>
      </w:r>
    </w:p>
    <w:p>
      <w:pPr>
        <w:pStyle w:val="5"/>
        <w:bidi w:val="0"/>
        <w:rPr>
          <w:rFonts w:hint="default"/>
          <w:color w:val="auto"/>
        </w:rPr>
      </w:pPr>
      <w:r>
        <w:rPr>
          <w:rFonts w:hint="default"/>
          <w:color w:val="auto"/>
        </w:rPr>
        <w:t>生态保护红线符合性分析</w:t>
      </w:r>
    </w:p>
    <w:p>
      <w:pPr>
        <w:ind w:firstLine="480"/>
        <w:rPr>
          <w:rFonts w:hint="default" w:ascii="Times New Roman" w:hAnsi="Times New Roman" w:eastAsia="宋体" w:cs="Times New Roman"/>
          <w:bCs/>
          <w:color w:val="auto"/>
          <w:kern w:val="0"/>
          <w:highlight w:val="yellow"/>
        </w:rPr>
      </w:pPr>
      <w:r>
        <w:rPr>
          <w:rFonts w:hint="default" w:ascii="Times New Roman" w:hAnsi="Times New Roman" w:eastAsia="宋体" w:cs="Times New Roman"/>
          <w:bCs/>
          <w:color w:val="auto"/>
          <w:kern w:val="0"/>
          <w:highlight w:val="none"/>
          <w:lang w:val="en-US" w:eastAsia="zh-CN"/>
        </w:rPr>
        <w:t>根据</w:t>
      </w:r>
      <w:r>
        <w:rPr>
          <w:rFonts w:hint="default" w:ascii="Times New Roman" w:hAnsi="Times New Roman" w:eastAsia="宋体" w:cs="Times New Roman"/>
          <w:color w:val="auto"/>
          <w:highlight w:val="none"/>
          <w:lang w:val="en-US" w:eastAsia="zh-CN"/>
        </w:rPr>
        <w:t>《岫岩满族自治县苏子沟镇大何家堡村钾长石矿矿产资源开发利用方案审查意见书》</w:t>
      </w:r>
      <w:r>
        <w:rPr>
          <w:rFonts w:hint="default" w:ascii="Times New Roman" w:hAnsi="Times New Roman" w:eastAsia="宋体" w:cs="Times New Roman"/>
          <w:bCs/>
          <w:color w:val="auto"/>
          <w:kern w:val="0"/>
          <w:highlight w:val="none"/>
          <w:lang w:val="en-US" w:eastAsia="zh-CN"/>
        </w:rPr>
        <w:t>和现场勘查，本项目不在上报的生态红线范围、饮用水源保护区、自然保护区内，也没有需要特别保护的文物古迹等。</w:t>
      </w:r>
    </w:p>
    <w:p>
      <w:pPr>
        <w:pStyle w:val="5"/>
        <w:bidi w:val="0"/>
        <w:rPr>
          <w:rFonts w:hint="default"/>
          <w:color w:val="auto"/>
        </w:rPr>
      </w:pPr>
      <w:r>
        <w:rPr>
          <w:rFonts w:hint="default"/>
          <w:color w:val="auto"/>
        </w:rPr>
        <w:t>环境质量底线符合性分析</w:t>
      </w:r>
    </w:p>
    <w:p>
      <w:pPr>
        <w:ind w:firstLine="480"/>
        <w:rPr>
          <w:rFonts w:hint="default" w:ascii="Times New Roman" w:hAnsi="Times New Roman" w:eastAsia="宋体" w:cs="Times New Roman"/>
          <w:bCs/>
          <w:color w:val="auto"/>
          <w:kern w:val="0"/>
          <w:highlight w:val="none"/>
          <w:lang w:val="zh-CN"/>
        </w:rPr>
      </w:pPr>
      <w:r>
        <w:rPr>
          <w:rFonts w:hint="default" w:ascii="Times New Roman" w:hAnsi="Times New Roman" w:eastAsia="宋体" w:cs="Times New Roman"/>
          <w:bCs/>
          <w:color w:val="auto"/>
          <w:kern w:val="0"/>
          <w:highlight w:val="none"/>
          <w:lang w:val="zh-CN"/>
        </w:rPr>
        <w:t>（一）环境空气质量</w:t>
      </w:r>
    </w:p>
    <w:p>
      <w:pPr>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根据环境主管部门公布的数据：鞍山市2021年SO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年均浓度分别为13ug/m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、27ug/m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、69ug/m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、39ug/m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；CO24小时平均第95百分位数为1.9ug/m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日最大8小时平均第90百分位数为131ug/m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监测值超过《环境空气质量标准》（GB3095-2012）中的二级标准要求，判定为不达标区</w:t>
      </w:r>
      <w:r>
        <w:rPr>
          <w:rFonts w:hint="default" w:ascii="Times New Roman" w:hAnsi="Times New Roman" w:eastAsia="宋体" w:cs="Times New Roman"/>
          <w:color w:val="auto"/>
          <w:highlight w:val="none"/>
          <w:lang w:val="zh-CN"/>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根据补充监测结果看，项目所在地TSP如均浓度单项污染指数小于1，表明区域空气质量能满足功能区划要求，技能满足《环境空气质量标准》（GB3095-2012）中二级标准要求。</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本项目为采矿项目，根据大气等级预测为二级评价，因此，本项目产生的大气环境影响可接受。</w:t>
      </w:r>
    </w:p>
    <w:p>
      <w:pPr>
        <w:ind w:firstLine="480"/>
        <w:rPr>
          <w:rFonts w:hint="default" w:ascii="Times New Roman" w:hAnsi="Times New Roman" w:eastAsia="宋体" w:cs="Times New Roman"/>
          <w:bCs/>
          <w:color w:val="auto"/>
          <w:kern w:val="0"/>
          <w:highlight w:val="none"/>
          <w:lang w:val="zh-CN"/>
        </w:rPr>
      </w:pPr>
      <w:r>
        <w:rPr>
          <w:rFonts w:hint="default" w:ascii="Times New Roman" w:hAnsi="Times New Roman" w:eastAsia="宋体" w:cs="Times New Roman"/>
          <w:bCs/>
          <w:color w:val="auto"/>
          <w:kern w:val="0"/>
          <w:highlight w:val="none"/>
          <w:lang w:val="zh-CN"/>
        </w:rPr>
        <w:t>（二）地表水环境质量</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kern w:val="0"/>
          <w:highlight w:val="none"/>
          <w:lang w:val="zh-CN"/>
        </w:rPr>
        <w:t>本项目生活废水，排至旱厕，定期清掏；矿井涌水经沉淀后，回用于矿山生产用水，对地表水无影响。</w:t>
      </w:r>
      <w:r>
        <w:rPr>
          <w:rFonts w:hint="default" w:ascii="Times New Roman" w:hAnsi="Times New Roman" w:eastAsia="宋体" w:cs="Times New Roman"/>
          <w:color w:val="auto"/>
          <w:highlight w:val="none"/>
          <w:lang w:val="en-US" w:eastAsia="zh-CN"/>
        </w:rPr>
        <w:t>收集项目南侧岫岩满族自治县瑞泰矿业有限公司核桃沟铁矿项目对南</w:t>
      </w:r>
      <w:r>
        <w:rPr>
          <w:rFonts w:hint="default" w:ascii="Times New Roman" w:hAnsi="Times New Roman" w:eastAsia="宋体" w:cs="Times New Roman"/>
          <w:color w:val="auto"/>
          <w:highlight w:val="none"/>
        </w:rPr>
        <w:t>侧</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lang w:val="en-US" w:eastAsia="zh-CN"/>
        </w:rPr>
        <w:t>的</w:t>
      </w:r>
      <w:r>
        <w:rPr>
          <w:rFonts w:hint="default" w:ascii="Times New Roman" w:hAnsi="Times New Roman" w:eastAsia="宋体" w:cs="Times New Roman"/>
          <w:color w:val="auto"/>
          <w:highlight w:val="none"/>
        </w:rPr>
        <w:t>地表水环境质量现状监测</w:t>
      </w:r>
      <w:r>
        <w:rPr>
          <w:rFonts w:hint="default" w:ascii="Times New Roman" w:hAnsi="Times New Roman" w:eastAsia="宋体" w:cs="Times New Roman"/>
          <w:color w:val="auto"/>
          <w:highlight w:val="none"/>
          <w:lang w:val="en-US" w:eastAsia="zh-CN"/>
        </w:rPr>
        <w:t>数据</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现状监测点监测指标均能满足《地表水环境质量标准》（GB3838-2002）Ⅱ类标准。</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（三）地下水质量</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8"/>
          <w:highlight w:val="none"/>
        </w:rPr>
        <w:t>根据</w:t>
      </w:r>
      <w:r>
        <w:rPr>
          <w:rFonts w:hint="default" w:ascii="Times New Roman" w:hAnsi="Times New Roman" w:eastAsia="宋体" w:cs="Times New Roman"/>
          <w:color w:val="auto"/>
          <w:highlight w:val="none"/>
        </w:rPr>
        <w:t>20</w:t>
      </w:r>
      <w:r>
        <w:rPr>
          <w:rFonts w:hint="default"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rPr>
        <w:t>年</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04日-05日</w:t>
      </w:r>
      <w:r>
        <w:rPr>
          <w:rFonts w:hint="default" w:ascii="Times New Roman" w:hAnsi="Times New Roman" w:eastAsia="宋体" w:cs="Times New Roman"/>
          <w:color w:val="auto"/>
          <w:szCs w:val="28"/>
          <w:highlight w:val="none"/>
        </w:rPr>
        <w:t>，补测</w:t>
      </w:r>
      <w:r>
        <w:rPr>
          <w:rFonts w:hint="default" w:ascii="Times New Roman" w:hAnsi="Times New Roman" w:eastAsia="宋体" w:cs="Times New Roman"/>
          <w:color w:val="auto"/>
          <w:szCs w:val="28"/>
          <w:highlight w:val="none"/>
          <w:lang w:val="en-US" w:eastAsia="zh-CN"/>
        </w:rPr>
        <w:t>3</w:t>
      </w:r>
      <w:r>
        <w:rPr>
          <w:rFonts w:hint="default" w:ascii="Times New Roman" w:hAnsi="Times New Roman" w:eastAsia="宋体" w:cs="Times New Roman"/>
          <w:color w:val="auto"/>
          <w:szCs w:val="28"/>
          <w:highlight w:val="none"/>
        </w:rPr>
        <w:t>眼监测井，所有的监测因子均满足《地下水质量标准》(GB/T14848-2017)Ⅲ类标准要求，评价区内地下水质量较好。</w:t>
      </w:r>
    </w:p>
    <w:p>
      <w:pPr>
        <w:ind w:firstLine="480"/>
        <w:rPr>
          <w:rFonts w:hint="default" w:ascii="Times New Roman" w:hAnsi="Times New Roman" w:eastAsia="宋体" w:cs="Times New Roman"/>
          <w:bCs/>
          <w:color w:val="auto"/>
          <w:kern w:val="0"/>
          <w:highlight w:val="none"/>
          <w:lang w:val="zh-CN"/>
        </w:rPr>
      </w:pPr>
      <w:r>
        <w:rPr>
          <w:rFonts w:hint="default" w:ascii="Times New Roman" w:hAnsi="Times New Roman" w:eastAsia="宋体" w:cs="Times New Roman"/>
          <w:bCs/>
          <w:color w:val="auto"/>
          <w:kern w:val="0"/>
          <w:highlight w:val="none"/>
          <w:lang w:val="zh-CN"/>
        </w:rPr>
        <w:t>（四）噪声</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highlight w:val="none"/>
          <w:lang w:val="en-US" w:eastAsia="zh-CN"/>
        </w:rPr>
        <w:t>2022</w:t>
      </w:r>
      <w:r>
        <w:rPr>
          <w:rFonts w:hint="default" w:ascii="Times New Roman" w:hAnsi="Times New Roman" w:eastAsia="宋体" w:cs="Times New Roman"/>
          <w:color w:val="auto"/>
          <w:highlight w:val="none"/>
        </w:rPr>
        <w:t>年0</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color w:val="auto"/>
          <w:highlight w:val="none"/>
        </w:rPr>
        <w:t>日-0</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05</w:t>
      </w:r>
      <w:r>
        <w:rPr>
          <w:rFonts w:hint="default" w:ascii="Times New Roman" w:hAnsi="Times New Roman" w:eastAsia="宋体" w:cs="Times New Roman"/>
          <w:color w:val="auto"/>
          <w:highlight w:val="none"/>
        </w:rPr>
        <w:t>日，工业场地四周及环境保护目标处各现状噪声监测点噪声值均符合《工业企业厂界环境噪声排放标准》（GB12348-2008）</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类标准的限值要求；敏感点</w:t>
      </w:r>
      <w:r>
        <w:rPr>
          <w:rFonts w:hint="default" w:ascii="Times New Roman" w:hAnsi="Times New Roman" w:eastAsia="宋体" w:cs="Times New Roman"/>
          <w:color w:val="auto"/>
          <w:highlight w:val="none"/>
          <w:lang w:eastAsia="zh-CN"/>
        </w:rPr>
        <w:t>贾家堡</w:t>
      </w:r>
      <w:r>
        <w:rPr>
          <w:rFonts w:hint="default" w:ascii="Times New Roman" w:hAnsi="Times New Roman" w:eastAsia="宋体" w:cs="Times New Roman"/>
          <w:color w:val="auto"/>
          <w:highlight w:val="none"/>
        </w:rPr>
        <w:t>的声环境预测值满足《声环境质量标准》（GB3096-2008）执行1类标准要求。</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（五）土壤</w:t>
      </w:r>
    </w:p>
    <w:p>
      <w:pPr>
        <w:pStyle w:val="62"/>
        <w:spacing w:line="360" w:lineRule="auto"/>
        <w:ind w:firstLine="480"/>
        <w:rPr>
          <w:rFonts w:hint="default" w:ascii="Times New Roman" w:hAnsi="Times New Roman" w:eastAsia="宋体" w:cs="Times New Roman"/>
          <w:snapToGrid w:val="0"/>
          <w:color w:val="auto"/>
          <w:highlight w:val="none"/>
        </w:rPr>
      </w:pPr>
      <w:r>
        <w:rPr>
          <w:rFonts w:hint="default" w:ascii="Times New Roman" w:hAnsi="Times New Roman" w:eastAsia="宋体" w:cs="Times New Roman"/>
          <w:color w:val="auto"/>
          <w:highlight w:val="none"/>
        </w:rPr>
        <w:t>202</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年0</w:t>
      </w:r>
      <w:r>
        <w:rPr>
          <w:rFonts w:hint="default" w:ascii="Times New Roman" w:hAnsi="Times New Roman" w:eastAsia="宋体" w:cs="Times New Roman"/>
          <w:color w:val="auto"/>
          <w:highlight w:val="none"/>
          <w:lang w:val="en-US" w:eastAsia="zh-CN"/>
        </w:rPr>
        <w:t>7</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bCs/>
          <w:color w:val="auto"/>
          <w:highlight w:val="none"/>
        </w:rPr>
        <w:t>在项目所在地及评价范围内设置</w:t>
      </w:r>
      <w:r>
        <w:rPr>
          <w:rFonts w:hint="default" w:ascii="Times New Roman" w:hAnsi="Times New Roman" w:eastAsia="宋体" w:cs="Times New Roman"/>
          <w:bCs/>
          <w:color w:val="auto"/>
          <w:highlight w:val="none"/>
          <w:lang w:val="en-US" w:eastAsia="zh-CN"/>
        </w:rPr>
        <w:t>3</w:t>
      </w:r>
      <w:r>
        <w:rPr>
          <w:rFonts w:hint="default" w:ascii="Times New Roman" w:hAnsi="Times New Roman" w:eastAsia="宋体" w:cs="Times New Roman"/>
          <w:bCs/>
          <w:color w:val="auto"/>
          <w:highlight w:val="none"/>
        </w:rPr>
        <w:t>个监测点，根据监测结果，</w:t>
      </w:r>
      <w:r>
        <w:rPr>
          <w:rFonts w:hint="default" w:ascii="Times New Roman" w:hAnsi="Times New Roman" w:eastAsia="宋体" w:cs="Times New Roman"/>
          <w:snapToGrid w:val="0"/>
          <w:color w:val="auto"/>
          <w:highlight w:val="none"/>
        </w:rPr>
        <w:t>工业场地建设用地土壤监测因子均满足</w:t>
      </w:r>
      <w:r>
        <w:rPr>
          <w:rFonts w:hint="default" w:ascii="Times New Roman" w:hAnsi="Times New Roman" w:eastAsia="宋体" w:cs="Times New Roman"/>
          <w:color w:val="auto"/>
          <w:highlight w:val="none"/>
        </w:rPr>
        <w:t>《土壤环境质量建设用地土壤污染风险管控标准》（试行）(GB36600-2018)第二类用地筛选值。</w:t>
      </w:r>
    </w:p>
    <w:p>
      <w:pPr>
        <w:ind w:firstLine="600" w:firstLineChars="25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本项目污染物主要为粉尘和噪声，经采取环保措施后本项目的建设不会突破环境质量底线。</w:t>
      </w:r>
    </w:p>
    <w:p>
      <w:pPr>
        <w:pStyle w:val="5"/>
        <w:bidi w:val="0"/>
        <w:rPr>
          <w:rFonts w:hint="default"/>
          <w:color w:val="auto"/>
        </w:rPr>
      </w:pPr>
      <w:r>
        <w:rPr>
          <w:rFonts w:hint="default"/>
          <w:color w:val="auto"/>
        </w:rPr>
        <w:t>资源利用上线符合性分析</w:t>
      </w:r>
    </w:p>
    <w:p>
      <w:pPr>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kern w:val="0"/>
          <w:highlight w:val="none"/>
        </w:rPr>
        <w:t>本项目为</w:t>
      </w:r>
      <w:r>
        <w:rPr>
          <w:rFonts w:hint="default" w:ascii="Times New Roman" w:hAnsi="Times New Roman" w:eastAsia="宋体" w:cs="Times New Roman"/>
          <w:bCs/>
          <w:color w:val="auto"/>
          <w:kern w:val="0"/>
          <w:highlight w:val="none"/>
          <w:lang w:eastAsia="zh-CN"/>
        </w:rPr>
        <w:t>钾长石矿</w:t>
      </w:r>
      <w:r>
        <w:rPr>
          <w:rFonts w:hint="default" w:ascii="Times New Roman" w:hAnsi="Times New Roman" w:eastAsia="宋体" w:cs="Times New Roman"/>
          <w:bCs/>
          <w:color w:val="auto"/>
          <w:kern w:val="0"/>
          <w:highlight w:val="none"/>
        </w:rPr>
        <w:t>开采项目，</w:t>
      </w:r>
      <w:r>
        <w:rPr>
          <w:rFonts w:hint="default" w:ascii="Times New Roman" w:hAnsi="Times New Roman" w:eastAsia="宋体" w:cs="Times New Roman"/>
          <w:color w:val="auto"/>
          <w:highlight w:val="none"/>
        </w:rPr>
        <w:t>本项目位于鞍山岫岩满族自治县，属于</w:t>
      </w:r>
      <w:r>
        <w:rPr>
          <w:rFonts w:hint="default" w:ascii="Times New Roman" w:hAnsi="Times New Roman" w:eastAsia="宋体" w:cs="Times New Roman"/>
          <w:bCs/>
          <w:color w:val="auto"/>
          <w:highlight w:val="none"/>
        </w:rPr>
        <w:t>辽宁中部城市群矿业经济发展中心</w:t>
      </w:r>
      <w:r>
        <w:rPr>
          <w:rFonts w:hint="default" w:ascii="Times New Roman" w:hAnsi="Times New Roman" w:eastAsia="宋体" w:cs="Times New Roman"/>
          <w:color w:val="auto"/>
          <w:highlight w:val="none"/>
        </w:rPr>
        <w:t>内</w:t>
      </w:r>
      <w:r>
        <w:rPr>
          <w:rFonts w:hint="default" w:ascii="Times New Roman" w:hAnsi="Times New Roman" w:eastAsia="宋体" w:cs="Times New Roman"/>
          <w:bCs/>
          <w:color w:val="auto"/>
          <w:highlight w:val="none"/>
        </w:rPr>
        <w:t>优势的矿产</w:t>
      </w:r>
      <w:r>
        <w:rPr>
          <w:rFonts w:hint="default" w:ascii="Times New Roman" w:hAnsi="Times New Roman" w:eastAsia="宋体" w:cs="Times New Roman"/>
          <w:color w:val="auto"/>
          <w:highlight w:val="none"/>
        </w:rPr>
        <w:t>，符合《辽宁省矿产资源总体规划（</w:t>
      </w:r>
      <w:r>
        <w:rPr>
          <w:rFonts w:hint="default" w:ascii="Times New Roman" w:hAnsi="Times New Roman" w:eastAsia="宋体" w:cs="Times New Roman"/>
          <w:bCs/>
          <w:color w:val="auto"/>
          <w:highlight w:val="none"/>
        </w:rPr>
        <w:t>2016—2020年</w:t>
      </w:r>
      <w:r>
        <w:rPr>
          <w:rFonts w:hint="default" w:ascii="Times New Roman" w:hAnsi="Times New Roman" w:eastAsia="宋体" w:cs="Times New Roman"/>
          <w:color w:val="auto"/>
          <w:highlight w:val="none"/>
        </w:rPr>
        <w:t>）》内容。</w:t>
      </w:r>
    </w:p>
    <w:p>
      <w:pPr>
        <w:spacing w:line="480" w:lineRule="exact"/>
        <w:ind w:firstLine="480"/>
        <w:rPr>
          <w:rFonts w:hint="default" w:ascii="Times New Roman" w:hAnsi="Times New Roman" w:eastAsia="宋体" w:cs="Times New Roman"/>
          <w:bCs/>
          <w:color w:val="auto"/>
          <w:kern w:val="0"/>
          <w:highlight w:val="none"/>
        </w:rPr>
      </w:pPr>
      <w:r>
        <w:rPr>
          <w:rFonts w:hint="default" w:ascii="Times New Roman" w:hAnsi="Times New Roman" w:eastAsia="宋体" w:cs="Times New Roman"/>
          <w:bCs/>
          <w:color w:val="auto"/>
          <w:kern w:val="0"/>
          <w:highlight w:val="none"/>
        </w:rPr>
        <w:t>目前鞍山市尚无正式的资源利用上限相关文件，本项目以资源能源利用为分析指标。从能源利用上，项目能源结构主要为电，为清洁能源，项目建成运行后通过内部管理和污染治理等多方面采取合理可行的防治措施，以</w:t>
      </w:r>
      <w:r>
        <w:rPr>
          <w:rFonts w:hint="eastAsia" w:cs="Times New Roman"/>
          <w:bCs/>
          <w:color w:val="auto"/>
          <w:kern w:val="0"/>
          <w:highlight w:val="none"/>
          <w:lang w:eastAsia="zh-CN"/>
        </w:rPr>
        <w:t>“</w:t>
      </w:r>
      <w:r>
        <w:rPr>
          <w:rFonts w:hint="default" w:ascii="Times New Roman" w:hAnsi="Times New Roman" w:eastAsia="宋体" w:cs="Times New Roman"/>
          <w:bCs/>
          <w:color w:val="auto"/>
          <w:kern w:val="0"/>
          <w:highlight w:val="none"/>
        </w:rPr>
        <w:t>节能、降耗、减污</w:t>
      </w:r>
      <w:r>
        <w:rPr>
          <w:rFonts w:hint="eastAsia" w:cs="Times New Roman"/>
          <w:bCs/>
          <w:color w:val="auto"/>
          <w:kern w:val="0"/>
          <w:highlight w:val="none"/>
          <w:lang w:eastAsia="zh-CN"/>
        </w:rPr>
        <w:t>”</w:t>
      </w:r>
      <w:r>
        <w:rPr>
          <w:rFonts w:hint="default" w:ascii="Times New Roman" w:hAnsi="Times New Roman" w:eastAsia="宋体" w:cs="Times New Roman"/>
          <w:bCs/>
          <w:color w:val="auto"/>
          <w:kern w:val="0"/>
          <w:highlight w:val="none"/>
        </w:rPr>
        <w:t>为目标，有效控制污染。项目的水、电等资源利用不会突破区域的资源利用上线。</w:t>
      </w:r>
    </w:p>
    <w:p>
      <w:pPr>
        <w:spacing w:line="480" w:lineRule="exact"/>
        <w:ind w:firstLine="480"/>
        <w:rPr>
          <w:rFonts w:hint="default" w:ascii="Times New Roman" w:hAnsi="Times New Roman" w:eastAsia="宋体" w:cs="Times New Roman"/>
          <w:bCs/>
          <w:color w:val="auto"/>
          <w:kern w:val="0"/>
          <w:highlight w:val="none"/>
        </w:rPr>
      </w:pPr>
      <w:r>
        <w:rPr>
          <w:rFonts w:hint="default" w:ascii="Times New Roman" w:hAnsi="Times New Roman" w:eastAsia="宋体" w:cs="Times New Roman"/>
          <w:bCs/>
          <w:color w:val="auto"/>
          <w:kern w:val="0"/>
          <w:highlight w:val="none"/>
        </w:rPr>
        <w:t>符合矿产资源利用相关要求。</w:t>
      </w:r>
    </w:p>
    <w:p>
      <w:pPr>
        <w:pStyle w:val="5"/>
        <w:bidi w:val="0"/>
        <w:rPr>
          <w:rFonts w:hint="default"/>
          <w:color w:val="auto"/>
        </w:rPr>
      </w:pPr>
      <w:r>
        <w:rPr>
          <w:rFonts w:hint="default"/>
          <w:color w:val="auto"/>
        </w:rPr>
        <w:t>环境准入负面清单符合性分析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目前鞍山市尚无发布环境准入负面清单，因此，本项目主要分析其产业政策相符性本项目为</w:t>
      </w:r>
      <w:r>
        <w:rPr>
          <w:rFonts w:hint="eastAsia" w:cs="Times New Roman"/>
          <w:color w:val="auto"/>
          <w:highlight w:val="none"/>
          <w:lang w:val="en-US" w:eastAsia="zh-CN"/>
        </w:rPr>
        <w:t>15</w:t>
      </w:r>
      <w:r>
        <w:rPr>
          <w:rFonts w:hint="default" w:ascii="Times New Roman" w:hAnsi="Times New Roman" w:eastAsia="宋体" w:cs="Times New Roman"/>
          <w:color w:val="auto"/>
          <w:highlight w:val="none"/>
          <w:lang w:eastAsia="zh-CN"/>
        </w:rPr>
        <w:t>万t/a钾长石矿</w:t>
      </w:r>
      <w:r>
        <w:rPr>
          <w:rFonts w:hint="default" w:ascii="Times New Roman" w:hAnsi="Times New Roman" w:eastAsia="宋体" w:cs="Times New Roman"/>
          <w:color w:val="auto"/>
          <w:highlight w:val="none"/>
        </w:rPr>
        <w:t>开采项目，不属于《产业结构调整指导目录（201</w:t>
      </w:r>
      <w:r>
        <w:rPr>
          <w:rFonts w:hint="default" w:ascii="Times New Roman" w:hAnsi="Times New Roman" w:eastAsia="宋体" w:cs="Times New Roman"/>
          <w:color w:val="auto"/>
          <w:highlight w:val="none"/>
          <w:lang w:val="en-US" w:eastAsia="zh-CN"/>
        </w:rPr>
        <w:t>9</w:t>
      </w:r>
      <w:r>
        <w:rPr>
          <w:rFonts w:hint="default" w:ascii="Times New Roman" w:hAnsi="Times New Roman" w:eastAsia="宋体" w:cs="Times New Roman"/>
          <w:color w:val="auto"/>
          <w:highlight w:val="none"/>
        </w:rPr>
        <w:t>年）》中的限制类和淘汰类，属于允许类，符合国家产业政策。</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综上所述，本项目建设与</w:t>
      </w:r>
      <w:r>
        <w:rPr>
          <w:rFonts w:hint="eastAsia" w:cs="Times New Roman"/>
          <w:color w:val="auto"/>
          <w:highlight w:val="none"/>
          <w:lang w:eastAsia="zh-CN"/>
        </w:rPr>
        <w:t>“</w:t>
      </w:r>
      <w:r>
        <w:rPr>
          <w:rFonts w:hint="default" w:ascii="Times New Roman" w:hAnsi="Times New Roman" w:eastAsia="宋体" w:cs="Times New Roman"/>
          <w:color w:val="auto"/>
          <w:highlight w:val="none"/>
        </w:rPr>
        <w:t>三线一单</w:t>
      </w:r>
      <w:r>
        <w:rPr>
          <w:rFonts w:hint="eastAsia" w:cs="Times New Roman"/>
          <w:color w:val="auto"/>
          <w:highlight w:val="none"/>
          <w:lang w:eastAsia="zh-CN"/>
        </w:rPr>
        <w:t>”</w:t>
      </w:r>
      <w:r>
        <w:rPr>
          <w:rFonts w:hint="default" w:ascii="Times New Roman" w:hAnsi="Times New Roman" w:eastAsia="宋体" w:cs="Times New Roman"/>
          <w:color w:val="auto"/>
          <w:highlight w:val="none"/>
        </w:rPr>
        <w:t>相符。</w:t>
      </w:r>
    </w:p>
    <w:p>
      <w:pPr>
        <w:pStyle w:val="4"/>
        <w:bidi w:val="0"/>
        <w:rPr>
          <w:rFonts w:hint="default"/>
          <w:color w:val="auto"/>
        </w:rPr>
      </w:pPr>
      <w:bookmarkStart w:id="784" w:name="_Toc16279"/>
      <w:r>
        <w:rPr>
          <w:rFonts w:hint="default"/>
          <w:color w:val="auto"/>
        </w:rPr>
        <w:t>环境管理政策符合性分析</w:t>
      </w:r>
      <w:bookmarkEnd w:id="784"/>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本项目与</w:t>
      </w:r>
      <w:r>
        <w:rPr>
          <w:rFonts w:hint="eastAsia" w:cs="Times New Roman"/>
          <w:color w:val="auto"/>
          <w:highlight w:val="none"/>
          <w:lang w:eastAsia="zh-CN"/>
        </w:rPr>
        <w:t>“</w:t>
      </w:r>
      <w:r>
        <w:rPr>
          <w:rFonts w:hint="default" w:ascii="Times New Roman" w:hAnsi="Times New Roman" w:eastAsia="宋体" w:cs="Times New Roman"/>
          <w:color w:val="auto"/>
          <w:highlight w:val="none"/>
        </w:rPr>
        <w:t>气十条</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水十条</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土十条</w:t>
      </w:r>
      <w:r>
        <w:rPr>
          <w:rFonts w:hint="eastAsia" w:cs="Times New Roman"/>
          <w:color w:val="auto"/>
          <w:highlight w:val="none"/>
          <w:lang w:eastAsia="zh-CN"/>
        </w:rPr>
        <w:t>”</w:t>
      </w:r>
      <w:r>
        <w:rPr>
          <w:rFonts w:hint="default" w:ascii="Times New Roman" w:hAnsi="Times New Roman" w:eastAsia="宋体" w:cs="Times New Roman"/>
          <w:color w:val="auto"/>
          <w:highlight w:val="none"/>
        </w:rPr>
        <w:t>现行环境管理要求的符合性分析见表</w:t>
      </w:r>
      <w:r>
        <w:rPr>
          <w:rFonts w:hint="default" w:ascii="Times New Roman" w:hAnsi="Times New Roman" w:eastAsia="宋体" w:cs="Times New Roman"/>
          <w:color w:val="auto"/>
          <w:highlight w:val="none"/>
          <w:lang w:eastAsia="zh-CN"/>
        </w:rPr>
        <w:t>10.</w:t>
      </w:r>
      <w:r>
        <w:rPr>
          <w:rFonts w:hint="default" w:ascii="Times New Roman" w:hAnsi="Times New Roman" w:eastAsia="宋体" w:cs="Times New Roman"/>
          <w:color w:val="auto"/>
          <w:highlight w:val="none"/>
          <w:lang w:val="en-US" w:eastAsia="zh-CN"/>
        </w:rPr>
        <w:t>4-1</w:t>
      </w:r>
      <w:r>
        <w:rPr>
          <w:rFonts w:hint="default" w:ascii="Times New Roman" w:hAnsi="Times New Roman" w:eastAsia="宋体" w:cs="Times New Roman"/>
          <w:color w:val="auto"/>
          <w:highlight w:val="none"/>
        </w:rPr>
        <w:t>。</w:t>
      </w:r>
    </w:p>
    <w:p>
      <w:pPr>
        <w:spacing w:line="480" w:lineRule="exact"/>
        <w:ind w:firstLine="422"/>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default" w:ascii="Times New Roman" w:hAnsi="Times New Roman" w:eastAsia="宋体" w:cs="Times New Roman"/>
          <w:b/>
          <w:bCs/>
          <w:color w:val="auto"/>
          <w:kern w:val="0"/>
          <w:sz w:val="21"/>
          <w:szCs w:val="21"/>
          <w:highlight w:val="none"/>
          <w:lang w:eastAsia="zh-CN"/>
        </w:rPr>
        <w:t>10.</w:t>
      </w:r>
      <w:r>
        <w:rPr>
          <w:rFonts w:hint="default" w:ascii="Times New Roman" w:hAnsi="Times New Roman" w:eastAsia="宋体" w:cs="Times New Roman"/>
          <w:b/>
          <w:bCs/>
          <w:color w:val="auto"/>
          <w:kern w:val="0"/>
          <w:sz w:val="21"/>
          <w:szCs w:val="21"/>
          <w:highlight w:val="none"/>
          <w:lang w:val="en-US" w:eastAsia="zh-CN"/>
        </w:rPr>
        <w:t>4-1</w:t>
      </w:r>
      <w:r>
        <w:rPr>
          <w:rFonts w:hint="default" w:ascii="Times New Roman" w:hAnsi="Times New Roman" w:eastAsia="宋体" w:cs="Times New Roman"/>
          <w:b/>
          <w:bCs/>
          <w:color w:val="auto"/>
          <w:kern w:val="0"/>
          <w:sz w:val="21"/>
          <w:szCs w:val="21"/>
          <w:highlight w:val="none"/>
        </w:rPr>
        <w:t>环境管理政策符合性分析</w:t>
      </w:r>
    </w:p>
    <w:tbl>
      <w:tblPr>
        <w:tblStyle w:val="46"/>
        <w:tblW w:w="850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35"/>
        <w:gridCol w:w="3685"/>
        <w:gridCol w:w="1701"/>
        <w:gridCol w:w="8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223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名称</w:t>
            </w:r>
          </w:p>
        </w:tc>
        <w:tc>
          <w:tcPr>
            <w:tcW w:w="36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政策要求</w:t>
            </w:r>
          </w:p>
        </w:tc>
        <w:tc>
          <w:tcPr>
            <w:tcW w:w="170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本项目实施情况</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3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《大气污染防治行动计划》（气十条）国发[2013]37号、《辽宁省大气污染防治行动计划实施方案》（辽政发）[2014]8号）及鞍政发[2015]17号</w:t>
            </w:r>
          </w:p>
        </w:tc>
        <w:tc>
          <w:tcPr>
            <w:tcW w:w="36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加强工业企业大气污染综合治理，全面整治燃煤小锅炉。加快推进集中供热。</w:t>
            </w:r>
            <w:r>
              <w:rPr>
                <w:rFonts w:hint="eastAsia" w:cs="Times New Roman"/>
                <w:color w:val="auto"/>
                <w:highlight w:val="none"/>
                <w:lang w:eastAsia="zh-CN"/>
              </w:rPr>
              <w:t>“</w:t>
            </w:r>
            <w:r>
              <w:rPr>
                <w:rFonts w:hint="default" w:ascii="Times New Roman" w:hAnsi="Times New Roman" w:eastAsia="宋体" w:cs="Times New Roman"/>
                <w:color w:val="auto"/>
                <w:highlight w:val="none"/>
              </w:rPr>
              <w:t>煤改气</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煤改电</w:t>
            </w:r>
            <w:r>
              <w:rPr>
                <w:rFonts w:hint="eastAsia" w:cs="Times New Roman"/>
                <w:color w:val="auto"/>
                <w:highlight w:val="none"/>
                <w:lang w:eastAsia="zh-CN"/>
              </w:rPr>
              <w:t>”</w:t>
            </w:r>
            <w:r>
              <w:rPr>
                <w:rFonts w:hint="default" w:ascii="Times New Roman" w:hAnsi="Times New Roman" w:eastAsia="宋体" w:cs="Times New Roman"/>
                <w:color w:val="auto"/>
                <w:highlight w:val="none"/>
              </w:rPr>
              <w:t>工程建设，到2017年，除必要保留的以外，地级及以上城市建成区基本淘汰每小时10蒸吨及以下的燃煤锅炉，禁止新建每小时20蒸吨以下的燃煤锅炉；其他地区原则上不再新建每小时10蒸吨以下的燃煤锅炉</w:t>
            </w:r>
          </w:p>
        </w:tc>
        <w:tc>
          <w:tcPr>
            <w:tcW w:w="170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本项目采用电采暖</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35"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《水污染防治行动计划》（水十条）国发[2015]17号、《辽宁省水污染防治工作方案》（辽政发[2015]79号）及鞍政发[2016]28号</w:t>
            </w:r>
          </w:p>
        </w:tc>
        <w:tc>
          <w:tcPr>
            <w:tcW w:w="36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控地下水超采。在地面沉降、地裂缝、岩溶塌陷等地质灾害易发区开发利用地下水，应进行地质灾害危险评估。严格控制开采深层承压水。地热水、矿泉水开发应严格实行取水许可和采矿许可。依法规范机井建设管理，排查登记已建机井，未经批准和公共供水管网覆盖范围内的自备水井，一律予以关闭。</w:t>
            </w:r>
          </w:p>
        </w:tc>
        <w:tc>
          <w:tcPr>
            <w:tcW w:w="170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本项目生活用水由汽车外运提供</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35" w:type="dxa"/>
            <w:vMerge w:val="continue"/>
            <w:vAlign w:val="center"/>
          </w:tcPr>
          <w:p>
            <w:pPr>
              <w:pStyle w:val="104"/>
              <w:jc w:val="center"/>
              <w:rPr>
                <w:rFonts w:hint="default" w:ascii="Times New Roman" w:hAnsi="Times New Roman" w:eastAsia="宋体" w:cs="Times New Roman"/>
                <w:color w:val="auto"/>
                <w:highlight w:val="none"/>
              </w:rPr>
            </w:pPr>
          </w:p>
        </w:tc>
        <w:tc>
          <w:tcPr>
            <w:tcW w:w="36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推进循环发展，加强工业水循环利用，推进矿井水综合利用，煤炭矿区的补充用水，周边地区生产和生态用水应优先使用矿井水，加强洗煤废水循环利用</w:t>
            </w:r>
          </w:p>
        </w:tc>
        <w:tc>
          <w:tcPr>
            <w:tcW w:w="170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经过沉淀处理后，复用于矿井生产、防尘洒水、道路洒水以及绿化用水等，不外排。</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35" w:type="dxa"/>
            <w:vMerge w:val="continue"/>
            <w:vAlign w:val="center"/>
          </w:tcPr>
          <w:p>
            <w:pPr>
              <w:pStyle w:val="104"/>
              <w:jc w:val="center"/>
              <w:rPr>
                <w:rFonts w:hint="default" w:ascii="Times New Roman" w:hAnsi="Times New Roman" w:eastAsia="宋体" w:cs="Times New Roman"/>
                <w:color w:val="auto"/>
                <w:highlight w:val="none"/>
              </w:rPr>
            </w:pPr>
          </w:p>
        </w:tc>
        <w:tc>
          <w:tcPr>
            <w:tcW w:w="3685" w:type="dxa"/>
            <w:vAlign w:val="center"/>
          </w:tcPr>
          <w:p>
            <w:pPr>
              <w:pStyle w:val="36"/>
              <w:tabs>
                <w:tab w:val="left" w:pos="720"/>
              </w:tabs>
              <w:spacing w:after="0"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推广示范适用技术，加快技术成果推广应用，重点推广饮用水净化、节水、水污染治理及循环利用，城市雨水收集利用，再生水安全回用，水生态修复，畜禽养殖污染防治等适用技术</w:t>
            </w:r>
          </w:p>
        </w:tc>
        <w:tc>
          <w:tcPr>
            <w:tcW w:w="1701" w:type="dxa"/>
            <w:vAlign w:val="center"/>
          </w:tcPr>
          <w:p>
            <w:pPr>
              <w:pStyle w:val="36"/>
              <w:tabs>
                <w:tab w:val="left" w:pos="720"/>
              </w:tabs>
              <w:spacing w:after="0" w:line="240" w:lineRule="auto"/>
              <w:ind w:left="0" w:leftChars="0"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项目生活污水采用旱厕处理，定期清掏，不外排</w:t>
            </w:r>
          </w:p>
        </w:tc>
        <w:tc>
          <w:tcPr>
            <w:tcW w:w="884" w:type="dxa"/>
            <w:vAlign w:val="center"/>
          </w:tcPr>
          <w:p>
            <w:pPr>
              <w:pStyle w:val="36"/>
              <w:tabs>
                <w:tab w:val="left" w:pos="720"/>
              </w:tabs>
              <w:spacing w:after="0"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5" w:hRule="atLeast"/>
          <w:jc w:val="center"/>
        </w:trPr>
        <w:tc>
          <w:tcPr>
            <w:tcW w:w="2235"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《土壤污染防治行动计划》（土十条）国发[2016]31号、《辽宁省人民政府关于印发辽宁省土壤污染防治工作方案的通知》（辽政发[2016]58号）及鞍政发[2017]6号</w:t>
            </w:r>
          </w:p>
        </w:tc>
        <w:tc>
          <w:tcPr>
            <w:tcW w:w="36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严格控制林地、草地、园地的农药使用量，禁止使用高毒、高残留农药</w:t>
            </w:r>
          </w:p>
        </w:tc>
        <w:tc>
          <w:tcPr>
            <w:tcW w:w="170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矿区内绿地不使用农药</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5" w:hRule="atLeast"/>
          <w:jc w:val="center"/>
        </w:trPr>
        <w:tc>
          <w:tcPr>
            <w:tcW w:w="2235" w:type="dxa"/>
            <w:vMerge w:val="continue"/>
            <w:vAlign w:val="center"/>
          </w:tcPr>
          <w:p>
            <w:pPr>
              <w:pStyle w:val="104"/>
              <w:jc w:val="center"/>
              <w:rPr>
                <w:rFonts w:hint="default" w:ascii="Times New Roman" w:hAnsi="Times New Roman" w:eastAsia="宋体" w:cs="Times New Roman"/>
                <w:color w:val="auto"/>
                <w:highlight w:val="none"/>
              </w:rPr>
            </w:pPr>
          </w:p>
        </w:tc>
        <w:tc>
          <w:tcPr>
            <w:tcW w:w="3685" w:type="dxa"/>
            <w:vAlign w:val="center"/>
          </w:tcPr>
          <w:p>
            <w:pPr>
              <w:pStyle w:val="36"/>
              <w:tabs>
                <w:tab w:val="left" w:pos="720"/>
              </w:tabs>
              <w:spacing w:after="0" w:line="240" w:lineRule="auto"/>
              <w:ind w:left="0" w:leftChars="0" w:firstLine="0" w:firstLineChars="0"/>
              <w:jc w:val="center"/>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shd w:val="clear" w:color="auto" w:fill="FFFFFF"/>
              </w:rPr>
              <w:t>加强未利用地环境管理，按照科学有序原则开发利用未利用地，防止造成土壤污染。加强对矿山、油田等矿产资源开采活动影响区域内未利用地的环境监管，发现土壤污染问题的，要及时督促有关企业采取防治措施</w:t>
            </w:r>
          </w:p>
        </w:tc>
        <w:tc>
          <w:tcPr>
            <w:tcW w:w="1701" w:type="dxa"/>
            <w:vMerge w:val="restart"/>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根据项目土壤监测结果，符合《土壤环境质量建设用地土壤污染风险管控标准（试行）》（GB36600-2018）中第二类用地筛选值标准</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5" w:hRule="atLeast"/>
          <w:jc w:val="center"/>
        </w:trPr>
        <w:tc>
          <w:tcPr>
            <w:tcW w:w="2235" w:type="dxa"/>
            <w:vMerge w:val="continue"/>
            <w:vAlign w:val="center"/>
          </w:tcPr>
          <w:p>
            <w:pPr>
              <w:pStyle w:val="104"/>
              <w:jc w:val="center"/>
              <w:rPr>
                <w:rFonts w:hint="default" w:ascii="Times New Roman" w:hAnsi="Times New Roman" w:eastAsia="宋体" w:cs="Times New Roman"/>
                <w:color w:val="auto"/>
                <w:highlight w:val="none"/>
              </w:rPr>
            </w:pPr>
          </w:p>
        </w:tc>
        <w:tc>
          <w:tcPr>
            <w:tcW w:w="3685" w:type="dxa"/>
            <w:vAlign w:val="center"/>
          </w:tcPr>
          <w:p>
            <w:pPr>
              <w:pStyle w:val="36"/>
              <w:tabs>
                <w:tab w:val="left" w:pos="720"/>
              </w:tabs>
              <w:spacing w:after="0" w:line="240" w:lineRule="auto"/>
              <w:ind w:left="0" w:leftChars="0" w:firstLine="0" w:firstLineChars="0"/>
              <w:jc w:val="center"/>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shd w:val="clear" w:color="auto" w:fill="FFFFFF"/>
              </w:rPr>
              <w:t>严控工矿污染，加强日常环境监管。各地要根据工矿企业分布和污染排放情况，确定土壤环境重点监管企业名单，实行动态更新，并肩社会公布，列入名单的企业每年要自行对其用地进行土壤环境监测，结果向社会公开</w:t>
            </w:r>
          </w:p>
        </w:tc>
        <w:tc>
          <w:tcPr>
            <w:tcW w:w="1701" w:type="dxa"/>
            <w:vMerge w:val="continue"/>
            <w:vAlign w:val="center"/>
          </w:tcPr>
          <w:p>
            <w:pPr>
              <w:pStyle w:val="104"/>
              <w:jc w:val="center"/>
              <w:rPr>
                <w:rFonts w:hint="default" w:ascii="Times New Roman" w:hAnsi="Times New Roman" w:eastAsia="宋体" w:cs="Times New Roman"/>
                <w:color w:val="auto"/>
                <w:highlight w:val="none"/>
              </w:rPr>
            </w:pP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5" w:hRule="atLeast"/>
          <w:jc w:val="center"/>
        </w:trPr>
        <w:tc>
          <w:tcPr>
            <w:tcW w:w="2235" w:type="dxa"/>
            <w:vMerge w:val="continue"/>
            <w:vAlign w:val="center"/>
          </w:tcPr>
          <w:p>
            <w:pPr>
              <w:pStyle w:val="104"/>
              <w:jc w:val="center"/>
              <w:rPr>
                <w:rFonts w:hint="default" w:ascii="Times New Roman" w:hAnsi="Times New Roman" w:eastAsia="宋体" w:cs="Times New Roman"/>
                <w:color w:val="auto"/>
                <w:highlight w:val="none"/>
              </w:rPr>
            </w:pPr>
          </w:p>
        </w:tc>
        <w:tc>
          <w:tcPr>
            <w:tcW w:w="3685" w:type="dxa"/>
            <w:vAlign w:val="center"/>
          </w:tcPr>
          <w:p>
            <w:pPr>
              <w:pStyle w:val="36"/>
              <w:tabs>
                <w:tab w:val="left" w:pos="720"/>
              </w:tabs>
              <w:spacing w:after="0" w:line="240" w:lineRule="auto"/>
              <w:ind w:left="0" w:leftChars="0" w:firstLine="0" w:firstLineChars="0"/>
              <w:jc w:val="center"/>
              <w:rPr>
                <w:rFonts w:hint="default" w:ascii="Times New Roman" w:hAnsi="Times New Roman" w:eastAsia="宋体" w:cs="Times New Roman"/>
                <w:color w:val="auto"/>
                <w:sz w:val="21"/>
                <w:szCs w:val="21"/>
                <w:highlight w:val="none"/>
                <w:shd w:val="clear" w:color="auto" w:fill="FFFFFF"/>
              </w:rPr>
            </w:pPr>
            <w:r>
              <w:rPr>
                <w:rFonts w:hint="default" w:ascii="Times New Roman" w:hAnsi="Times New Roman" w:eastAsia="宋体" w:cs="Times New Roman"/>
                <w:color w:val="auto"/>
                <w:sz w:val="21"/>
                <w:szCs w:val="21"/>
                <w:highlight w:val="none"/>
                <w:shd w:val="clear" w:color="auto" w:fill="FFFFFF"/>
              </w:rPr>
              <w:t>加强工业废物处理处置，全麦整治尾矿、煤矸石、工业副产石膏，粉煤灰，水泥，冶炼渣，电石渣，铬渣，砷渣以及脱硫、脱销、除尘产生固体废物的堆存场所，完善防扬散、防流失、防渗漏等设施，制定整治方案并有序实施，加强工业固体废物综合利用</w:t>
            </w:r>
          </w:p>
        </w:tc>
        <w:tc>
          <w:tcPr>
            <w:tcW w:w="1701" w:type="dxa"/>
            <w:vAlign w:val="center"/>
          </w:tcPr>
          <w:p>
            <w:pPr>
              <w:pStyle w:val="36"/>
              <w:tabs>
                <w:tab w:val="left" w:pos="720"/>
              </w:tabs>
              <w:spacing w:after="0" w:line="24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项目矿山</w:t>
            </w:r>
            <w:r>
              <w:rPr>
                <w:rFonts w:hint="eastAsia" w:cs="Times New Roman"/>
                <w:color w:val="auto"/>
                <w:sz w:val="21"/>
                <w:szCs w:val="21"/>
                <w:highlight w:val="none"/>
                <w:lang w:val="en-US" w:eastAsia="zh-CN"/>
              </w:rPr>
              <w:t>地下</w:t>
            </w:r>
            <w:r>
              <w:rPr>
                <w:rFonts w:hint="default" w:ascii="Times New Roman" w:hAnsi="Times New Roman" w:eastAsia="宋体" w:cs="Times New Roman"/>
                <w:color w:val="auto"/>
                <w:sz w:val="21"/>
                <w:szCs w:val="21"/>
                <w:highlight w:val="none"/>
              </w:rPr>
              <w:t>开采产生的废石不出井，回填井下采空区</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露天开采废石外卖综合处理</w:t>
            </w:r>
          </w:p>
        </w:tc>
        <w:tc>
          <w:tcPr>
            <w:tcW w:w="884" w:type="dxa"/>
            <w:vAlign w:val="center"/>
          </w:tcPr>
          <w:p>
            <w:pPr>
              <w:pStyle w:val="36"/>
              <w:tabs>
                <w:tab w:val="left" w:pos="720"/>
              </w:tabs>
              <w:spacing w:after="0" w:line="240" w:lineRule="auto"/>
              <w:ind w:left="0" w:leftChars="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235" w:type="dxa"/>
            <w:vMerge w:val="continue"/>
            <w:vAlign w:val="center"/>
          </w:tcPr>
          <w:p>
            <w:pPr>
              <w:pStyle w:val="104"/>
              <w:jc w:val="center"/>
              <w:rPr>
                <w:rFonts w:hint="default" w:ascii="Times New Roman" w:hAnsi="Times New Roman" w:eastAsia="宋体" w:cs="Times New Roman"/>
                <w:color w:val="auto"/>
                <w:highlight w:val="none"/>
              </w:rPr>
            </w:pPr>
          </w:p>
        </w:tc>
        <w:tc>
          <w:tcPr>
            <w:tcW w:w="3685"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减少生活污染</w:t>
            </w:r>
          </w:p>
        </w:tc>
        <w:tc>
          <w:tcPr>
            <w:tcW w:w="1701"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生活垃圾集中收集后，交由环卫部门处理</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w:t>
            </w:r>
          </w:p>
        </w:tc>
      </w:tr>
    </w:tbl>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由上表分析可知，本项目符合</w:t>
      </w:r>
      <w:r>
        <w:rPr>
          <w:rFonts w:hint="eastAsia" w:cs="Times New Roman"/>
          <w:color w:val="auto"/>
          <w:highlight w:val="none"/>
          <w:lang w:eastAsia="zh-CN"/>
        </w:rPr>
        <w:t>“</w:t>
      </w:r>
      <w:r>
        <w:rPr>
          <w:rFonts w:hint="default" w:ascii="Times New Roman" w:hAnsi="Times New Roman" w:eastAsia="宋体" w:cs="Times New Roman"/>
          <w:color w:val="auto"/>
          <w:highlight w:val="none"/>
        </w:rPr>
        <w:t>气十条</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水十条</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土十条</w:t>
      </w:r>
      <w:r>
        <w:rPr>
          <w:rFonts w:hint="eastAsia" w:cs="Times New Roman"/>
          <w:color w:val="auto"/>
          <w:highlight w:val="none"/>
          <w:lang w:eastAsia="zh-CN"/>
        </w:rPr>
        <w:t>”</w:t>
      </w:r>
      <w:r>
        <w:rPr>
          <w:rFonts w:hint="default" w:ascii="Times New Roman" w:hAnsi="Times New Roman" w:eastAsia="宋体" w:cs="Times New Roman"/>
          <w:color w:val="auto"/>
          <w:highlight w:val="none"/>
        </w:rPr>
        <w:t>现行环境管理要求。</w:t>
      </w:r>
    </w:p>
    <w:p>
      <w:pPr>
        <w:pStyle w:val="4"/>
        <w:numPr>
          <w:ilvl w:val="1"/>
          <w:numId w:val="12"/>
        </w:numPr>
        <w:spacing w:before="120" w:after="120"/>
        <w:ind w:left="0" w:leftChars="0" w:firstLineChars="0"/>
        <w:rPr>
          <w:rFonts w:hint="default" w:ascii="Times New Roman" w:hAnsi="Times New Roman" w:eastAsia="宋体" w:cs="Times New Roman"/>
          <w:color w:val="auto"/>
          <w:highlight w:val="none"/>
        </w:rPr>
      </w:pPr>
      <w:bookmarkStart w:id="785" w:name="_Toc8505"/>
      <w:r>
        <w:rPr>
          <w:rFonts w:hint="default" w:ascii="Times New Roman" w:hAnsi="Times New Roman" w:eastAsia="宋体" w:cs="Times New Roman"/>
          <w:color w:val="auto"/>
          <w:highlight w:val="none"/>
          <w:lang w:val="en-US" w:eastAsia="zh-CN"/>
        </w:rPr>
        <w:t>绿色矿山</w:t>
      </w:r>
      <w:r>
        <w:rPr>
          <w:rFonts w:hint="default" w:ascii="Times New Roman" w:hAnsi="Times New Roman" w:eastAsia="宋体" w:cs="Times New Roman"/>
          <w:color w:val="auto"/>
          <w:highlight w:val="none"/>
        </w:rPr>
        <w:t>政策符合性分析</w:t>
      </w:r>
      <w:bookmarkEnd w:id="785"/>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一、根据</w:t>
      </w:r>
      <w:r>
        <w:rPr>
          <w:rFonts w:hint="default" w:ascii="Times New Roman" w:hAnsi="Times New Roman" w:eastAsia="宋体" w:cs="Times New Roman"/>
          <w:color w:val="auto"/>
          <w:highlight w:val="none"/>
        </w:rPr>
        <w:t>原国土资源部、财政部、环境保护部、国家质量监督检验检疫总局、中国银行业监督管理委员会、中国证券监督管理委员会联合印发的《关于加快建设绿色矿山的实施意见》（国土资规〔2017〕4号）</w:t>
      </w:r>
      <w:r>
        <w:rPr>
          <w:rFonts w:hint="default" w:ascii="Times New Roman" w:hAnsi="Times New Roman" w:eastAsia="宋体" w:cs="Times New Roman"/>
          <w:color w:val="auto"/>
          <w:highlight w:val="none"/>
          <w:lang w:val="en-US" w:eastAsia="zh-CN"/>
        </w:rPr>
        <w:t>中</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非金属矿行业绿色矿山建设要求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的相关要求，本项目</w:t>
      </w:r>
      <w:r>
        <w:rPr>
          <w:rFonts w:hint="default" w:ascii="Times New Roman" w:hAnsi="Times New Roman" w:eastAsia="宋体" w:cs="Times New Roman"/>
          <w:color w:val="auto"/>
          <w:highlight w:val="none"/>
        </w:rPr>
        <w:t>符合性分析见表</w:t>
      </w:r>
      <w:r>
        <w:rPr>
          <w:rFonts w:hint="default" w:ascii="Times New Roman" w:hAnsi="Times New Roman" w:eastAsia="宋体" w:cs="Times New Roman"/>
          <w:color w:val="auto"/>
          <w:highlight w:val="none"/>
          <w:lang w:eastAsia="zh-CN"/>
        </w:rPr>
        <w:t>10.</w:t>
      </w:r>
      <w:r>
        <w:rPr>
          <w:rFonts w:hint="default" w:ascii="Times New Roman" w:hAnsi="Times New Roman" w:eastAsia="宋体" w:cs="Times New Roman"/>
          <w:color w:val="auto"/>
          <w:highlight w:val="none"/>
          <w:lang w:val="en-US" w:eastAsia="zh-CN"/>
        </w:rPr>
        <w:t>5-1</w:t>
      </w:r>
      <w:r>
        <w:rPr>
          <w:rFonts w:hint="default" w:ascii="Times New Roman" w:hAnsi="Times New Roman" w:eastAsia="宋体" w:cs="Times New Roman"/>
          <w:color w:val="auto"/>
          <w:highlight w:val="none"/>
        </w:rPr>
        <w:t>。</w:t>
      </w:r>
    </w:p>
    <w:p>
      <w:pPr>
        <w:spacing w:line="480" w:lineRule="exact"/>
        <w:ind w:firstLine="422"/>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default" w:ascii="Times New Roman" w:hAnsi="Times New Roman" w:eastAsia="宋体" w:cs="Times New Roman"/>
          <w:b/>
          <w:bCs/>
          <w:color w:val="auto"/>
          <w:kern w:val="0"/>
          <w:sz w:val="21"/>
          <w:szCs w:val="21"/>
          <w:highlight w:val="none"/>
          <w:lang w:eastAsia="zh-CN"/>
        </w:rPr>
        <w:t>10.</w:t>
      </w:r>
      <w:r>
        <w:rPr>
          <w:rFonts w:hint="default" w:ascii="Times New Roman" w:hAnsi="Times New Roman" w:eastAsia="宋体" w:cs="Times New Roman"/>
          <w:b/>
          <w:bCs/>
          <w:color w:val="auto"/>
          <w:kern w:val="0"/>
          <w:sz w:val="21"/>
          <w:szCs w:val="21"/>
          <w:highlight w:val="none"/>
          <w:lang w:val="en-US" w:eastAsia="zh-CN"/>
        </w:rPr>
        <w:t>5-1非金属矿行业绿色矿山建设要求</w:t>
      </w:r>
      <w:r>
        <w:rPr>
          <w:rFonts w:hint="default" w:ascii="Times New Roman" w:hAnsi="Times New Roman" w:eastAsia="宋体" w:cs="Times New Roman"/>
          <w:b/>
          <w:bCs/>
          <w:color w:val="auto"/>
          <w:kern w:val="0"/>
          <w:sz w:val="21"/>
          <w:szCs w:val="21"/>
          <w:highlight w:val="none"/>
        </w:rPr>
        <w:t>符合性分析</w:t>
      </w:r>
    </w:p>
    <w:tbl>
      <w:tblPr>
        <w:tblStyle w:val="46"/>
        <w:tblW w:w="850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44"/>
        <w:gridCol w:w="4200"/>
        <w:gridCol w:w="1977"/>
        <w:gridCol w:w="8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项目</w:t>
            </w: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非金属矿行业绿色矿山建设要求</w:t>
            </w:r>
          </w:p>
        </w:tc>
        <w:tc>
          <w:tcPr>
            <w:tcW w:w="197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本项目情况</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restart"/>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矿区环境规范整洁</w:t>
            </w: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矿区规划建设布局合理、厂貌整洁，标识、标牌等规范统一、清晰美观，矿区生产生活运行有序、管理规范</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本项目采用湿法凿岩，工作面洒水抑尘。矿石运输道路通过适量的洒水，控制车速、苫布覆盖过程中以及禁止超载等措施。</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highlight w:val="none"/>
                <w:lang w:val="en-US" w:eastAsia="zh-CN"/>
              </w:rPr>
            </w:pP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矿山开发科学合理，矿石、废石的生产、运输、堆存规范有序，废石、废水、噪声和粉尘达标处置</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根据污染源分析，环境影响预测以及环境保护措施及其可行性论证，本项目生产过程中各污染物均可得到有效处置</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highlight w:val="none"/>
                <w:lang w:val="en-US" w:eastAsia="zh-CN"/>
              </w:rPr>
            </w:pP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因地制宜修复改善矿区环境，矿区绿化覆盖率达到可绿化面积的100%，基本实现矿区环境天蓝、地绿、水净</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本项目工程土地</w:t>
            </w:r>
            <w:r>
              <w:rPr>
                <w:rFonts w:hint="eastAsia" w:cs="Times New Roman"/>
                <w:color w:val="auto"/>
                <w:highlight w:val="none"/>
                <w:lang w:val="en-US" w:eastAsia="zh-CN"/>
              </w:rPr>
              <w:t>复垦率82.55%（其中露天采坑边坡3.0437hm²为坡度较大，无法满足植物生长的立地条件，仅靠平台种植乔木、对边坡进行遮挡式绿化，不在可绿化面积内）</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kern w:val="2"/>
                <w:sz w:val="21"/>
                <w:szCs w:val="20"/>
                <w:highlight w:val="none"/>
                <w:lang w:val="en-US" w:eastAsia="zh-CN" w:bidi="ar-SA"/>
              </w:rPr>
              <w:t>矿区绿化覆盖率达到可绿化面积的100%</w:t>
            </w:r>
            <w:r>
              <w:rPr>
                <w:rFonts w:hint="default" w:ascii="Times New Roman" w:hAnsi="Times New Roman" w:eastAsia="宋体" w:cs="Times New Roman"/>
                <w:color w:val="auto"/>
                <w:highlight w:val="none"/>
                <w:lang w:val="en-US" w:eastAsia="zh-CN"/>
              </w:rPr>
              <w:t>满足要求</w:t>
            </w:r>
            <w:r>
              <w:rPr>
                <w:rFonts w:hint="eastAsia" w:cs="Times New Roman"/>
                <w:color w:val="auto"/>
                <w:highlight w:val="none"/>
                <w:lang w:val="en-US" w:eastAsia="zh-CN"/>
              </w:rPr>
              <w:t>。</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restart"/>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2"/>
                <w:sz w:val="21"/>
                <w:szCs w:val="20"/>
                <w:highlight w:val="none"/>
                <w:lang w:val="en-US" w:eastAsia="zh-CN" w:bidi="ar-SA"/>
              </w:rPr>
              <w:t>合理利用资源</w:t>
            </w: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矿山开采应与城乡建设、环境保护、资源保护相协调，最大限度减少对自然环境的破坏，选择资源节约型、环境友好型开发方式，实现资源分级利用、优质优用、综合利用</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本项目废石回填采坑综合利用不外排。</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对滑石、硅灰石、膨润土、硅藻土、凹凸棒石、海泡石、石英、菱镁矿、石膏、方解石、云母、蛭石等涉及开采加工环节的非金属矿山，应采用先进的加工技术、工艺与装备，发展深加工产品。</w:t>
            </w:r>
          </w:p>
        </w:tc>
        <w:tc>
          <w:tcPr>
            <w:tcW w:w="1977"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w:t>
            </w:r>
            <w:r>
              <w:rPr>
                <w:rFonts w:hint="default" w:ascii="Times New Roman" w:hAnsi="Times New Roman" w:eastAsia="宋体" w:cs="Times New Roman"/>
                <w:color w:val="auto"/>
                <w:highlight w:val="none"/>
                <w:lang w:val="en-US" w:eastAsia="zh-CN"/>
              </w:rPr>
              <w:t>项目钾长石</w:t>
            </w:r>
            <w:r>
              <w:rPr>
                <w:rFonts w:hint="default" w:ascii="Times New Roman" w:hAnsi="Times New Roman" w:eastAsia="宋体" w:cs="Times New Roman"/>
                <w:color w:val="auto"/>
                <w:highlight w:val="none"/>
              </w:rPr>
              <w:t>通过试加工得出该矿石加工技术性能良好，能够满足要求</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restart"/>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矿区生态环境保护与恢复</w:t>
            </w:r>
          </w:p>
        </w:tc>
        <w:tc>
          <w:tcPr>
            <w:tcW w:w="420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切实履行矿山地质环境治理恢复与土地复垦义务，做到资源开发利用方案、矿山地质环境治理恢复方案和土地复垦方案同时设计、同时施工、同时投入生产和管理，确保矿区环境得到及时治理和恢复。</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kern w:val="2"/>
                <w:sz w:val="21"/>
                <w:szCs w:val="20"/>
                <w:highlight w:val="none"/>
                <w:lang w:val="en-US" w:eastAsia="zh-CN" w:bidi="ar-SA"/>
              </w:rPr>
              <w:t>切实履行矿山地质环境治理恢复与土地复垦义务，</w:t>
            </w:r>
            <w:r>
              <w:rPr>
                <w:rFonts w:hint="default" w:ascii="Times New Roman" w:hAnsi="Times New Roman" w:eastAsia="宋体" w:cs="Times New Roman"/>
                <w:color w:val="auto"/>
                <w:highlight w:val="none"/>
                <w:lang w:val="en-US" w:eastAsia="zh-CN"/>
              </w:rPr>
              <w:t>土地</w:t>
            </w:r>
            <w:r>
              <w:rPr>
                <w:rFonts w:hint="eastAsia" w:cs="Times New Roman"/>
                <w:color w:val="auto"/>
                <w:highlight w:val="none"/>
                <w:lang w:val="en-US" w:eastAsia="zh-CN"/>
              </w:rPr>
              <w:t>复垦率82.55%</w:t>
            </w:r>
            <w:r>
              <w:rPr>
                <w:rFonts w:hint="default" w:ascii="Times New Roman" w:hAnsi="Times New Roman" w:eastAsia="宋体" w:cs="Times New Roman"/>
                <w:color w:val="auto"/>
                <w:highlight w:val="none"/>
                <w:lang w:val="en-US" w:eastAsia="zh-CN"/>
              </w:rPr>
              <w:t>。</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p>
        </w:tc>
        <w:tc>
          <w:tcPr>
            <w:tcW w:w="420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应采用喷雾、洒水、湿式凿岩、加设除尘装置、全封闭皮带运输等措施处置采选、运输过程中产生的粉尘和遗撒，做到矿区无扬尘。对凿岩、碎磨、空压等设备，通过消声、减振、隔振等措施进行噪声处理。</w:t>
            </w:r>
          </w:p>
        </w:tc>
        <w:tc>
          <w:tcPr>
            <w:tcW w:w="1977"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本项目采用湿法凿岩，工作面洒水抑尘。矿石运输道路通过适量的洒水，控制车速、苫布覆盖过程中以及禁止超载等措施。</w:t>
            </w:r>
            <w:r>
              <w:rPr>
                <w:rFonts w:hint="default" w:ascii="Times New Roman" w:hAnsi="Times New Roman" w:eastAsia="宋体" w:cs="Times New Roman"/>
                <w:color w:val="auto"/>
                <w:kern w:val="2"/>
                <w:sz w:val="21"/>
                <w:szCs w:val="20"/>
                <w:highlight w:val="none"/>
                <w:lang w:val="en-US" w:eastAsia="zh-CN" w:bidi="ar-SA"/>
              </w:rPr>
              <w:t>对凿岩、碎磨、空压等设备，通过消声、减振、隔振等措施进行噪声处理。</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p>
        </w:tc>
        <w:tc>
          <w:tcPr>
            <w:tcW w:w="420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应有符合安全、环保、监测等规定的废弃物处置方法，废水以及废石、尾矿和废渣等固体废物存放和处置的场地应做好防渗和地下水监测工作，废弃物不得扩散到矿区范围外造成环境污染，固体废物妥善处置率应达到100%。</w:t>
            </w:r>
          </w:p>
        </w:tc>
        <w:tc>
          <w:tcPr>
            <w:tcW w:w="1977"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地下开采废石回填采空区，露天开采</w:t>
            </w:r>
            <w:r>
              <w:rPr>
                <w:rFonts w:hint="default" w:ascii="Times New Roman" w:hAnsi="Times New Roman" w:eastAsia="宋体" w:cs="Times New Roman"/>
                <w:color w:val="auto"/>
                <w:highlight w:val="none"/>
                <w:lang w:val="en-US" w:eastAsia="zh-CN"/>
              </w:rPr>
              <w:t>废石</w:t>
            </w:r>
            <w:r>
              <w:rPr>
                <w:rFonts w:hint="eastAsia" w:cs="Times New Roman"/>
                <w:color w:val="auto"/>
                <w:highlight w:val="none"/>
                <w:lang w:val="en-US" w:eastAsia="zh-CN"/>
              </w:rPr>
              <w:t>外卖</w:t>
            </w:r>
            <w:r>
              <w:rPr>
                <w:rFonts w:hint="default" w:ascii="Times New Roman" w:hAnsi="Times New Roman" w:eastAsia="宋体" w:cs="Times New Roman"/>
                <w:color w:val="auto"/>
                <w:highlight w:val="none"/>
                <w:lang w:val="en-US" w:eastAsia="zh-CN"/>
              </w:rPr>
              <w:t>综合利用</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不外排。</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p>
        </w:tc>
        <w:tc>
          <w:tcPr>
            <w:tcW w:w="420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矿山生产过程中应从源头减少废水产生，实施清污分流，应充分利用矿井水、循环利用选矿水，选矿废水重复利用率一般达到85%以上；矿坑涌水在矿区充分自用前提下，余水可作为生态、农田等用水，其水质应达到相应标准要求；生活废水达标处置，充分用于场区绿化等。</w:t>
            </w:r>
          </w:p>
        </w:tc>
        <w:tc>
          <w:tcPr>
            <w:tcW w:w="1977"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1"/>
                <w:szCs w:val="20"/>
                <w:highlight w:val="none"/>
                <w:lang w:val="en-US" w:eastAsia="zh-CN" w:bidi="ar-SA"/>
              </w:rPr>
              <w:t>矿坑涌水全部回用于生产；生活废水排入旱厕定期清掏。</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p>
        </w:tc>
        <w:tc>
          <w:tcPr>
            <w:tcW w:w="420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切实做到边开采、边治理，修复、改善、美化采区地表景观。具备回填条件的露天采坑，在保证不产生二次污染的前提下，鼓励利用矿山固体废物进行回填；对于地下开采的矿山，因矿制宜采用适用的充填开采技术。</w:t>
            </w:r>
          </w:p>
        </w:tc>
        <w:tc>
          <w:tcPr>
            <w:tcW w:w="1977" w:type="dxa"/>
            <w:vAlign w:val="center"/>
          </w:tcPr>
          <w:p>
            <w:pPr>
              <w:pStyle w:val="104"/>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kern w:val="2"/>
                <w:sz w:val="21"/>
                <w:szCs w:val="20"/>
                <w:highlight w:val="none"/>
                <w:lang w:val="en-US" w:eastAsia="zh-CN" w:bidi="ar-SA"/>
              </w:rPr>
              <w:t>利用</w:t>
            </w:r>
            <w:r>
              <w:rPr>
                <w:rFonts w:hint="default" w:ascii="Times New Roman" w:hAnsi="Times New Roman" w:eastAsia="宋体" w:cs="Times New Roman"/>
                <w:color w:val="auto"/>
                <w:highlight w:val="none"/>
                <w:lang w:val="en-US" w:eastAsia="zh-CN"/>
              </w:rPr>
              <w:t>废石进行回填，</w:t>
            </w:r>
            <w:r>
              <w:rPr>
                <w:rFonts w:hint="eastAsia" w:cs="Times New Roman"/>
                <w:color w:val="auto"/>
                <w:highlight w:val="none"/>
                <w:lang w:val="en-US" w:eastAsia="zh-CN"/>
              </w:rPr>
              <w:t>严格按照</w:t>
            </w:r>
            <w:r>
              <w:rPr>
                <w:rFonts w:hint="default" w:ascii="Times New Roman" w:hAnsi="Times New Roman" w:eastAsia="宋体" w:cs="Times New Roman"/>
                <w:color w:val="auto"/>
                <w:highlight w:val="none"/>
                <w:lang w:val="en-US" w:eastAsia="zh-CN"/>
              </w:rPr>
              <w:t>《岫岩满族自治县苏子沟镇大何家堡村钾长石矿矿山地质环境保护与土地复垦方案》</w:t>
            </w:r>
            <w:r>
              <w:rPr>
                <w:rFonts w:hint="default" w:ascii="Times New Roman" w:hAnsi="Times New Roman" w:eastAsia="宋体" w:cs="Times New Roman"/>
                <w:color w:val="auto"/>
                <w:kern w:val="2"/>
                <w:sz w:val="21"/>
                <w:szCs w:val="20"/>
                <w:highlight w:val="none"/>
                <w:lang w:val="en-US" w:eastAsia="zh-CN" w:bidi="ar-SA"/>
              </w:rPr>
              <w:t>边开采、边治理。</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pPr>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综上所述，本矿山符合</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非金属矿行业绿色矿山建设要求</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中相关要求。</w:t>
      </w:r>
    </w:p>
    <w:p>
      <w:pPr>
        <w:numPr>
          <w:ilvl w:val="0"/>
          <w:numId w:val="20"/>
        </w:num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w:t>
      </w:r>
      <w:r>
        <w:rPr>
          <w:rFonts w:hint="default" w:ascii="Times New Roman" w:hAnsi="Times New Roman" w:eastAsia="宋体" w:cs="Times New Roman"/>
          <w:color w:val="auto"/>
          <w:highlight w:val="none"/>
          <w:lang w:eastAsia="zh-CN"/>
        </w:rPr>
        <w:t>《非金属矿行业绿色矿山建设规范》（DZ/T0312-2018）</w:t>
      </w:r>
      <w:r>
        <w:rPr>
          <w:rFonts w:hint="default" w:ascii="Times New Roman" w:hAnsi="Times New Roman" w:eastAsia="宋体" w:cs="Times New Roman"/>
          <w:color w:val="auto"/>
          <w:highlight w:val="none"/>
          <w:lang w:val="en-US" w:eastAsia="zh-CN"/>
        </w:rPr>
        <w:t>中的建设要求，本项目</w:t>
      </w:r>
      <w:r>
        <w:rPr>
          <w:rFonts w:hint="default" w:ascii="Times New Roman" w:hAnsi="Times New Roman" w:eastAsia="宋体" w:cs="Times New Roman"/>
          <w:color w:val="auto"/>
          <w:highlight w:val="none"/>
        </w:rPr>
        <w:t>符合性分析见表</w:t>
      </w:r>
      <w:r>
        <w:rPr>
          <w:rFonts w:hint="default" w:ascii="Times New Roman" w:hAnsi="Times New Roman" w:eastAsia="宋体" w:cs="Times New Roman"/>
          <w:color w:val="auto"/>
          <w:highlight w:val="none"/>
          <w:lang w:eastAsia="zh-CN"/>
        </w:rPr>
        <w:t>10.</w:t>
      </w:r>
      <w:r>
        <w:rPr>
          <w:rFonts w:hint="default" w:ascii="Times New Roman" w:hAnsi="Times New Roman" w:eastAsia="宋体"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p>
    <w:p>
      <w:pPr>
        <w:spacing w:line="480" w:lineRule="exact"/>
        <w:ind w:firstLine="422"/>
        <w:jc w:val="center"/>
        <w:rPr>
          <w:rFonts w:hint="default" w:ascii="Times New Roman" w:hAnsi="Times New Roman" w:eastAsia="宋体" w:cs="Times New Roman"/>
          <w:b/>
          <w:bCs/>
          <w:color w:val="auto"/>
          <w:kern w:val="0"/>
          <w:sz w:val="21"/>
          <w:szCs w:val="21"/>
          <w:highlight w:val="none"/>
        </w:rPr>
      </w:pPr>
      <w:r>
        <w:rPr>
          <w:rFonts w:hint="default" w:ascii="Times New Roman" w:hAnsi="Times New Roman" w:eastAsia="宋体" w:cs="Times New Roman"/>
          <w:b/>
          <w:bCs/>
          <w:color w:val="auto"/>
          <w:kern w:val="0"/>
          <w:sz w:val="21"/>
          <w:szCs w:val="21"/>
          <w:highlight w:val="none"/>
        </w:rPr>
        <w:t>表</w:t>
      </w:r>
      <w:r>
        <w:rPr>
          <w:rFonts w:hint="default" w:ascii="Times New Roman" w:hAnsi="Times New Roman" w:eastAsia="宋体" w:cs="Times New Roman"/>
          <w:b/>
          <w:bCs/>
          <w:color w:val="auto"/>
          <w:kern w:val="0"/>
          <w:sz w:val="21"/>
          <w:szCs w:val="21"/>
          <w:highlight w:val="none"/>
          <w:lang w:eastAsia="zh-CN"/>
        </w:rPr>
        <w:t>10.</w:t>
      </w:r>
      <w:r>
        <w:rPr>
          <w:rFonts w:hint="default" w:ascii="Times New Roman" w:hAnsi="Times New Roman" w:eastAsia="宋体" w:cs="Times New Roman"/>
          <w:b/>
          <w:bCs/>
          <w:color w:val="auto"/>
          <w:kern w:val="0"/>
          <w:sz w:val="21"/>
          <w:szCs w:val="21"/>
          <w:highlight w:val="none"/>
          <w:lang w:val="en-US" w:eastAsia="zh-CN"/>
        </w:rPr>
        <w:t>5-2非金属矿行业绿色矿山建设规范</w:t>
      </w:r>
      <w:r>
        <w:rPr>
          <w:rFonts w:hint="default" w:ascii="Times New Roman" w:hAnsi="Times New Roman" w:eastAsia="宋体" w:cs="Times New Roman"/>
          <w:b/>
          <w:bCs/>
          <w:color w:val="auto"/>
          <w:kern w:val="0"/>
          <w:sz w:val="21"/>
          <w:szCs w:val="21"/>
          <w:highlight w:val="none"/>
        </w:rPr>
        <w:t>符合性分析</w:t>
      </w:r>
    </w:p>
    <w:tbl>
      <w:tblPr>
        <w:tblStyle w:val="46"/>
        <w:tblW w:w="850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44"/>
        <w:gridCol w:w="4200"/>
        <w:gridCol w:w="1977"/>
        <w:gridCol w:w="8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项目</w:t>
            </w: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非金属矿行业绿色矿山建设规范建设要求</w:t>
            </w:r>
          </w:p>
        </w:tc>
        <w:tc>
          <w:tcPr>
            <w:tcW w:w="1977"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本项目情况</w:t>
            </w:r>
          </w:p>
        </w:tc>
        <w:tc>
          <w:tcPr>
            <w:tcW w:w="884" w:type="dxa"/>
            <w:vAlign w:val="center"/>
          </w:tcPr>
          <w:p>
            <w:pPr>
              <w:pStyle w:val="104"/>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restart"/>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矿区环境</w:t>
            </w: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矿山应采用喷雾、洒水、湿式凿岩、加设除尘装置等措施处置采选、运输等过程中产生的粉尘，工作场所空气中粉尘容许浓度应符合GBZ2.1的规定。</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本项目采用湿法凿岩，工作面洒水抑尘。矿石运输道路通过适量的洒水，控制车速、苫布覆盖过程中以及禁止超载等措施。</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highlight w:val="none"/>
                <w:lang w:val="en-US" w:eastAsia="zh-CN"/>
              </w:rPr>
            </w:pP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矿山尾矿、废石等固体废弃物应有专用贮存、处置场所，其建设、运行和监督管理应符合GB18599的规定</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地下开采废石回填采空区，露天开采</w:t>
            </w:r>
            <w:r>
              <w:rPr>
                <w:rFonts w:hint="default" w:ascii="Times New Roman" w:hAnsi="Times New Roman" w:eastAsia="宋体" w:cs="Times New Roman"/>
                <w:color w:val="auto"/>
                <w:highlight w:val="none"/>
                <w:lang w:val="en-US" w:eastAsia="zh-CN"/>
              </w:rPr>
              <w:t>废石</w:t>
            </w:r>
            <w:r>
              <w:rPr>
                <w:rFonts w:hint="eastAsia" w:cs="Times New Roman"/>
                <w:color w:val="auto"/>
                <w:highlight w:val="none"/>
                <w:lang w:val="en-US" w:eastAsia="zh-CN"/>
              </w:rPr>
              <w:t>外卖</w:t>
            </w:r>
            <w:r>
              <w:rPr>
                <w:rFonts w:hint="default" w:ascii="Times New Roman" w:hAnsi="Times New Roman" w:eastAsia="宋体" w:cs="Times New Roman"/>
                <w:color w:val="auto"/>
                <w:highlight w:val="none"/>
                <w:lang w:val="en-US" w:eastAsia="zh-CN"/>
              </w:rPr>
              <w:t>综合利用</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不外排。</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highlight w:val="none"/>
                <w:lang w:val="en-US" w:eastAsia="zh-CN"/>
              </w:rPr>
            </w:pP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矿山应采取消声、减振、隔振等措施降低采选、运输等过程中产生的噪声，厂界环境噪声排放限值应符合GB12348的规定。</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kern w:val="2"/>
                <w:sz w:val="21"/>
                <w:szCs w:val="20"/>
                <w:highlight w:val="none"/>
                <w:lang w:val="en-US" w:eastAsia="zh-CN" w:bidi="ar-SA"/>
              </w:rPr>
              <w:t>对凿岩、空压等设备，通过消声、减振、隔振等措施进行噪声处理，通过预测厂界噪声满足要求。</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矿区绿化</w:t>
            </w:r>
          </w:p>
        </w:tc>
        <w:tc>
          <w:tcPr>
            <w:tcW w:w="4200" w:type="dxa"/>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矿区绿化应与周边自然环境和景观相协调，绿化植物搭配合理，矿区绿化覆盖率应达到100%。</w:t>
            </w:r>
          </w:p>
        </w:tc>
        <w:tc>
          <w:tcPr>
            <w:tcW w:w="1977" w:type="dxa"/>
            <w:vAlign w:val="center"/>
          </w:tcPr>
          <w:p>
            <w:pPr>
              <w:pStyle w:val="104"/>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本项目工程土地</w:t>
            </w:r>
            <w:r>
              <w:rPr>
                <w:rFonts w:hint="eastAsia" w:cs="Times New Roman"/>
                <w:color w:val="auto"/>
                <w:highlight w:val="none"/>
                <w:lang w:val="en-US" w:eastAsia="zh-CN"/>
              </w:rPr>
              <w:t>复垦率82.55%，其中</w:t>
            </w:r>
            <w:r>
              <w:rPr>
                <w:rFonts w:hint="eastAsia" w:cs="Times New Roman"/>
                <w:color w:val="auto"/>
                <w:sz w:val="21"/>
                <w:szCs w:val="21"/>
                <w:highlight w:val="none"/>
                <w:lang w:eastAsia="zh-CN"/>
              </w:rPr>
              <w:t>露天采坑边坡3.0437hm²为坡度较大，无法满足植物生长的立地条件，仅靠平台种植乔木、对边坡进行遮挡式绿化</w:t>
            </w:r>
            <w:r>
              <w:rPr>
                <w:rFonts w:hint="eastAsia" w:cs="Times New Roman"/>
                <w:color w:val="auto"/>
                <w:highlight w:val="none"/>
                <w:lang w:val="en-US" w:eastAsia="zh-CN"/>
              </w:rPr>
              <w:t>，不计入复垦面积</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kern w:val="2"/>
                <w:sz w:val="21"/>
                <w:szCs w:val="20"/>
                <w:highlight w:val="none"/>
                <w:lang w:val="en-US" w:eastAsia="zh-CN" w:bidi="ar-SA"/>
              </w:rPr>
              <w:t>矿区绿化覆盖率应达到100%</w:t>
            </w:r>
            <w:r>
              <w:rPr>
                <w:rFonts w:hint="eastAsia" w:cs="Times New Roman"/>
                <w:color w:val="auto"/>
                <w:kern w:val="2"/>
                <w:sz w:val="21"/>
                <w:szCs w:val="20"/>
                <w:highlight w:val="none"/>
                <w:lang w:val="en-US" w:eastAsia="zh-CN" w:bidi="ar-SA"/>
              </w:rPr>
              <w:t>，</w:t>
            </w:r>
            <w:r>
              <w:rPr>
                <w:rFonts w:hint="default" w:ascii="Times New Roman" w:hAnsi="Times New Roman" w:eastAsia="宋体" w:cs="Times New Roman"/>
                <w:color w:val="auto"/>
                <w:highlight w:val="none"/>
                <w:lang w:val="en-US" w:eastAsia="zh-CN"/>
              </w:rPr>
              <w:t>满足要求</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restart"/>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生态环境保护与恢复</w:t>
            </w:r>
          </w:p>
        </w:tc>
        <w:tc>
          <w:tcPr>
            <w:tcW w:w="420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严格执行矿山地质环境保护与土地复垦方案。具体要求如下：</w:t>
            </w:r>
          </w:p>
          <w:p>
            <w:pPr>
              <w:pStyle w:val="24"/>
              <w:keepNext w:val="0"/>
              <w:keepLines w:val="0"/>
              <w:pageBreakBefore w:val="0"/>
              <w:widowControl w:val="0"/>
              <w:numPr>
                <w:ilvl w:val="0"/>
                <w:numId w:val="21"/>
              </w:numPr>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矿山排土场、露天采场、工业场地、沉陷区、污染场地等生态环境保护与恢复治理，应符合HJ651的规定。</w:t>
            </w:r>
          </w:p>
          <w:p>
            <w:pPr>
              <w:pStyle w:val="24"/>
              <w:keepNext w:val="0"/>
              <w:keepLines w:val="0"/>
              <w:pageBreakBefore w:val="0"/>
              <w:widowControl w:val="0"/>
              <w:numPr>
                <w:ilvl w:val="0"/>
                <w:numId w:val="21"/>
              </w:numPr>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矿山土地复垦质量应符合TD/T1036的规定。</w:t>
            </w:r>
          </w:p>
          <w:p>
            <w:pPr>
              <w:pStyle w:val="24"/>
              <w:keepNext w:val="0"/>
              <w:keepLines w:val="0"/>
              <w:pageBreakBefore w:val="0"/>
              <w:widowControl w:val="0"/>
              <w:numPr>
                <w:ilvl w:val="0"/>
                <w:numId w:val="21"/>
              </w:numPr>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矿山恢复治理后的各类场地应安全稳定，对周边环境不产生污染，与周边自然环境和景观相协调。矿山恢复土地应具备基本功能，因地制宜实现土地可持续利用，区域整体生态功能得到保护和恢复。</w:t>
            </w:r>
          </w:p>
        </w:tc>
        <w:tc>
          <w:tcPr>
            <w:tcW w:w="1977" w:type="dxa"/>
            <w:vAlign w:val="center"/>
          </w:tcPr>
          <w:p>
            <w:pPr>
              <w:pStyle w:val="104"/>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本项目严格按照《矿山生态环境保护与恢复技术规范（试行）》对矿山进行恢复治理，土地</w:t>
            </w:r>
            <w:r>
              <w:rPr>
                <w:rFonts w:hint="eastAsia" w:cs="Times New Roman"/>
                <w:color w:val="auto"/>
                <w:highlight w:val="none"/>
                <w:lang w:val="en-US" w:eastAsia="zh-CN"/>
              </w:rPr>
              <w:t>复垦率82.55%</w:t>
            </w:r>
            <w:r>
              <w:rPr>
                <w:rFonts w:hint="default" w:ascii="Times New Roman" w:hAnsi="Times New Roman" w:eastAsia="宋体" w:cs="Times New Roman"/>
                <w:color w:val="auto"/>
                <w:highlight w:val="none"/>
                <w:lang w:val="en-US" w:eastAsia="zh-CN"/>
              </w:rPr>
              <w:t>，满足要求</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444" w:type="dxa"/>
            <w:vMerge w:val="continue"/>
            <w:vAlign w:val="center"/>
          </w:tcPr>
          <w:p>
            <w:pPr>
              <w:pStyle w:val="104"/>
              <w:jc w:val="center"/>
              <w:rPr>
                <w:rFonts w:hint="default" w:ascii="Times New Roman" w:hAnsi="Times New Roman" w:eastAsia="宋体" w:cs="Times New Roman"/>
                <w:color w:val="auto"/>
                <w:kern w:val="2"/>
                <w:sz w:val="21"/>
                <w:szCs w:val="20"/>
                <w:highlight w:val="none"/>
                <w:lang w:val="en-US" w:eastAsia="zh-CN" w:bidi="ar-SA"/>
              </w:rPr>
            </w:pPr>
          </w:p>
        </w:tc>
        <w:tc>
          <w:tcPr>
            <w:tcW w:w="4200" w:type="dxa"/>
            <w:vAlign w:val="center"/>
          </w:tcPr>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应建立环境监测机制，配备管理人员和监测人员。具体要求如下：</w:t>
            </w:r>
          </w:p>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a）矿山应对选矿废水、尾矿、排土场、废石堆场、粉尘、噪音等进行动态监测，并向社会公开数据，接受社会公众监督。</w:t>
            </w:r>
          </w:p>
          <w:p>
            <w:pPr>
              <w:pStyle w:val="24"/>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both"/>
              <w:textAlignment w:val="auto"/>
              <w:rPr>
                <w:rFonts w:hint="default" w:ascii="Times New Roman" w:hAnsi="Times New Roman" w:eastAsia="宋体" w:cs="Times New Roman"/>
                <w:color w:val="auto"/>
                <w:kern w:val="2"/>
                <w:sz w:val="21"/>
                <w:szCs w:val="20"/>
                <w:highlight w:val="none"/>
                <w:lang w:val="en-US" w:eastAsia="zh-CN" w:bidi="ar-SA"/>
              </w:rPr>
            </w:pPr>
            <w:r>
              <w:rPr>
                <w:rFonts w:hint="default" w:ascii="Times New Roman" w:hAnsi="Times New Roman" w:eastAsia="宋体" w:cs="Times New Roman"/>
                <w:color w:val="auto"/>
                <w:kern w:val="2"/>
                <w:sz w:val="21"/>
                <w:szCs w:val="20"/>
                <w:highlight w:val="none"/>
                <w:lang w:val="en-US" w:eastAsia="zh-CN" w:bidi="ar-SA"/>
              </w:rPr>
              <w:t>b）矿山开采中和开采后应建立、健全长效监测机制，对土地复垦区及矿区影响范围地质环境稳定性与土壤质量进行动态监测。</w:t>
            </w:r>
          </w:p>
        </w:tc>
        <w:tc>
          <w:tcPr>
            <w:tcW w:w="1977" w:type="dxa"/>
            <w:vAlign w:val="center"/>
          </w:tcPr>
          <w:p>
            <w:pPr>
              <w:pStyle w:val="104"/>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本项依据《排污单位自行监测技术指南总则》（HJ819-2017），制定污染源监测项目</w:t>
            </w:r>
            <w:r>
              <w:rPr>
                <w:rFonts w:hint="default" w:ascii="Times New Roman" w:hAnsi="Times New Roman" w:eastAsia="宋体" w:cs="Times New Roman"/>
                <w:color w:val="auto"/>
                <w:highlight w:val="none"/>
                <w:lang w:eastAsia="zh-CN"/>
              </w:rPr>
              <w:t>，对废水、粉尘、噪音</w:t>
            </w:r>
            <w:r>
              <w:rPr>
                <w:rFonts w:hint="default" w:ascii="Times New Roman" w:hAnsi="Times New Roman" w:eastAsia="宋体" w:cs="Times New Roman"/>
                <w:color w:val="auto"/>
                <w:highlight w:val="none"/>
                <w:lang w:val="en-US" w:eastAsia="zh-CN"/>
              </w:rPr>
              <w:t>和地下水、土壤、声环境</w:t>
            </w:r>
            <w:r>
              <w:rPr>
                <w:rFonts w:hint="default" w:ascii="Times New Roman" w:hAnsi="Times New Roman" w:eastAsia="宋体" w:cs="Times New Roman"/>
                <w:color w:val="auto"/>
                <w:highlight w:val="none"/>
                <w:lang w:eastAsia="zh-CN"/>
              </w:rPr>
              <w:t>进行动态监测，并向社会公开数据，接受社会公众监督。</w:t>
            </w:r>
          </w:p>
        </w:tc>
        <w:tc>
          <w:tcPr>
            <w:tcW w:w="88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pPr>
        <w:bidi w:val="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综上所述，本矿山符合</w:t>
      </w:r>
      <w:r>
        <w:rPr>
          <w:rFonts w:hint="default" w:ascii="Times New Roman" w:hAnsi="Times New Roman" w:eastAsia="宋体" w:cs="Times New Roman"/>
          <w:color w:val="auto"/>
          <w:highlight w:val="none"/>
          <w:lang w:eastAsia="zh-CN"/>
        </w:rPr>
        <w:t>《非金属矿行业绿色矿山建设规范》（DZ/T0312-2018）</w:t>
      </w:r>
      <w:r>
        <w:rPr>
          <w:rFonts w:hint="default" w:ascii="Times New Roman" w:hAnsi="Times New Roman" w:eastAsia="宋体" w:cs="Times New Roman"/>
          <w:color w:val="auto"/>
          <w:highlight w:val="none"/>
          <w:lang w:val="en-US" w:eastAsia="zh-CN"/>
        </w:rPr>
        <w:t>中相关要求。</w:t>
      </w:r>
    </w:p>
    <w:p>
      <w:pPr>
        <w:ind w:firstLine="480"/>
        <w:rPr>
          <w:rFonts w:hint="default" w:ascii="Times New Roman" w:hAnsi="Times New Roman" w:eastAsia="宋体" w:cs="Times New Roman"/>
          <w:color w:val="auto"/>
          <w:highlight w:val="none"/>
        </w:rPr>
      </w:pPr>
    </w:p>
    <w:p>
      <w:pPr>
        <w:ind w:firstLine="480"/>
        <w:rPr>
          <w:rFonts w:hint="default" w:ascii="Times New Roman" w:hAnsi="Times New Roman" w:eastAsia="宋体" w:cs="Times New Roman"/>
          <w:color w:val="auto"/>
          <w:highlight w:val="none"/>
        </w:rPr>
        <w:sectPr>
          <w:pgSz w:w="11907" w:h="16840"/>
          <w:pgMar w:top="1588" w:right="1418" w:bottom="1418" w:left="1418" w:header="958" w:footer="1202" w:gutter="0"/>
          <w:pgBorders>
            <w:top w:val="none" w:sz="0" w:space="0"/>
            <w:left w:val="none" w:sz="0" w:space="0"/>
            <w:bottom w:val="none" w:sz="0" w:space="0"/>
            <w:right w:val="none" w:sz="0" w:space="0"/>
          </w:pgBorders>
          <w:pgNumType w:fmt="decimal"/>
          <w:cols w:space="720" w:num="1"/>
          <w:docGrid w:linePitch="501" w:charSpace="0"/>
        </w:sectPr>
      </w:pPr>
    </w:p>
    <w:p>
      <w:pPr>
        <w:pStyle w:val="3"/>
        <w:bidi w:val="0"/>
        <w:rPr>
          <w:rFonts w:hint="default"/>
          <w:color w:val="auto"/>
          <w:highlight w:val="none"/>
        </w:rPr>
      </w:pPr>
      <w:bookmarkStart w:id="786" w:name="_Toc21599"/>
      <w:bookmarkStart w:id="787" w:name="_Toc15376230"/>
      <w:r>
        <w:rPr>
          <w:rFonts w:hint="default"/>
          <w:color w:val="auto"/>
          <w:highlight w:val="none"/>
        </w:rPr>
        <w:t>环境影响经济损益分析</w:t>
      </w:r>
      <w:bookmarkEnd w:id="755"/>
      <w:bookmarkEnd w:id="756"/>
      <w:bookmarkEnd w:id="757"/>
      <w:bookmarkEnd w:id="758"/>
      <w:bookmarkEnd w:id="759"/>
      <w:bookmarkEnd w:id="760"/>
      <w:bookmarkEnd w:id="761"/>
      <w:bookmarkEnd w:id="762"/>
      <w:bookmarkEnd w:id="763"/>
      <w:bookmarkEnd w:id="764"/>
      <w:bookmarkEnd w:id="765"/>
      <w:bookmarkEnd w:id="786"/>
      <w:bookmarkEnd w:id="787"/>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选择工程、环境、生态资源和社会经济等有代表性的指标，从经济效益、社会效益和环境效益等三方面，进行环境经济损益分析，提出本项目的环保投资。</w:t>
      </w:r>
    </w:p>
    <w:p>
      <w:pPr>
        <w:pStyle w:val="4"/>
        <w:bidi w:val="0"/>
        <w:ind w:left="0" w:leftChars="0" w:firstLineChars="0"/>
        <w:rPr>
          <w:rFonts w:hint="default"/>
          <w:color w:val="auto"/>
          <w:highlight w:val="none"/>
        </w:rPr>
      </w:pPr>
      <w:bookmarkStart w:id="788" w:name="_Toc15376231"/>
      <w:bookmarkStart w:id="789" w:name="_Toc14587"/>
      <w:r>
        <w:rPr>
          <w:rFonts w:hint="default"/>
          <w:color w:val="auto"/>
          <w:highlight w:val="none"/>
        </w:rPr>
        <w:t>环保投资</w:t>
      </w:r>
      <w:bookmarkEnd w:id="788"/>
      <w:bookmarkEnd w:id="789"/>
    </w:p>
    <w:p>
      <w:pPr>
        <w:spacing w:beforeLines="0" w:afterLines="0"/>
        <w:jc w:val="left"/>
        <w:rPr>
          <w:rFonts w:hint="eastAsia" w:ascii="宋体" w:hAnsi="宋体" w:eastAsia="宋体"/>
          <w:color w:val="auto"/>
          <w:sz w:val="24"/>
          <w:szCs w:val="24"/>
          <w:highlight w:val="none"/>
        </w:rPr>
      </w:pPr>
      <w:bookmarkStart w:id="790" w:name="_Toc481758555"/>
      <w:bookmarkStart w:id="791" w:name="_Toc3973123"/>
      <w:bookmarkStart w:id="792" w:name="_Toc15376232"/>
      <w:bookmarkStart w:id="793" w:name="_Toc482780909"/>
      <w:r>
        <w:rPr>
          <w:rFonts w:hint="eastAsia" w:ascii="宋体" w:hAnsi="宋体" w:eastAsia="宋体"/>
          <w:color w:val="auto"/>
          <w:sz w:val="24"/>
          <w:szCs w:val="24"/>
          <w:highlight w:val="none"/>
        </w:rPr>
        <w:t>（</w:t>
      </w:r>
      <w:r>
        <w:rPr>
          <w:rFonts w:hint="eastAsia" w:ascii="TimesNewRomanPSMT" w:hAnsi="TimesNewRomanPSMT" w:eastAsia="TimesNewRomanPSMT"/>
          <w:color w:val="auto"/>
          <w:sz w:val="24"/>
          <w:szCs w:val="24"/>
          <w:highlight w:val="none"/>
        </w:rPr>
        <w:t>1</w:t>
      </w:r>
      <w:r>
        <w:rPr>
          <w:rFonts w:hint="eastAsia" w:ascii="宋体" w:hAnsi="宋体" w:eastAsia="宋体"/>
          <w:color w:val="auto"/>
          <w:sz w:val="24"/>
          <w:szCs w:val="24"/>
          <w:highlight w:val="none"/>
        </w:rPr>
        <w:t>）投资额估算</w:t>
      </w:r>
    </w:p>
    <w:p>
      <w:pPr>
        <w:spacing w:beforeLines="0" w:afterLines="0"/>
        <w:jc w:val="left"/>
        <w:rPr>
          <w:rFonts w:hint="eastAsia" w:ascii="宋体" w:hAnsi="宋体" w:eastAsia="宋体"/>
          <w:color w:val="auto"/>
          <w:sz w:val="24"/>
          <w:szCs w:val="24"/>
          <w:highlight w:val="none"/>
        </w:rPr>
      </w:pPr>
      <w:r>
        <w:rPr>
          <w:rFonts w:hint="eastAsia" w:ascii="宋体" w:hAnsi="宋体" w:eastAsia="宋体"/>
          <w:color w:val="auto"/>
          <w:sz w:val="24"/>
          <w:szCs w:val="24"/>
          <w:highlight w:val="none"/>
        </w:rPr>
        <w:t>建设项目的环保投资计算方法为：凡为防治污染、保护环境所设的防治和减少环境污染，本项目将严格按照环保设施于主体工程同时设计、同时施工、同时投产的</w:t>
      </w:r>
      <w:r>
        <w:rPr>
          <w:rFonts w:hint="eastAsia" w:ascii="TimesNewRomanPSMT" w:hAnsi="TimesNewRomanPSMT" w:eastAsia="宋体"/>
          <w:color w:val="auto"/>
          <w:sz w:val="24"/>
          <w:szCs w:val="24"/>
          <w:highlight w:val="none"/>
          <w:lang w:eastAsia="zh-CN"/>
        </w:rPr>
        <w:t>“</w:t>
      </w:r>
      <w:r>
        <w:rPr>
          <w:rFonts w:hint="eastAsia" w:ascii="宋体" w:hAnsi="宋体" w:eastAsia="宋体"/>
          <w:color w:val="auto"/>
          <w:sz w:val="24"/>
          <w:szCs w:val="24"/>
          <w:highlight w:val="none"/>
        </w:rPr>
        <w:t>三同时</w:t>
      </w:r>
      <w:r>
        <w:rPr>
          <w:rFonts w:hint="eastAsia" w:ascii="TimesNewRomanPSMT" w:hAnsi="TimesNewRomanPSMT" w:eastAsia="宋体"/>
          <w:color w:val="auto"/>
          <w:sz w:val="24"/>
          <w:szCs w:val="24"/>
          <w:highlight w:val="none"/>
          <w:lang w:eastAsia="zh-CN"/>
        </w:rPr>
        <w:t>”</w:t>
      </w:r>
      <w:r>
        <w:rPr>
          <w:rFonts w:hint="eastAsia" w:ascii="宋体" w:hAnsi="宋体" w:eastAsia="宋体"/>
          <w:color w:val="auto"/>
          <w:sz w:val="24"/>
          <w:szCs w:val="24"/>
          <w:highlight w:val="none"/>
        </w:rPr>
        <w:t>原则，建设环保设施。</w:t>
      </w:r>
    </w:p>
    <w:p>
      <w:pPr>
        <w:spacing w:beforeLines="0" w:afterLines="0"/>
        <w:jc w:val="left"/>
        <w:rPr>
          <w:rFonts w:hint="default" w:ascii="Times New Roman" w:hAnsi="Times New Roman" w:eastAsia="宋体" w:cs="Times New Roman"/>
          <w:color w:val="auto"/>
          <w:highlight w:val="none"/>
        </w:rPr>
      </w:pPr>
      <w:r>
        <w:rPr>
          <w:rFonts w:hint="eastAsia" w:ascii="宋体" w:hAnsi="宋体" w:eastAsia="宋体"/>
          <w:color w:val="auto"/>
          <w:sz w:val="24"/>
          <w:szCs w:val="24"/>
          <w:highlight w:val="none"/>
        </w:rPr>
        <w:t>建设项目总投资为</w:t>
      </w:r>
      <w:r>
        <w:rPr>
          <w:rFonts w:hint="default" w:ascii="Times New Roman" w:hAnsi="Times New Roman" w:eastAsia="宋体" w:cs="Times New Roman"/>
          <w:color w:val="auto"/>
          <w:highlight w:val="none"/>
          <w:lang w:eastAsia="zh-CN"/>
        </w:rPr>
        <w:t>1006.67</w:t>
      </w:r>
      <w:r>
        <w:rPr>
          <w:rFonts w:hint="eastAsia" w:ascii="宋体" w:hAnsi="宋体" w:eastAsia="宋体"/>
          <w:color w:val="auto"/>
          <w:sz w:val="24"/>
          <w:szCs w:val="24"/>
          <w:highlight w:val="none"/>
        </w:rPr>
        <w:t>万元，环境保护总投资为</w:t>
      </w:r>
      <w:r>
        <w:rPr>
          <w:rFonts w:hint="eastAsia" w:eastAsia="宋体"/>
          <w:color w:val="auto"/>
          <w:sz w:val="24"/>
          <w:szCs w:val="24"/>
          <w:highlight w:val="none"/>
          <w:lang w:val="en-US" w:eastAsia="zh-CN"/>
        </w:rPr>
        <w:t>63.8</w:t>
      </w:r>
      <w:r>
        <w:rPr>
          <w:rFonts w:hint="eastAsia" w:ascii="宋体" w:hAnsi="宋体" w:eastAsia="宋体"/>
          <w:color w:val="auto"/>
          <w:sz w:val="24"/>
          <w:szCs w:val="24"/>
          <w:highlight w:val="none"/>
        </w:rPr>
        <w:t>万元，占项目总投资的</w:t>
      </w:r>
      <w:r>
        <w:rPr>
          <w:rFonts w:hint="eastAsia" w:ascii="TimesNewRomanPSMT" w:hAnsi="TimesNewRomanPSMT" w:eastAsia="宋体"/>
          <w:color w:val="auto"/>
          <w:sz w:val="24"/>
          <w:szCs w:val="24"/>
          <w:highlight w:val="none"/>
          <w:lang w:val="en-US" w:eastAsia="zh-CN"/>
        </w:rPr>
        <w:t>6.34</w:t>
      </w:r>
      <w:r>
        <w:rPr>
          <w:rFonts w:hint="eastAsia" w:ascii="TimesNewRomanPSMT" w:hAnsi="TimesNewRomanPSMT" w:eastAsia="TimesNewRomanPSMT"/>
          <w:color w:val="auto"/>
          <w:sz w:val="24"/>
          <w:szCs w:val="24"/>
          <w:highlight w:val="none"/>
        </w:rPr>
        <w:t>%</w:t>
      </w:r>
      <w:r>
        <w:rPr>
          <w:rFonts w:hint="eastAsia" w:ascii="宋体" w:hAnsi="宋体" w:eastAsia="宋体"/>
          <w:color w:val="auto"/>
          <w:sz w:val="24"/>
          <w:szCs w:val="24"/>
          <w:highlight w:val="none"/>
        </w:rPr>
        <w:t>。本项目环境恢复治理费用</w:t>
      </w:r>
      <w:r>
        <w:rPr>
          <w:rFonts w:hint="eastAsia" w:ascii="TimesNewRomanPSMT" w:hAnsi="TimesNewRomanPSMT" w:eastAsia="宋体"/>
          <w:color w:val="auto"/>
          <w:sz w:val="24"/>
          <w:szCs w:val="24"/>
          <w:highlight w:val="none"/>
          <w:lang w:val="en-US" w:eastAsia="zh-CN"/>
        </w:rPr>
        <w:t>343</w:t>
      </w:r>
      <w:r>
        <w:rPr>
          <w:rFonts w:hint="eastAsia" w:ascii="宋体" w:hAnsi="宋体" w:eastAsia="宋体"/>
          <w:color w:val="auto"/>
          <w:sz w:val="24"/>
          <w:szCs w:val="24"/>
          <w:highlight w:val="none"/>
        </w:rPr>
        <w:t>万元，列入年度生产成本。环境保护投资见表</w:t>
      </w:r>
      <w:r>
        <w:rPr>
          <w:rFonts w:hint="eastAsia" w:ascii="TimesNewRomanPSMT" w:hAnsi="TimesNewRomanPSMT" w:eastAsia="宋体"/>
          <w:color w:val="auto"/>
          <w:sz w:val="24"/>
          <w:szCs w:val="24"/>
          <w:highlight w:val="none"/>
          <w:lang w:val="en-US" w:eastAsia="zh-CN"/>
        </w:rPr>
        <w:t>11</w:t>
      </w:r>
      <w:r>
        <w:rPr>
          <w:rFonts w:hint="eastAsia" w:ascii="TimesNewRomanPSMT" w:hAnsi="TimesNewRomanPSMT" w:eastAsia="TimesNewRomanPSMT"/>
          <w:color w:val="auto"/>
          <w:sz w:val="24"/>
          <w:szCs w:val="24"/>
          <w:highlight w:val="none"/>
        </w:rPr>
        <w:t>.1-1</w:t>
      </w:r>
      <w:r>
        <w:rPr>
          <w:rFonts w:hint="eastAsia" w:ascii="宋体" w:hAnsi="宋体" w:eastAsia="宋体"/>
          <w:color w:val="auto"/>
          <w:sz w:val="24"/>
          <w:szCs w:val="24"/>
          <w:highlight w:val="none"/>
        </w:rPr>
        <w:t>。</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w:t>
      </w:r>
      <w:r>
        <w:rPr>
          <w:rFonts w:hint="eastAsia" w:ascii="Times New Roman" w:hAnsi="Times New Roman" w:eastAsia="宋体"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.1-1环保设施及投资一览表</w:t>
      </w:r>
    </w:p>
    <w:tbl>
      <w:tblPr>
        <w:tblStyle w:val="45"/>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91"/>
        <w:gridCol w:w="2220"/>
        <w:gridCol w:w="3930"/>
        <w:gridCol w:w="1035"/>
        <w:gridCol w:w="141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序号</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环保项目</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工程内容及技术要求</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数量</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投资估算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一</w:t>
            </w:r>
          </w:p>
        </w:tc>
        <w:tc>
          <w:tcPr>
            <w:tcW w:w="4627" w:type="pct"/>
            <w:gridSpan w:val="4"/>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left"/>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污水处理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矿井涌水处理设施</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新建地表蓄水池</w:t>
            </w:r>
            <w:r>
              <w:rPr>
                <w:rFonts w:hint="default" w:ascii="Times New Roman" w:hAnsi="Times New Roman" w:eastAsia="宋体" w:cs="Times New Roman"/>
                <w:i w:val="0"/>
                <w:iCs w:val="0"/>
                <w:color w:val="auto"/>
                <w:kern w:val="0"/>
                <w:sz w:val="22"/>
                <w:szCs w:val="22"/>
                <w:highlight w:val="none"/>
                <w:u w:val="none"/>
                <w:lang w:val="en-US" w:eastAsia="zh-CN" w:bidi="ar"/>
              </w:rPr>
              <w:t>200m</w:t>
            </w:r>
            <w:r>
              <w:rPr>
                <w:rFonts w:hint="default" w:ascii="Times New Roman" w:hAnsi="Times New Roman" w:eastAsia="宋体" w:cs="Times New Roman"/>
                <w:i w:val="0"/>
                <w:iCs w:val="0"/>
                <w:color w:val="auto"/>
                <w:kern w:val="0"/>
                <w:sz w:val="22"/>
                <w:szCs w:val="22"/>
                <w:highlight w:val="none"/>
                <w:u w:val="none"/>
                <w:vertAlign w:val="superscript"/>
                <w:lang w:val="en-US" w:eastAsia="zh-CN" w:bidi="ar"/>
              </w:rPr>
              <w:t>3</w:t>
            </w:r>
            <w:r>
              <w:rPr>
                <w:rFonts w:hint="eastAsia" w:ascii="宋体" w:hAnsi="宋体" w:eastAsia="宋体" w:cs="宋体"/>
                <w:i w:val="0"/>
                <w:iCs w:val="0"/>
                <w:color w:val="auto"/>
                <w:kern w:val="0"/>
                <w:sz w:val="22"/>
                <w:szCs w:val="22"/>
                <w:highlight w:val="none"/>
                <w:u w:val="none"/>
                <w:lang w:val="en-US" w:eastAsia="zh-CN" w:bidi="ar"/>
              </w:rPr>
              <w:t>及配套管线</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w:t>
            </w:r>
            <w:r>
              <w:rPr>
                <w:rFonts w:hint="eastAsia" w:ascii="宋体" w:hAnsi="宋体" w:eastAsia="宋体" w:cs="宋体"/>
                <w:i w:val="0"/>
                <w:iCs w:val="0"/>
                <w:color w:val="auto"/>
                <w:kern w:val="0"/>
                <w:sz w:val="22"/>
                <w:szCs w:val="22"/>
                <w:highlight w:val="none"/>
                <w:u w:val="none"/>
                <w:lang w:val="en-US" w:eastAsia="zh-CN" w:bidi="ar"/>
              </w:rPr>
              <w:t>套</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二</w:t>
            </w:r>
          </w:p>
        </w:tc>
        <w:tc>
          <w:tcPr>
            <w:tcW w:w="4627" w:type="pct"/>
            <w:gridSpan w:val="4"/>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left"/>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大气污染防治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采坑回填</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采坑回填洒水抑尘</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工业场地、道路扬尘治理措施</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工业场地、道路洒水抑尘</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废石临时堆场</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设置三面围挡，加盖防雨棚，地面硬化，设置洒水喷头及配套管线</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井下抑尘治理</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爆破及装矿前对爆堆进行喷雾洒水抑尘、巷道抑尘</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5</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露天采场抑尘</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爆破及装矿前对爆堆进行喷雾洒水抑尘、采场洒水抑尘</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三</w:t>
            </w:r>
          </w:p>
        </w:tc>
        <w:tc>
          <w:tcPr>
            <w:tcW w:w="4627" w:type="pct"/>
            <w:gridSpan w:val="4"/>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left"/>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固体废物处置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生活垃圾处置</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收集后送环卫部门统一处理，设置垃圾桶等收集装置</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废矿物油</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生产产生的废矿物油送有关单位处理</w:t>
            </w:r>
          </w:p>
        </w:tc>
        <w:tc>
          <w:tcPr>
            <w:tcW w:w="557"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四</w:t>
            </w:r>
          </w:p>
        </w:tc>
        <w:tc>
          <w:tcPr>
            <w:tcW w:w="4627" w:type="pct"/>
            <w:gridSpan w:val="4"/>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left"/>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噪声治理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1</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噪声设备</w:t>
            </w:r>
          </w:p>
        </w:tc>
        <w:tc>
          <w:tcPr>
            <w:tcW w:w="211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新增噪声设备设置隔声、减震措施</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72"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五</w:t>
            </w:r>
          </w:p>
        </w:tc>
        <w:tc>
          <w:tcPr>
            <w:tcW w:w="1195"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left"/>
              <w:textAlignment w:val="center"/>
              <w:rPr>
                <w:rFonts w:hint="default" w:ascii="Times New Roman" w:hAnsi="Times New Roman" w:eastAsia="宋体" w:cs="Times New Roman"/>
                <w:b/>
                <w:bCs/>
                <w:i w:val="0"/>
                <w:iCs w:val="0"/>
                <w:color w:val="auto"/>
                <w:sz w:val="22"/>
                <w:szCs w:val="22"/>
                <w:highlight w:val="none"/>
                <w:u w:val="none"/>
              </w:rPr>
            </w:pPr>
            <w:r>
              <w:rPr>
                <w:rFonts w:hint="eastAsia" w:ascii="宋体" w:hAnsi="宋体" w:eastAsia="宋体" w:cs="宋体"/>
                <w:b/>
                <w:bCs/>
                <w:i w:val="0"/>
                <w:iCs w:val="0"/>
                <w:color w:val="auto"/>
                <w:kern w:val="0"/>
                <w:sz w:val="22"/>
                <w:szCs w:val="22"/>
                <w:highlight w:val="none"/>
                <w:u w:val="none"/>
                <w:lang w:val="en-US" w:eastAsia="zh-CN" w:bidi="ar"/>
              </w:rPr>
              <w:t>环保设施运行费用</w:t>
            </w:r>
          </w:p>
        </w:tc>
        <w:tc>
          <w:tcPr>
            <w:tcW w:w="2115" w:type="pct"/>
            <w:tcBorders>
              <w:tl2br w:val="nil"/>
              <w:tr2bl w:val="nil"/>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（取废气、废水、噪声、固废等设施投资费用的</w:t>
            </w:r>
            <w:r>
              <w:rPr>
                <w:rFonts w:hint="default" w:ascii="Times New Roman" w:hAnsi="Times New Roman" w:eastAsia="宋体" w:cs="Times New Roman"/>
                <w:i w:val="0"/>
                <w:iCs w:val="0"/>
                <w:color w:val="auto"/>
                <w:kern w:val="0"/>
                <w:sz w:val="22"/>
                <w:szCs w:val="22"/>
                <w:highlight w:val="none"/>
                <w:u w:val="none"/>
                <w:lang w:val="en-US" w:eastAsia="zh-CN" w:bidi="ar"/>
              </w:rPr>
              <w:t>10%</w:t>
            </w:r>
            <w:r>
              <w:rPr>
                <w:rFonts w:hint="eastAsia" w:ascii="宋体" w:hAnsi="宋体" w:eastAsia="宋体" w:cs="宋体"/>
                <w:i w:val="0"/>
                <w:iCs w:val="0"/>
                <w:color w:val="auto"/>
                <w:kern w:val="0"/>
                <w:sz w:val="22"/>
                <w:szCs w:val="22"/>
                <w:highlight w:val="none"/>
                <w:u w:val="none"/>
                <w:lang w:val="en-US" w:eastAsia="zh-CN" w:bidi="ar"/>
              </w:rPr>
              <w:t>）</w:t>
            </w:r>
          </w:p>
        </w:tc>
        <w:tc>
          <w:tcPr>
            <w:tcW w:w="557"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w:t>
            </w: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3683" w:type="pct"/>
            <w:gridSpan w:val="3"/>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eastAsia" w:ascii="宋体" w:hAnsi="宋体" w:eastAsia="宋体" w:cs="宋体"/>
                <w:i w:val="0"/>
                <w:iCs w:val="0"/>
                <w:color w:val="auto"/>
                <w:sz w:val="22"/>
                <w:szCs w:val="22"/>
                <w:highlight w:val="none"/>
                <w:u w:val="none"/>
              </w:rPr>
            </w:pPr>
            <w:r>
              <w:rPr>
                <w:rFonts w:hint="eastAsia" w:ascii="宋体" w:hAnsi="宋体" w:eastAsia="宋体" w:cs="宋体"/>
                <w:i w:val="0"/>
                <w:iCs w:val="0"/>
                <w:color w:val="auto"/>
                <w:kern w:val="0"/>
                <w:sz w:val="22"/>
                <w:szCs w:val="22"/>
                <w:highlight w:val="none"/>
                <w:u w:val="none"/>
                <w:lang w:val="en-US" w:eastAsia="zh-CN" w:bidi="ar"/>
              </w:rPr>
              <w:t>合计</w:t>
            </w:r>
          </w:p>
        </w:tc>
        <w:tc>
          <w:tcPr>
            <w:tcW w:w="557"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line="240" w:lineRule="atLeast"/>
              <w:ind w:firstLine="0" w:firstLineChars="0"/>
              <w:jc w:val="center"/>
              <w:rPr>
                <w:rFonts w:hint="default" w:ascii="Times New Roman" w:hAnsi="Times New Roman" w:eastAsia="宋体" w:cs="Times New Roman"/>
                <w:i w:val="0"/>
                <w:iCs w:val="0"/>
                <w:color w:val="auto"/>
                <w:sz w:val="22"/>
                <w:szCs w:val="22"/>
                <w:highlight w:val="none"/>
                <w:u w:val="none"/>
              </w:rPr>
            </w:pPr>
          </w:p>
        </w:tc>
        <w:tc>
          <w:tcPr>
            <w:tcW w:w="759" w:type="pct"/>
            <w:tcBorders>
              <w:tl2br w:val="nil"/>
              <w:tr2bl w:val="nil"/>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tLeast"/>
              <w:ind w:firstLine="0" w:firstLineChars="0"/>
              <w:jc w:val="center"/>
              <w:textAlignment w:val="center"/>
              <w:rPr>
                <w:rFonts w:hint="default" w:ascii="Times New Roman" w:hAnsi="Times New Roman" w:eastAsia="宋体" w:cs="Times New Roman"/>
                <w:i w:val="0"/>
                <w:iCs w:val="0"/>
                <w:color w:val="auto"/>
                <w:sz w:val="22"/>
                <w:szCs w:val="22"/>
                <w:highlight w:val="none"/>
                <w:u w:val="none"/>
              </w:rPr>
            </w:pPr>
            <w:r>
              <w:rPr>
                <w:rFonts w:hint="default" w:ascii="Times New Roman" w:hAnsi="Times New Roman" w:eastAsia="宋体" w:cs="Times New Roman"/>
                <w:i w:val="0"/>
                <w:iCs w:val="0"/>
                <w:color w:val="auto"/>
                <w:kern w:val="0"/>
                <w:sz w:val="22"/>
                <w:szCs w:val="22"/>
                <w:highlight w:val="none"/>
                <w:u w:val="none"/>
                <w:lang w:val="en-US" w:eastAsia="zh-CN" w:bidi="ar"/>
              </w:rPr>
              <w:t>63.8</w:t>
            </w:r>
          </w:p>
        </w:tc>
      </w:tr>
    </w:tbl>
    <w:p>
      <w:pPr>
        <w:pStyle w:val="4"/>
        <w:bidi w:val="0"/>
        <w:ind w:left="0" w:leftChars="0" w:firstLineChars="0"/>
        <w:rPr>
          <w:rFonts w:hint="default"/>
          <w:color w:val="auto"/>
          <w:highlight w:val="none"/>
        </w:rPr>
      </w:pPr>
      <w:bookmarkStart w:id="794" w:name="_Toc15985"/>
      <w:r>
        <w:rPr>
          <w:rFonts w:hint="default"/>
          <w:color w:val="auto"/>
          <w:highlight w:val="none"/>
        </w:rPr>
        <w:t>社会经济效益分析</w:t>
      </w:r>
      <w:bookmarkEnd w:id="790"/>
      <w:bookmarkEnd w:id="791"/>
      <w:bookmarkEnd w:id="792"/>
      <w:bookmarkEnd w:id="793"/>
      <w:bookmarkEnd w:id="794"/>
    </w:p>
    <w:p>
      <w:pPr>
        <w:pStyle w:val="5"/>
        <w:bidi w:val="0"/>
        <w:rPr>
          <w:rFonts w:hint="default"/>
          <w:color w:val="auto"/>
          <w:highlight w:val="none"/>
        </w:rPr>
      </w:pPr>
      <w:bookmarkStart w:id="795" w:name="_Toc380484742"/>
      <w:bookmarkStart w:id="796" w:name="_Toc86727667"/>
      <w:bookmarkStart w:id="797" w:name="_Toc370150382"/>
      <w:bookmarkStart w:id="798" w:name="_Toc118337459"/>
      <w:bookmarkStart w:id="799" w:name="_Toc361909501"/>
      <w:bookmarkStart w:id="800" w:name="_Toc100821871"/>
      <w:bookmarkStart w:id="801" w:name="_Toc114736319"/>
      <w:r>
        <w:rPr>
          <w:rFonts w:hint="default"/>
          <w:color w:val="auto"/>
          <w:highlight w:val="none"/>
        </w:rPr>
        <w:t>社会效益分析</w:t>
      </w:r>
      <w:bookmarkEnd w:id="795"/>
      <w:bookmarkEnd w:id="796"/>
      <w:bookmarkEnd w:id="797"/>
      <w:bookmarkEnd w:id="798"/>
      <w:bookmarkEnd w:id="799"/>
      <w:bookmarkEnd w:id="800"/>
      <w:bookmarkEnd w:id="801"/>
    </w:p>
    <w:p>
      <w:pPr>
        <w:ind w:firstLine="480"/>
        <w:rPr>
          <w:rFonts w:hint="default" w:ascii="Times New Roman" w:hAnsi="Times New Roman" w:eastAsia="宋体" w:cs="Times New Roman"/>
          <w:color w:val="auto"/>
          <w:highlight w:val="none"/>
        </w:rPr>
      </w:pPr>
      <w:bookmarkStart w:id="802" w:name="_Toc380484743"/>
      <w:r>
        <w:rPr>
          <w:rFonts w:hint="default" w:ascii="Times New Roman" w:hAnsi="Times New Roman" w:eastAsia="宋体" w:cs="Times New Roman"/>
          <w:color w:val="auto"/>
          <w:highlight w:val="none"/>
        </w:rPr>
        <w:t>本项目产生的社会效益主要表现为以下几个方面：</w:t>
      </w:r>
      <w:bookmarkEnd w:id="802"/>
    </w:p>
    <w:p>
      <w:pPr>
        <w:numPr>
          <w:ilvl w:val="0"/>
          <w:numId w:val="22"/>
        </w:num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w:t>
      </w:r>
      <w:r>
        <w:rPr>
          <w:rFonts w:hint="default" w:ascii="Times New Roman" w:hAnsi="Times New Roman" w:eastAsia="宋体" w:cs="Times New Roman"/>
          <w:color w:val="auto"/>
          <w:highlight w:val="none"/>
          <w:lang w:val="en-US" w:eastAsia="zh-CN"/>
        </w:rPr>
        <w:t>项目</w:t>
      </w:r>
      <w:r>
        <w:rPr>
          <w:rFonts w:hint="default" w:ascii="Times New Roman" w:hAnsi="Times New Roman" w:eastAsia="宋体" w:cs="Times New Roman"/>
          <w:color w:val="auto"/>
          <w:highlight w:val="none"/>
        </w:rPr>
        <w:t>矿山生产规模为15万t/a，露天采矿单位成本34.30元/t；地下采矿单位成本51.00元/t；综合成本（&lt;露采每吨成本单价×露采矿量+地采每吨成本单价×地采矿量&gt;/总矿量）39.87元/t。根据钾长石单位平均售价80.00元/t。每年可上缴税金439.76万元，有利于增加地方财政收入，增强地方经济实力和产业技术水平，增加地区经济发展的活力。此外，企业稳定的发展及财政收入的增加，对地区就业和社会稳定有着积极的作用。</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（2）本项目可为企业带来较大的经济收入，完善了该区的生产加工产业链，增强了企业资源综合利用及减少污染的能力，企业产品向多元化发展，提高了企业的抗风险能力。</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建设项目属于资源开发利用项目，将进一步增强该采矿场的生产率及转化能力。同时，在建设中进一步强调各类污染物综合防治，加大污染物排放的管理力度，完善各类环境保护设施，减小采矿所带来的环境污染，增强相应的环境保障率。并且在资源开发中</w:t>
      </w:r>
      <w:r>
        <w:rPr>
          <w:rFonts w:hint="eastAsia" w:cs="Times New Roman"/>
          <w:color w:val="auto"/>
          <w:highlight w:val="none"/>
          <w:lang w:val="en-US" w:eastAsia="zh-CN"/>
        </w:rPr>
        <w:t>对原有历史遗留采坑进行生态恢复</w:t>
      </w:r>
      <w:r>
        <w:rPr>
          <w:rFonts w:hint="default" w:ascii="Times New Roman" w:hAnsi="Times New Roman" w:eastAsia="宋体" w:cs="Times New Roman"/>
          <w:color w:val="auto"/>
          <w:highlight w:val="none"/>
        </w:rPr>
        <w:t>，有助于当地环境状况的改善和污染的减轻。</w:t>
      </w:r>
    </w:p>
    <w:p>
      <w:pPr>
        <w:ind w:firstLine="480"/>
        <w:rPr>
          <w:rFonts w:hint="default" w:ascii="Times New Roman" w:hAnsi="Times New Roman" w:eastAsia="宋体" w:cs="Times New Roman"/>
          <w:color w:val="auto"/>
          <w:highlight w:val="none"/>
        </w:rPr>
      </w:pPr>
      <w:bookmarkStart w:id="803" w:name="_Toc380484744"/>
      <w:r>
        <w:rPr>
          <w:rFonts w:hint="default" w:ascii="Times New Roman" w:hAnsi="Times New Roman" w:eastAsia="宋体" w:cs="Times New Roman"/>
          <w:color w:val="auto"/>
          <w:highlight w:val="none"/>
        </w:rPr>
        <w:t>综上所述，本项目的建设具有良好的社会效益。</w:t>
      </w:r>
      <w:bookmarkEnd w:id="803"/>
    </w:p>
    <w:p>
      <w:pPr>
        <w:pStyle w:val="5"/>
        <w:bidi w:val="0"/>
        <w:rPr>
          <w:rFonts w:hint="default"/>
          <w:color w:val="auto"/>
          <w:highlight w:val="none"/>
        </w:rPr>
      </w:pPr>
      <w:r>
        <w:rPr>
          <w:rFonts w:hint="default"/>
          <w:color w:val="auto"/>
          <w:highlight w:val="none"/>
        </w:rPr>
        <w:t>经济效益分析</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建设项目的主要经济指标见表1</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.2-1。由表可以看出</w:t>
      </w:r>
      <w:r>
        <w:rPr>
          <w:rFonts w:hint="eastAsia" w:cs="Times New Roman"/>
          <w:color w:val="auto"/>
          <w:highlight w:val="none"/>
          <w:lang w:eastAsia="zh-CN"/>
        </w:rPr>
        <w:t>，</w:t>
      </w:r>
      <w:r>
        <w:rPr>
          <w:rFonts w:hint="default" w:ascii="Times New Roman" w:hAnsi="Times New Roman" w:eastAsia="宋体" w:cs="Times New Roman"/>
          <w:color w:val="auto"/>
          <w:highlight w:val="none"/>
        </w:rPr>
        <w:t>项目的年税后利润</w:t>
      </w:r>
      <w:r>
        <w:rPr>
          <w:rFonts w:hint="default" w:ascii="Times New Roman" w:hAnsi="Times New Roman" w:eastAsia="宋体" w:cs="Times New Roman"/>
          <w:color w:val="auto"/>
          <w:highlight w:val="none"/>
          <w:lang w:bidi="he-IL"/>
        </w:rPr>
        <w:t>329.82</w:t>
      </w:r>
      <w:r>
        <w:rPr>
          <w:rFonts w:hint="default" w:ascii="Times New Roman" w:hAnsi="Times New Roman" w:eastAsia="宋体" w:cs="Times New Roman"/>
          <w:color w:val="auto"/>
          <w:highlight w:val="none"/>
        </w:rPr>
        <w:t>万元，本项目投资收益较好。</w:t>
      </w:r>
    </w:p>
    <w:p>
      <w:pPr>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表1</w:t>
      </w:r>
      <w:r>
        <w:rPr>
          <w:rFonts w:hint="eastAsia"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.2-1项目主要经济指标</w:t>
      </w:r>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9"/>
        <w:gridCol w:w="573"/>
        <w:gridCol w:w="2169"/>
        <w:gridCol w:w="708"/>
        <w:gridCol w:w="855"/>
        <w:gridCol w:w="1010"/>
        <w:gridCol w:w="1074"/>
        <w:gridCol w:w="1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tcBorders>
              <w:top w:val="single" w:color="auto" w:sz="12" w:space="0"/>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序号</w:t>
            </w:r>
          </w:p>
        </w:tc>
        <w:tc>
          <w:tcPr>
            <w:tcW w:w="2742" w:type="dxa"/>
            <w:gridSpan w:val="2"/>
            <w:tcBorders>
              <w:top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项目</w:t>
            </w:r>
          </w:p>
        </w:tc>
        <w:tc>
          <w:tcPr>
            <w:tcW w:w="708" w:type="dxa"/>
            <w:tcBorders>
              <w:top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单位</w:t>
            </w:r>
          </w:p>
        </w:tc>
        <w:tc>
          <w:tcPr>
            <w:tcW w:w="855" w:type="dxa"/>
            <w:tcBorders>
              <w:top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指标</w:t>
            </w:r>
          </w:p>
        </w:tc>
        <w:tc>
          <w:tcPr>
            <w:tcW w:w="1010" w:type="dxa"/>
            <w:tcBorders>
              <w:top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参数</w:t>
            </w:r>
          </w:p>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单位</w:t>
            </w:r>
          </w:p>
        </w:tc>
        <w:tc>
          <w:tcPr>
            <w:tcW w:w="1074" w:type="dxa"/>
            <w:tcBorders>
              <w:top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参  数</w:t>
            </w:r>
          </w:p>
        </w:tc>
        <w:tc>
          <w:tcPr>
            <w:tcW w:w="1756" w:type="dxa"/>
            <w:tcBorders>
              <w:top w:val="single" w:color="auto" w:sz="12" w:space="0"/>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w:t>
            </w:r>
          </w:p>
        </w:tc>
        <w:tc>
          <w:tcPr>
            <w:tcW w:w="2742" w:type="dxa"/>
            <w:gridSpan w:val="2"/>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矿石产量</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15.0</w:t>
            </w: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万t/a</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15.00</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2</w:t>
            </w:r>
          </w:p>
        </w:tc>
        <w:tc>
          <w:tcPr>
            <w:tcW w:w="2742" w:type="dxa"/>
            <w:gridSpan w:val="2"/>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矿石售价</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80.0</w:t>
            </w: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元/t</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80.00</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3</w:t>
            </w:r>
          </w:p>
        </w:tc>
        <w:tc>
          <w:tcPr>
            <w:tcW w:w="2742" w:type="dxa"/>
            <w:gridSpan w:val="2"/>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矿石成本</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39.87</w:t>
            </w: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万元/a</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598.00</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综合成本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vMerge w:val="restart"/>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4</w:t>
            </w:r>
          </w:p>
        </w:tc>
        <w:tc>
          <w:tcPr>
            <w:tcW w:w="2742" w:type="dxa"/>
            <w:gridSpan w:val="2"/>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销售收入</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万元/a</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1200.00</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vMerge w:val="continue"/>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573" w:type="dxa"/>
            <w:vMerge w:val="restart"/>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销售</w:t>
            </w:r>
          </w:p>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税金</w:t>
            </w:r>
          </w:p>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及附</w:t>
            </w:r>
          </w:p>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加</w:t>
            </w:r>
          </w:p>
        </w:tc>
        <w:tc>
          <w:tcPr>
            <w:tcW w:w="2169"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矿山增值税</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w:t>
            </w: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13</w:t>
            </w: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万元/a</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156.00</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销项税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vMerge w:val="continue"/>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573" w:type="dxa"/>
            <w:vMerge w:val="continue"/>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2169"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城市维护建设税</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w:t>
            </w: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w:t>
            </w: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万元/a</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1.56</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按增值税计取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vMerge w:val="continue"/>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573" w:type="dxa"/>
            <w:vMerge w:val="continue"/>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2169"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教育费附加</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w:t>
            </w: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3</w:t>
            </w: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万元/a</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4.68</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按增值税计取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vMerge w:val="continue"/>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573" w:type="dxa"/>
            <w:vMerge w:val="continue"/>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2169"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矿产资源税</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元/t</w:t>
            </w: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3.0</w:t>
            </w: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万元/a</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 xml:space="preserve">45.00 </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vMerge w:val="continue"/>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573" w:type="dxa"/>
            <w:vMerge w:val="continue"/>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2169"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合计</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万元/a</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162.24</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5</w:t>
            </w:r>
          </w:p>
        </w:tc>
        <w:tc>
          <w:tcPr>
            <w:tcW w:w="2742" w:type="dxa"/>
            <w:gridSpan w:val="2"/>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正常生产年利税额</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 xml:space="preserve">439.76 </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tcBorders>
              <w:lef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6</w:t>
            </w:r>
          </w:p>
        </w:tc>
        <w:tc>
          <w:tcPr>
            <w:tcW w:w="2742" w:type="dxa"/>
            <w:gridSpan w:val="2"/>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正常生产年所得税</w:t>
            </w:r>
          </w:p>
        </w:tc>
        <w:tc>
          <w:tcPr>
            <w:tcW w:w="708"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w:t>
            </w:r>
          </w:p>
        </w:tc>
        <w:tc>
          <w:tcPr>
            <w:tcW w:w="855"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25</w:t>
            </w:r>
          </w:p>
        </w:tc>
        <w:tc>
          <w:tcPr>
            <w:tcW w:w="1010"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w:t>
            </w:r>
          </w:p>
        </w:tc>
        <w:tc>
          <w:tcPr>
            <w:tcW w:w="1074" w:type="dxa"/>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109.94</w:t>
            </w:r>
          </w:p>
        </w:tc>
        <w:tc>
          <w:tcPr>
            <w:tcW w:w="1756" w:type="dxa"/>
            <w:tcBorders>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9" w:type="dxa"/>
            <w:tcBorders>
              <w:left w:val="nil"/>
              <w:bottom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7</w:t>
            </w:r>
          </w:p>
        </w:tc>
        <w:tc>
          <w:tcPr>
            <w:tcW w:w="2742" w:type="dxa"/>
            <w:gridSpan w:val="2"/>
            <w:tcBorders>
              <w:bottom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正常生产年税后总利润</w:t>
            </w:r>
          </w:p>
        </w:tc>
        <w:tc>
          <w:tcPr>
            <w:tcW w:w="708" w:type="dxa"/>
            <w:tcBorders>
              <w:bottom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855" w:type="dxa"/>
            <w:tcBorders>
              <w:bottom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c>
          <w:tcPr>
            <w:tcW w:w="1010" w:type="dxa"/>
            <w:tcBorders>
              <w:bottom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万元</w:t>
            </w:r>
          </w:p>
        </w:tc>
        <w:tc>
          <w:tcPr>
            <w:tcW w:w="1074" w:type="dxa"/>
            <w:tcBorders>
              <w:bottom w:val="single" w:color="auto" w:sz="12" w:space="0"/>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r>
              <w:rPr>
                <w:rFonts w:hint="default" w:ascii="Times New Roman" w:hAnsi="Times New Roman" w:eastAsia="宋体" w:cs="Times New Roman"/>
                <w:color w:val="auto"/>
                <w:highlight w:val="none"/>
                <w:lang w:bidi="he-IL"/>
              </w:rPr>
              <w:t xml:space="preserve">329.82 </w:t>
            </w:r>
          </w:p>
        </w:tc>
        <w:tc>
          <w:tcPr>
            <w:tcW w:w="1756" w:type="dxa"/>
            <w:tcBorders>
              <w:bottom w:val="single" w:color="auto" w:sz="12" w:space="0"/>
              <w:right w:val="nil"/>
            </w:tcBorders>
            <w:noWrap w:val="0"/>
            <w:vAlign w:val="center"/>
          </w:tcPr>
          <w:p>
            <w:pPr>
              <w:pStyle w:val="104"/>
              <w:keepNext w:val="0"/>
              <w:keepLines w:val="0"/>
              <w:pageBreakBefore w:val="0"/>
              <w:widowControl w:val="0"/>
              <w:kinsoku/>
              <w:wordWrap/>
              <w:overflowPunct/>
              <w:topLinePunct w:val="0"/>
              <w:autoSpaceDE/>
              <w:autoSpaceDN/>
              <w:bidi w:val="0"/>
              <w:adjustRightInd w:val="0"/>
              <w:snapToGrid w:val="0"/>
              <w:spacing w:line="240" w:lineRule="atLeast"/>
              <w:jc w:val="center"/>
              <w:textAlignment w:val="auto"/>
              <w:rPr>
                <w:rFonts w:hint="default" w:ascii="Times New Roman" w:hAnsi="Times New Roman" w:eastAsia="宋体" w:cs="Times New Roman"/>
                <w:color w:val="auto"/>
                <w:highlight w:val="none"/>
                <w:lang w:bidi="he-IL"/>
              </w:rPr>
            </w:pPr>
          </w:p>
        </w:tc>
      </w:tr>
    </w:tbl>
    <w:p>
      <w:pPr>
        <w:pStyle w:val="4"/>
        <w:bidi w:val="0"/>
        <w:ind w:left="0" w:leftChars="0" w:firstLineChars="0"/>
        <w:rPr>
          <w:rFonts w:hint="default"/>
          <w:color w:val="auto"/>
          <w:highlight w:val="none"/>
        </w:rPr>
      </w:pPr>
      <w:bookmarkStart w:id="804" w:name="_Toc482780910"/>
      <w:bookmarkStart w:id="805" w:name="_Toc422482835"/>
      <w:bookmarkStart w:id="806" w:name="_Toc481758556"/>
      <w:bookmarkStart w:id="807" w:name="_Toc19425"/>
      <w:bookmarkStart w:id="808" w:name="_Toc421524846"/>
      <w:bookmarkStart w:id="809" w:name="_Toc15376233"/>
      <w:bookmarkStart w:id="810" w:name="_Toc425950087"/>
      <w:bookmarkStart w:id="811" w:name="_Toc3973124"/>
      <w:r>
        <w:rPr>
          <w:rFonts w:hint="default"/>
          <w:color w:val="auto"/>
          <w:highlight w:val="none"/>
        </w:rPr>
        <w:t>环境经济损益分析</w:t>
      </w:r>
      <w:bookmarkEnd w:id="804"/>
      <w:bookmarkEnd w:id="805"/>
      <w:bookmarkEnd w:id="806"/>
      <w:bookmarkEnd w:id="807"/>
      <w:bookmarkEnd w:id="808"/>
      <w:bookmarkEnd w:id="809"/>
      <w:bookmarkEnd w:id="810"/>
      <w:bookmarkEnd w:id="811"/>
    </w:p>
    <w:p>
      <w:pPr>
        <w:pStyle w:val="5"/>
        <w:bidi w:val="0"/>
        <w:rPr>
          <w:rFonts w:hint="default"/>
          <w:color w:val="auto"/>
          <w:highlight w:val="none"/>
        </w:rPr>
      </w:pPr>
      <w:r>
        <w:rPr>
          <w:rFonts w:hint="default"/>
          <w:color w:val="auto"/>
          <w:highlight w:val="none"/>
        </w:rPr>
        <w:t>环境保护费用的确定和估算</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环境保护费用一般可分为外部费用和内部费用，用下式表示：</w:t>
      </w:r>
    </w:p>
    <w:p>
      <w:pPr>
        <w:pStyle w:val="62"/>
        <w:spacing w:line="360" w:lineRule="auto"/>
        <w:ind w:firstLine="199" w:firstLineChars="83"/>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Et=E</w:t>
      </w:r>
      <w:r>
        <w:rPr>
          <w:rFonts w:hint="default" w:ascii="Times New Roman" w:hAnsi="Times New Roman" w:eastAsia="宋体" w:cs="Times New Roman"/>
          <w:color w:val="auto"/>
          <w:highlight w:val="none"/>
          <w:vertAlign w:val="subscript"/>
        </w:rPr>
        <w:t>t</w:t>
      </w:r>
      <w:r>
        <w:rPr>
          <w:rFonts w:hint="default" w:ascii="Times New Roman" w:hAnsi="Times New Roman" w:eastAsia="宋体" w:cs="Times New Roman"/>
          <w:color w:val="auto"/>
          <w:highlight w:val="none"/>
        </w:rPr>
        <w:t>(O)+E</w:t>
      </w:r>
      <w:r>
        <w:rPr>
          <w:rFonts w:hint="default" w:ascii="Times New Roman" w:hAnsi="Times New Roman" w:eastAsia="宋体" w:cs="Times New Roman"/>
          <w:color w:val="auto"/>
          <w:highlight w:val="none"/>
          <w:vertAlign w:val="subscript"/>
        </w:rPr>
        <w:t>t</w:t>
      </w:r>
      <w:r>
        <w:rPr>
          <w:rFonts w:hint="default" w:ascii="Times New Roman" w:hAnsi="Times New Roman" w:eastAsia="宋体" w:cs="Times New Roman"/>
          <w:color w:val="auto"/>
          <w:highlight w:val="none"/>
        </w:rPr>
        <w:t>(I)</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式中：E</w:t>
      </w:r>
      <w:r>
        <w:rPr>
          <w:rFonts w:hint="default" w:ascii="Times New Roman" w:hAnsi="Times New Roman" w:eastAsia="宋体" w:cs="Times New Roman"/>
          <w:color w:val="auto"/>
          <w:highlight w:val="none"/>
          <w:vertAlign w:val="subscript"/>
        </w:rPr>
        <w:t>t</w:t>
      </w:r>
      <w:r>
        <w:rPr>
          <w:rFonts w:hint="default" w:ascii="Times New Roman" w:hAnsi="Times New Roman" w:eastAsia="宋体" w:cs="Times New Roman"/>
          <w:color w:val="auto"/>
          <w:highlight w:val="none"/>
        </w:rPr>
        <w:t>—环境保护费用；</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w:t>
      </w:r>
      <w:r>
        <w:rPr>
          <w:rFonts w:hint="default" w:ascii="Times New Roman" w:hAnsi="Times New Roman" w:eastAsia="宋体" w:cs="Times New Roman"/>
          <w:color w:val="auto"/>
          <w:highlight w:val="none"/>
          <w:vertAlign w:val="subscript"/>
        </w:rPr>
        <w:t>t</w:t>
      </w:r>
      <w:r>
        <w:rPr>
          <w:rFonts w:hint="default" w:ascii="Times New Roman" w:hAnsi="Times New Roman" w:eastAsia="宋体" w:cs="Times New Roman"/>
          <w:color w:val="auto"/>
          <w:highlight w:val="none"/>
        </w:rPr>
        <w:t>(O)—环境保护外部费用；</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E</w:t>
      </w:r>
      <w:r>
        <w:rPr>
          <w:rFonts w:hint="default" w:ascii="Times New Roman" w:hAnsi="Times New Roman" w:eastAsia="宋体" w:cs="Times New Roman"/>
          <w:color w:val="auto"/>
          <w:highlight w:val="none"/>
          <w:vertAlign w:val="subscript"/>
        </w:rPr>
        <w:t>t</w:t>
      </w:r>
      <w:r>
        <w:rPr>
          <w:rFonts w:hint="default" w:ascii="Times New Roman" w:hAnsi="Times New Roman" w:eastAsia="宋体" w:cs="Times New Roman"/>
          <w:color w:val="auto"/>
          <w:highlight w:val="none"/>
        </w:rPr>
        <w:t>(I)—环境保护内部费用。</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（1）外部费用的确定与估算</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外部费用是指由于项目开发形成对环境损害所带来的费用，针对本项目，主要为生态综合整治费用。本项目外部费用总计</w:t>
      </w:r>
      <w:r>
        <w:rPr>
          <w:rFonts w:hint="eastAsia" w:ascii="TimesNewRomanPSMT" w:hAnsi="TimesNewRomanPSMT" w:eastAsia="宋体"/>
          <w:color w:val="auto"/>
          <w:sz w:val="24"/>
          <w:szCs w:val="24"/>
          <w:highlight w:val="none"/>
          <w:lang w:val="en-US" w:eastAsia="zh-CN"/>
        </w:rPr>
        <w:t>343</w:t>
      </w:r>
      <w:r>
        <w:rPr>
          <w:rFonts w:hint="default" w:ascii="Times New Roman" w:hAnsi="Times New Roman" w:eastAsia="宋体" w:cs="Times New Roman"/>
          <w:color w:val="auto"/>
          <w:highlight w:val="none"/>
        </w:rPr>
        <w:t>万元，矿井服务年限为</w:t>
      </w:r>
      <w:r>
        <w:rPr>
          <w:rFonts w:hint="eastAsia" w:ascii="Times New Roman" w:hAnsi="Times New Roman" w:cs="Times New Roman"/>
          <w:color w:val="auto"/>
          <w:highlight w:val="none"/>
          <w:lang w:val="en-US" w:eastAsia="zh-CN"/>
        </w:rPr>
        <w:t>15.78</w:t>
      </w:r>
      <w:r>
        <w:rPr>
          <w:rFonts w:hint="default" w:ascii="Times New Roman" w:hAnsi="Times New Roman" w:eastAsia="宋体" w:cs="Times New Roman"/>
          <w:color w:val="auto"/>
          <w:highlight w:val="none"/>
          <w:lang w:eastAsia="zh-CN"/>
        </w:rPr>
        <w:t>a</w:t>
      </w:r>
      <w:r>
        <w:rPr>
          <w:rFonts w:hint="default" w:ascii="Times New Roman" w:hAnsi="Times New Roman" w:eastAsia="宋体" w:cs="Times New Roman"/>
          <w:color w:val="auto"/>
          <w:highlight w:val="none"/>
        </w:rPr>
        <w:t>，分摊到每年的外部费用为平均</w:t>
      </w:r>
      <w:r>
        <w:rPr>
          <w:rFonts w:hint="eastAsia" w:ascii="Times New Roman" w:hAnsi="Times New Roman" w:cs="Times New Roman"/>
          <w:color w:val="auto"/>
          <w:highlight w:val="none"/>
          <w:lang w:val="en-US" w:eastAsia="zh-CN"/>
        </w:rPr>
        <w:t>21.73</w:t>
      </w:r>
      <w:r>
        <w:rPr>
          <w:rFonts w:hint="default" w:ascii="Times New Roman" w:hAnsi="Times New Roman" w:eastAsia="宋体" w:cs="Times New Roman"/>
          <w:color w:val="auto"/>
          <w:highlight w:val="none"/>
        </w:rPr>
        <w:t>万元/a。</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（2）内部费用的确定与估算</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4"/>
          <w:highlight w:val="none"/>
        </w:rPr>
        <w:t>内部费用是指项目开发过程中，建设单位为了防止环境污染而付出的环境保护费用，由基本建设费和运行费两部分组成。</w:t>
      </w:r>
    </w:p>
    <w:p>
      <w:pPr>
        <w:ind w:firstLine="480"/>
        <w:rPr>
          <w:rFonts w:hint="default" w:ascii="Times New Roman" w:hAnsi="Times New Roman" w:eastAsia="宋体" w:cs="Times New Roman"/>
          <w:color w:val="auto"/>
          <w:kern w:val="24"/>
          <w:highlight w:val="none"/>
        </w:rPr>
      </w:pPr>
      <w:r>
        <w:rPr>
          <w:rFonts w:hint="default" w:ascii="Times New Roman" w:hAnsi="Times New Roman" w:eastAsia="宋体" w:cs="Times New Roman"/>
          <w:color w:val="auto"/>
          <w:highlight w:val="none"/>
        </w:rPr>
        <w:t>本项目环境保护基本建设费用为</w:t>
      </w:r>
      <w:r>
        <w:rPr>
          <w:rFonts w:hint="eastAsia" w:cs="Times New Roman"/>
          <w:color w:val="auto"/>
          <w:highlight w:val="none"/>
          <w:lang w:val="en-US" w:eastAsia="zh-CN"/>
        </w:rPr>
        <w:t>58</w:t>
      </w:r>
      <w:r>
        <w:rPr>
          <w:rFonts w:hint="default" w:ascii="Times New Roman" w:hAnsi="Times New Roman" w:eastAsia="宋体" w:cs="Times New Roman"/>
          <w:color w:val="auto"/>
          <w:highlight w:val="none"/>
        </w:rPr>
        <w:t>万元</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扣除基建期和运营期生态综合整治费用</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kern w:val="24"/>
          <w:highlight w:val="none"/>
        </w:rPr>
        <w:t>运行费用是指矿井各项环保工程、绿化、环保监测和管理等环境保护工程的运行、管理费用，运行费用按1</w:t>
      </w:r>
      <w:r>
        <w:rPr>
          <w:rFonts w:hint="eastAsia" w:cs="Times New Roman"/>
          <w:color w:val="auto"/>
          <w:kern w:val="24"/>
          <w:highlight w:val="none"/>
          <w:lang w:val="en-US" w:eastAsia="zh-CN"/>
        </w:rPr>
        <w:t>0</w:t>
      </w:r>
      <w:r>
        <w:rPr>
          <w:rFonts w:hint="default" w:ascii="Times New Roman" w:hAnsi="Times New Roman" w:eastAsia="宋体" w:cs="Times New Roman"/>
          <w:color w:val="auto"/>
          <w:kern w:val="24"/>
          <w:highlight w:val="none"/>
        </w:rPr>
        <w:t>%计算，本工程环保工程总运行费用为</w:t>
      </w:r>
      <w:r>
        <w:rPr>
          <w:rFonts w:hint="eastAsia" w:cs="Times New Roman"/>
          <w:color w:val="auto"/>
          <w:kern w:val="24"/>
          <w:highlight w:val="none"/>
          <w:lang w:val="en-US" w:eastAsia="zh-CN"/>
        </w:rPr>
        <w:t>5.8</w:t>
      </w:r>
      <w:r>
        <w:rPr>
          <w:rFonts w:hint="default" w:ascii="Times New Roman" w:hAnsi="Times New Roman" w:eastAsia="宋体" w:cs="Times New Roman"/>
          <w:color w:val="auto"/>
          <w:kern w:val="24"/>
          <w:highlight w:val="none"/>
        </w:rPr>
        <w:t>万元。内部费用总计</w:t>
      </w:r>
      <w:r>
        <w:rPr>
          <w:rFonts w:hint="eastAsia" w:cs="Times New Roman"/>
          <w:color w:val="auto"/>
          <w:kern w:val="24"/>
          <w:highlight w:val="none"/>
          <w:lang w:val="en-US" w:eastAsia="zh-CN"/>
        </w:rPr>
        <w:t>63.8</w:t>
      </w:r>
      <w:r>
        <w:rPr>
          <w:rFonts w:hint="default" w:ascii="Times New Roman" w:hAnsi="Times New Roman" w:eastAsia="宋体" w:cs="Times New Roman"/>
          <w:color w:val="auto"/>
          <w:kern w:val="24"/>
          <w:highlight w:val="none"/>
        </w:rPr>
        <w:t>万元，服务年限内分摊到每年内部费用为</w:t>
      </w:r>
      <w:r>
        <w:rPr>
          <w:rFonts w:hint="eastAsia" w:cs="Times New Roman"/>
          <w:color w:val="auto"/>
          <w:kern w:val="24"/>
          <w:highlight w:val="none"/>
          <w:lang w:val="en-US" w:eastAsia="zh-CN"/>
        </w:rPr>
        <w:t>4.04</w:t>
      </w:r>
      <w:r>
        <w:rPr>
          <w:rFonts w:hint="default" w:ascii="Times New Roman" w:hAnsi="Times New Roman" w:eastAsia="宋体" w:cs="Times New Roman"/>
          <w:color w:val="auto"/>
          <w:kern w:val="24"/>
          <w:highlight w:val="none"/>
        </w:rPr>
        <w:t>万元/a。</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（3）环境保护费用确定</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由上述公式计算可知，本项目年环境保护费用为</w:t>
      </w:r>
      <w:r>
        <w:rPr>
          <w:rFonts w:hint="eastAsia" w:ascii="Times New Roman" w:hAnsi="Times New Roman"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.77</w:t>
      </w:r>
      <w:r>
        <w:rPr>
          <w:rFonts w:hint="default" w:ascii="Times New Roman" w:hAnsi="Times New Roman" w:eastAsia="宋体" w:cs="Times New Roman"/>
          <w:color w:val="auto"/>
          <w:highlight w:val="none"/>
        </w:rPr>
        <w:t>万元/a。</w:t>
      </w:r>
    </w:p>
    <w:p>
      <w:pPr>
        <w:pStyle w:val="5"/>
        <w:bidi w:val="0"/>
        <w:rPr>
          <w:rFonts w:hint="default"/>
          <w:color w:val="auto"/>
          <w:highlight w:val="none"/>
        </w:rPr>
      </w:pPr>
      <w:r>
        <w:rPr>
          <w:rFonts w:hint="default"/>
          <w:color w:val="auto"/>
          <w:highlight w:val="none"/>
        </w:rPr>
        <w:t>年环境损失费用的确定与估算</w:t>
      </w:r>
    </w:p>
    <w:p>
      <w:pPr>
        <w:pStyle w:val="62"/>
        <w:spacing w:line="360" w:lineRule="auto"/>
        <w:ind w:firstLine="480"/>
        <w:rPr>
          <w:rFonts w:hint="default" w:ascii="Times New Roman" w:hAnsi="Times New Roman" w:eastAsia="宋体" w:cs="Times New Roman"/>
          <w:color w:val="auto"/>
          <w:highlight w:val="none"/>
        </w:rPr>
      </w:pPr>
      <w:bookmarkStart w:id="812" w:name="_Toc421524847"/>
      <w:bookmarkStart w:id="813" w:name="_Toc425950088"/>
      <w:bookmarkStart w:id="814" w:name="_Toc422482836"/>
      <w:r>
        <w:rPr>
          <w:rFonts w:hint="default" w:ascii="Times New Roman" w:hAnsi="Times New Roman" w:eastAsia="宋体" w:cs="Times New Roman"/>
          <w:color w:val="auto"/>
          <w:highlight w:val="none"/>
        </w:rPr>
        <w:t>年环境损失费用（Hs）即指项目投产后，每年资源的流失和</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三废</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及噪声排放对环境造成的损失，一级原环境功能发生改变等原因带来的损失。由于本项目排放的</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三废</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均通过比较完善的污染控制工程进行了妥善处理，达到国家排放标准和区域环境规划的目标，对周围环境污染</w:t>
      </w:r>
      <w:r>
        <w:rPr>
          <w:rFonts w:hint="eastAsia" w:ascii="Times New Roman" w:hAnsi="Times New Roman" w:cs="Times New Roman"/>
          <w:color w:val="auto"/>
          <w:highlight w:val="none"/>
          <w:lang w:val="en-US" w:eastAsia="zh-CN"/>
        </w:rPr>
        <w:t>较</w:t>
      </w:r>
      <w:r>
        <w:rPr>
          <w:rFonts w:hint="default" w:ascii="Times New Roman" w:hAnsi="Times New Roman" w:eastAsia="宋体" w:cs="Times New Roman"/>
          <w:color w:val="auto"/>
          <w:highlight w:val="none"/>
        </w:rPr>
        <w:t>小。本项目环境损失主要为地面塌陷检测费、监测与管护费等其他费用。</w:t>
      </w:r>
      <w:r>
        <w:rPr>
          <w:rFonts w:hint="eastAsia" w:ascii="Times New Roman" w:hAnsi="Times New Roman" w:cs="Times New Roman"/>
          <w:color w:val="auto"/>
          <w:highlight w:val="none"/>
          <w:lang w:val="en-US" w:eastAsia="zh-CN"/>
        </w:rPr>
        <w:t>其中</w:t>
      </w:r>
      <w:r>
        <w:rPr>
          <w:rFonts w:hint="default" w:ascii="Times New Roman" w:hAnsi="Times New Roman" w:eastAsia="宋体" w:cs="Times New Roman"/>
          <w:color w:val="auto"/>
          <w:highlight w:val="none"/>
        </w:rPr>
        <w:t>地面塌陷治理预留金26.4702</w:t>
      </w:r>
      <w:r>
        <w:rPr>
          <w:rFonts w:hint="eastAsia" w:ascii="Times New Roman" w:hAnsi="Times New Roman" w:cs="Times New Roman"/>
          <w:color w:val="auto"/>
          <w:highlight w:val="none"/>
          <w:lang w:val="en-US" w:eastAsia="zh-CN"/>
        </w:rPr>
        <w:t>万元，矿山地质环境监测费34.11万元，</w:t>
      </w:r>
      <w:r>
        <w:rPr>
          <w:rFonts w:hint="default" w:ascii="Times New Roman" w:hAnsi="Times New Roman" w:eastAsia="宋体" w:cs="Times New Roman"/>
          <w:color w:val="auto"/>
          <w:highlight w:val="none"/>
        </w:rPr>
        <w:t>年环境损失费用为</w:t>
      </w:r>
      <w:r>
        <w:rPr>
          <w:rFonts w:hint="eastAsia" w:ascii="Times New Roman" w:hAnsi="Times New Roman" w:cs="Times New Roman"/>
          <w:color w:val="auto"/>
          <w:highlight w:val="none"/>
          <w:lang w:val="en-US" w:eastAsia="zh-CN"/>
        </w:rPr>
        <w:t>60.58</w:t>
      </w:r>
      <w:r>
        <w:rPr>
          <w:rFonts w:hint="default" w:ascii="Times New Roman" w:hAnsi="Times New Roman" w:eastAsia="宋体" w:cs="Times New Roman"/>
          <w:color w:val="auto"/>
          <w:highlight w:val="none"/>
        </w:rPr>
        <w:t>万元，项目服务年限为</w:t>
      </w:r>
      <w:r>
        <w:rPr>
          <w:rFonts w:hint="eastAsia" w:cs="Times New Roman"/>
          <w:color w:val="auto"/>
          <w:highlight w:val="none"/>
          <w:lang w:val="en-US" w:eastAsia="zh-CN"/>
        </w:rPr>
        <w:t>15.78</w:t>
      </w:r>
      <w:r>
        <w:rPr>
          <w:rFonts w:hint="default" w:ascii="Times New Roman" w:hAnsi="Times New Roman" w:eastAsia="宋体" w:cs="Times New Roman"/>
          <w:color w:val="auto"/>
          <w:highlight w:val="none"/>
        </w:rPr>
        <w:t>年，分摊到每年为</w:t>
      </w:r>
      <w:r>
        <w:rPr>
          <w:rFonts w:hint="eastAsia" w:ascii="Times New Roman" w:hAnsi="Times New Roman" w:cs="Times New Roman"/>
          <w:color w:val="auto"/>
          <w:highlight w:val="none"/>
          <w:lang w:val="en-US" w:eastAsia="zh-CN"/>
        </w:rPr>
        <w:t>3.84</w:t>
      </w:r>
      <w:r>
        <w:rPr>
          <w:rFonts w:hint="default" w:ascii="Times New Roman" w:hAnsi="Times New Roman" w:eastAsia="宋体" w:cs="Times New Roman"/>
          <w:color w:val="auto"/>
          <w:highlight w:val="none"/>
        </w:rPr>
        <w:t>万元/年。</w:t>
      </w:r>
    </w:p>
    <w:p>
      <w:pPr>
        <w:pStyle w:val="5"/>
        <w:bidi w:val="0"/>
        <w:rPr>
          <w:rFonts w:hint="default"/>
          <w:color w:val="auto"/>
          <w:highlight w:val="none"/>
        </w:rPr>
      </w:pPr>
      <w:r>
        <w:rPr>
          <w:rFonts w:hint="default"/>
          <w:color w:val="auto"/>
          <w:highlight w:val="none"/>
        </w:rPr>
        <w:t>年环境损失费用的确定与估算</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（1）年环境代价</w:t>
      </w:r>
    </w:p>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年环境代价Hd即是项目投入的年环境保护费用Et和年环境损失费用Hs之和，即Hd=Et+Hs。经计算年环境代价Hd为</w:t>
      </w:r>
      <w:r>
        <w:rPr>
          <w:rFonts w:hint="eastAsia" w:ascii="Times New Roman" w:hAnsi="Times New Roman" w:cs="Times New Roman"/>
          <w:color w:val="auto"/>
          <w:highlight w:val="none"/>
          <w:lang w:val="en-US" w:eastAsia="zh-CN"/>
        </w:rPr>
        <w:t>29.61</w:t>
      </w:r>
      <w:r>
        <w:rPr>
          <w:rFonts w:hint="default" w:ascii="Times New Roman" w:hAnsi="Times New Roman" w:eastAsia="宋体" w:cs="Times New Roman"/>
          <w:color w:val="auto"/>
          <w:highlight w:val="none"/>
        </w:rPr>
        <w:t>万元/年。</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（2）环境成本的确定</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环境成本Hb是指开发项目单位产品的环境代价，及Hb=Hd/M，M是产品的产量，经计算，项目的年环境成本为</w:t>
      </w:r>
      <w:r>
        <w:rPr>
          <w:rFonts w:hint="eastAsia" w:cs="Times New Roman"/>
          <w:color w:val="auto"/>
          <w:highlight w:val="none"/>
          <w:lang w:val="en-US" w:eastAsia="zh-CN"/>
        </w:rPr>
        <w:t>5.56</w:t>
      </w:r>
      <w:r>
        <w:rPr>
          <w:rFonts w:hint="default" w:ascii="Times New Roman" w:hAnsi="Times New Roman" w:eastAsia="宋体" w:cs="Times New Roman"/>
          <w:color w:val="auto"/>
          <w:highlight w:val="none"/>
        </w:rPr>
        <w:t>元/吨矿石。</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总的看来，本项目由于采取了完善的污染防治措施，付出的环境代价相对较低。</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（3）环境系数的确定</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环境系数是指年环境代价与年工业产值的比值，即Hx=Hd/Ge。</w:t>
      </w:r>
    </w:p>
    <w:p>
      <w:pPr>
        <w:ind w:firstLine="48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经计算，本项目环境系数为0.0</w:t>
      </w:r>
      <w:r>
        <w:rPr>
          <w:rFonts w:hint="eastAsia" w:cs="Times New Roman"/>
          <w:color w:val="auto"/>
          <w:highlight w:val="none"/>
          <w:lang w:val="en-US" w:eastAsia="zh-CN"/>
        </w:rPr>
        <w:t>24</w:t>
      </w:r>
      <w:r>
        <w:rPr>
          <w:rFonts w:hint="default" w:ascii="Times New Roman" w:hAnsi="Times New Roman" w:eastAsia="宋体" w:cs="Times New Roman"/>
          <w:color w:val="auto"/>
          <w:highlight w:val="none"/>
        </w:rPr>
        <w:t>，说明项目创造1万元的产值，付出的环境代价为</w:t>
      </w:r>
      <w:r>
        <w:rPr>
          <w:rFonts w:hint="eastAsia" w:cs="Times New Roman"/>
          <w:color w:val="auto"/>
          <w:highlight w:val="none"/>
          <w:lang w:val="en-US" w:eastAsia="zh-CN"/>
        </w:rPr>
        <w:t>24</w:t>
      </w:r>
      <w:r>
        <w:rPr>
          <w:rFonts w:hint="default" w:ascii="Times New Roman" w:hAnsi="Times New Roman" w:eastAsia="宋体" w:cs="Times New Roman"/>
          <w:color w:val="auto"/>
          <w:highlight w:val="none"/>
        </w:rPr>
        <w:t>0元。</w:t>
      </w:r>
    </w:p>
    <w:p>
      <w:pPr>
        <w:ind w:firstLine="480" w:firstLineChars="0"/>
        <w:rPr>
          <w:rFonts w:hint="default" w:ascii="Times New Roman" w:hAnsi="Times New Roman" w:eastAsia="宋体" w:cs="Times New Roman"/>
          <w:color w:val="auto"/>
          <w:highlight w:val="none"/>
        </w:rPr>
        <w:sectPr>
          <w:pgSz w:w="11907" w:h="16840"/>
          <w:pgMar w:top="1588" w:right="1418" w:bottom="1418" w:left="1418" w:header="960" w:footer="1200" w:gutter="0"/>
          <w:pgBorders>
            <w:top w:val="none" w:sz="0" w:space="0"/>
            <w:left w:val="none" w:sz="0" w:space="0"/>
            <w:bottom w:val="none" w:sz="0" w:space="0"/>
            <w:right w:val="none" w:sz="0" w:space="0"/>
          </w:pgBorders>
          <w:pgNumType w:fmt="decimal"/>
          <w:cols w:space="720" w:num="1"/>
          <w:docGrid w:linePitch="501" w:charSpace="0"/>
        </w:sectPr>
      </w:pPr>
      <w:r>
        <w:rPr>
          <w:rFonts w:hint="default" w:ascii="Times New Roman" w:hAnsi="Times New Roman" w:eastAsia="宋体" w:cs="Times New Roman"/>
          <w:color w:val="auto"/>
          <w:highlight w:val="none"/>
        </w:rPr>
        <w:t>综上所述，本项目如认真落实环评中提出的各项环境保护措施，保证项目的环境可行性，将具有较为良好的社会效益、经济效益及环境效益。项目建设运行，有利于增强地方经济实力、财力、增加就业机会；增强企业的盈利能力和资源综合利用水平；有利于地方产业结构的调整；大大改善了环境资源的利用效率。因此，在社会效益、经济效益和环境效益三个方面都是可行的。此外，应当注意生产过程中加强设备的管理、职工培训、严格操作规程，保证生产设备和环保设施的正常运行，确保环境保护要求的防止措施得到实施。这样，本项目的环境经济效益才能达到预期的效果。</w:t>
      </w:r>
    </w:p>
    <w:bookmarkEnd w:id="812"/>
    <w:bookmarkEnd w:id="813"/>
    <w:bookmarkEnd w:id="814"/>
    <w:p>
      <w:pPr>
        <w:pStyle w:val="3"/>
        <w:bidi w:val="0"/>
        <w:rPr>
          <w:rFonts w:hint="default"/>
          <w:color w:val="auto"/>
          <w:highlight w:val="none"/>
        </w:rPr>
      </w:pPr>
      <w:bookmarkStart w:id="815" w:name="_Toc515537887"/>
      <w:bookmarkStart w:id="816" w:name="_Toc369000303"/>
      <w:bookmarkStart w:id="817" w:name="_Toc15376234"/>
      <w:bookmarkStart w:id="818" w:name="_Toc450827214"/>
      <w:bookmarkStart w:id="819" w:name="_Toc377022618"/>
      <w:bookmarkStart w:id="820" w:name="_Toc395187074"/>
      <w:bookmarkStart w:id="821" w:name="_Toc25357"/>
      <w:r>
        <w:rPr>
          <w:rFonts w:hint="default"/>
          <w:color w:val="auto"/>
          <w:highlight w:val="none"/>
        </w:rPr>
        <w:t>结论</w:t>
      </w:r>
      <w:bookmarkEnd w:id="815"/>
      <w:bookmarkEnd w:id="816"/>
      <w:bookmarkEnd w:id="817"/>
      <w:bookmarkEnd w:id="818"/>
      <w:bookmarkEnd w:id="819"/>
      <w:bookmarkEnd w:id="820"/>
      <w:bookmarkEnd w:id="821"/>
    </w:p>
    <w:p>
      <w:pPr>
        <w:pStyle w:val="4"/>
        <w:bidi w:val="0"/>
        <w:ind w:left="0" w:leftChars="0" w:firstLineChars="0"/>
        <w:rPr>
          <w:rFonts w:hint="default"/>
          <w:color w:val="auto"/>
          <w:highlight w:val="none"/>
        </w:rPr>
      </w:pPr>
      <w:bookmarkStart w:id="822" w:name="_Toc21573"/>
      <w:bookmarkStart w:id="823" w:name="_Toc15376235"/>
      <w:bookmarkStart w:id="824" w:name="_Toc515537888"/>
      <w:bookmarkStart w:id="825" w:name="_Toc450827215"/>
      <w:r>
        <w:rPr>
          <w:rFonts w:hint="default"/>
          <w:color w:val="auto"/>
          <w:highlight w:val="none"/>
        </w:rPr>
        <w:t>项目概况</w:t>
      </w:r>
      <w:bookmarkEnd w:id="822"/>
      <w:bookmarkEnd w:id="823"/>
      <w:bookmarkEnd w:id="824"/>
      <w:bookmarkEnd w:id="825"/>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eastAsia="zh-CN"/>
        </w:rPr>
        <w:t>岫岩满族自治县苏子沟镇大何家堡村钾长石矿开采15万t</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eastAsia="zh-CN"/>
        </w:rPr>
        <w:t>a钾长石矿石项目</w:t>
      </w:r>
      <w:r>
        <w:rPr>
          <w:rFonts w:hint="default" w:ascii="Times New Roman" w:hAnsi="Times New Roman" w:eastAsia="宋体" w:cs="Times New Roman"/>
          <w:color w:val="auto"/>
          <w:highlight w:val="none"/>
        </w:rPr>
        <w:t>位于位于岫岩县</w:t>
      </w:r>
      <w:r>
        <w:rPr>
          <w:rFonts w:hint="default" w:ascii="Times New Roman" w:hAnsi="Times New Roman" w:eastAsia="宋体" w:cs="Times New Roman"/>
          <w:color w:val="auto"/>
          <w:highlight w:val="none"/>
          <w:lang w:eastAsia="zh-CN"/>
        </w:rPr>
        <w:t>苏子沟镇</w:t>
      </w:r>
      <w:r>
        <w:rPr>
          <w:rFonts w:hint="default" w:ascii="Times New Roman" w:hAnsi="Times New Roman" w:eastAsia="宋体" w:cs="Times New Roman"/>
          <w:color w:val="auto"/>
          <w:highlight w:val="none"/>
        </w:rPr>
        <w:t>，行政区划隶属于辽宁省岫岩县</w:t>
      </w:r>
      <w:r>
        <w:rPr>
          <w:rFonts w:hint="default" w:ascii="Times New Roman" w:hAnsi="Times New Roman" w:eastAsia="宋体" w:cs="Times New Roman"/>
          <w:color w:val="auto"/>
          <w:highlight w:val="none"/>
          <w:lang w:eastAsia="zh-CN"/>
        </w:rPr>
        <w:t>苏子沟镇大何家堡村</w:t>
      </w:r>
      <w:r>
        <w:rPr>
          <w:rFonts w:hint="default" w:ascii="Times New Roman" w:hAnsi="Times New Roman" w:eastAsia="宋体" w:cs="Times New Roman"/>
          <w:color w:val="auto"/>
          <w:highlight w:val="none"/>
        </w:rPr>
        <w:t>管辖。矿区中心地理坐标：东经123°22′15.15743″，北纬40°26′59.14054″。本项目矿区范围由</w:t>
      </w:r>
      <w:r>
        <w:rPr>
          <w:rFonts w:hint="default"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个拐点构成</w:t>
      </w:r>
      <w:r>
        <w:rPr>
          <w:rStyle w:val="320"/>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矿区面积为</w:t>
      </w:r>
      <w:r>
        <w:rPr>
          <w:rFonts w:hint="default" w:ascii="Times New Roman" w:hAnsi="Times New Roman" w:eastAsia="宋体" w:cs="Times New Roman"/>
          <w:color w:val="auto"/>
          <w:highlight w:val="none"/>
          <w:lang w:eastAsia="zh-CN"/>
        </w:rPr>
        <w:t>0.4780km</w:t>
      </w:r>
      <w:r>
        <w:rPr>
          <w:rFonts w:hint="default" w:ascii="Times New Roman" w:hAnsi="Times New Roman" w:eastAsia="宋体" w:cs="Times New Roman"/>
          <w:color w:val="auto"/>
          <w:highlight w:val="none"/>
          <w:vertAlign w:val="superscript"/>
          <w:lang w:eastAsia="zh-CN"/>
        </w:rPr>
        <w:t>2</w:t>
      </w:r>
      <w:r>
        <w:rPr>
          <w:rFonts w:hint="default" w:ascii="Times New Roman" w:hAnsi="Times New Roman" w:eastAsia="宋体" w:cs="Times New Roman"/>
          <w:color w:val="auto"/>
          <w:highlight w:val="none"/>
        </w:rPr>
        <w:t>，设计采用露天、地下两种方式开采区内6条矿体，共设1套地下、2套露天计3套开采工艺系统。其中：地下系统开采K1和K2矿体，露天一采场开采K3和K4矿体，露天二采场开采K5和K6矿体。设计利用资源量合计236.703万t。其中：控制资源量70.813万t，推断资源量165.89万t。矿山生产规模15万吨/年，服务年限为15.78a（不含基建期）</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项目建设总投资</w:t>
      </w:r>
      <w:r>
        <w:rPr>
          <w:rFonts w:hint="default" w:ascii="Times New Roman" w:hAnsi="Times New Roman" w:eastAsia="宋体" w:cs="Times New Roman"/>
          <w:color w:val="auto"/>
          <w:highlight w:val="none"/>
          <w:lang w:eastAsia="zh-CN"/>
        </w:rPr>
        <w:t>1006.67</w:t>
      </w:r>
      <w:r>
        <w:rPr>
          <w:rFonts w:hint="default" w:ascii="Times New Roman" w:hAnsi="Times New Roman" w:eastAsia="宋体" w:cs="Times New Roman"/>
          <w:color w:val="auto"/>
          <w:highlight w:val="none"/>
        </w:rPr>
        <w:t>万元。</w:t>
      </w:r>
    </w:p>
    <w:p>
      <w:pPr>
        <w:pStyle w:val="4"/>
        <w:bidi w:val="0"/>
        <w:ind w:left="0" w:leftChars="0" w:firstLineChars="0"/>
        <w:rPr>
          <w:rFonts w:hint="default"/>
          <w:color w:val="auto"/>
          <w:highlight w:val="none"/>
        </w:rPr>
      </w:pPr>
      <w:bookmarkStart w:id="826" w:name="_Toc15573"/>
      <w:r>
        <w:rPr>
          <w:rFonts w:hint="default"/>
          <w:color w:val="auto"/>
          <w:highlight w:val="none"/>
          <w:lang w:val="en-US" w:eastAsia="zh-CN"/>
        </w:rPr>
        <w:t>环境质量现状评价结论</w:t>
      </w:r>
      <w:bookmarkEnd w:id="826"/>
    </w:p>
    <w:p>
      <w:pPr>
        <w:pStyle w:val="5"/>
        <w:bidi w:val="0"/>
        <w:rPr>
          <w:rFonts w:hint="default"/>
          <w:color w:val="auto"/>
          <w:highlight w:val="none"/>
        </w:rPr>
      </w:pPr>
      <w:bookmarkStart w:id="827" w:name="_Toc450827217"/>
      <w:r>
        <w:rPr>
          <w:rFonts w:hint="default"/>
          <w:color w:val="auto"/>
          <w:highlight w:val="none"/>
        </w:rPr>
        <w:t>环境空气质量现状</w:t>
      </w:r>
      <w:bookmarkEnd w:id="827"/>
    </w:p>
    <w:p>
      <w:pPr>
        <w:ind w:firstLine="480"/>
        <w:rPr>
          <w:rFonts w:hint="default" w:ascii="Times New Roman" w:hAnsi="Times New Roman" w:eastAsia="宋体" w:cs="Times New Roman"/>
          <w:color w:val="auto"/>
          <w:highlight w:val="none"/>
          <w:lang w:val="zh-CN"/>
        </w:rPr>
      </w:pPr>
      <w:bookmarkStart w:id="828" w:name="_Toc450827219"/>
      <w:r>
        <w:rPr>
          <w:rFonts w:hint="default" w:ascii="Times New Roman" w:hAnsi="Times New Roman" w:eastAsia="宋体" w:cs="Times New Roman"/>
          <w:color w:val="auto"/>
          <w:highlight w:val="none"/>
        </w:rPr>
        <w:t>根据环境主管部门公布的数据：鞍山市20</w:t>
      </w:r>
      <w:r>
        <w:rPr>
          <w:rFonts w:hint="eastAsia" w:ascii="Times New Roman" w:hAnsi="Times New Roman" w:eastAsia="宋体" w:cs="Times New Roman"/>
          <w:color w:val="auto"/>
          <w:highlight w:val="none"/>
          <w:lang w:val="en-US" w:eastAsia="zh-CN"/>
        </w:rPr>
        <w:t>21</w:t>
      </w:r>
      <w:r>
        <w:rPr>
          <w:rFonts w:hint="default" w:ascii="Times New Roman" w:hAnsi="Times New Roman" w:eastAsia="宋体" w:cs="Times New Roman"/>
          <w:color w:val="auto"/>
          <w:highlight w:val="none"/>
        </w:rPr>
        <w:t>年SO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年均浓度分别为</w:t>
      </w:r>
      <w:r>
        <w:rPr>
          <w:rFonts w:hint="default" w:ascii="Times New Roman" w:hAnsi="Times New Roman" w:eastAsia="宋体" w:cs="Times New Roman"/>
          <w:color w:val="auto"/>
          <w:highlight w:val="none"/>
          <w:lang w:val="en-US" w:eastAsia="zh-CN"/>
        </w:rPr>
        <w:t>18</w:t>
      </w:r>
      <w:r>
        <w:rPr>
          <w:rFonts w:hint="default" w:ascii="Times New Roman" w:hAnsi="Times New Roman" w:eastAsia="宋体" w:cs="Times New Roman"/>
          <w:color w:val="auto"/>
          <w:highlight w:val="none"/>
        </w:rPr>
        <w:t>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、3</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81</w:t>
      </w:r>
      <w:r>
        <w:rPr>
          <w:rFonts w:hint="default" w:ascii="Times New Roman" w:hAnsi="Times New Roman" w:eastAsia="宋体" w:cs="Times New Roman"/>
          <w:color w:val="auto"/>
          <w:highlight w:val="none"/>
        </w:rPr>
        <w:t>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、4</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；CO</w:t>
      </w:r>
      <w:r>
        <w:rPr>
          <w:rFonts w:hint="default" w:ascii="Times New Roman" w:hAnsi="Times New Roman" w:eastAsia="宋体" w:cs="Times New Roman"/>
          <w:color w:val="auto"/>
          <w:highlight w:val="none"/>
          <w:vertAlign w:val="subscript"/>
        </w:rPr>
        <w:t>24</w:t>
      </w:r>
      <w:r>
        <w:rPr>
          <w:rFonts w:hint="default" w:ascii="Times New Roman" w:hAnsi="Times New Roman" w:eastAsia="宋体" w:cs="Times New Roman"/>
          <w:color w:val="auto"/>
          <w:highlight w:val="none"/>
        </w:rPr>
        <w:t>小时平均第95百分位数为2.</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mg/m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日最大8小时平均第90百分位数为15</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ug/m</w:t>
      </w:r>
      <w:r>
        <w:rPr>
          <w:rFonts w:hint="default" w:ascii="Times New Roman" w:hAnsi="Times New Roman" w:eastAsia="宋体" w:cs="Times New Roman"/>
          <w:color w:val="auto"/>
          <w:highlight w:val="none"/>
          <w:vertAlign w:val="superscript"/>
        </w:rPr>
        <w:t>3</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监测值超过《环境空气质量标准》（GB3095-2012）中的二级标准要求，判定为不达标区</w:t>
      </w:r>
      <w:r>
        <w:rPr>
          <w:rFonts w:hint="default" w:ascii="Times New Roman" w:hAnsi="Times New Roman" w:eastAsia="宋体" w:cs="Times New Roman"/>
          <w:color w:val="auto"/>
          <w:highlight w:val="none"/>
          <w:lang w:val="zh-CN"/>
        </w:rPr>
        <w:t>。</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根据补充监测结果看，项目所在地TSP如均浓度单项污染指数小于1，表明区域空气质量能满足功能区划要求，技能满足《环境空气质量标准》（GB3095-2012）中二级标准要求。</w:t>
      </w:r>
    </w:p>
    <w:p>
      <w:pPr>
        <w:pStyle w:val="5"/>
        <w:bidi w:val="0"/>
        <w:rPr>
          <w:rFonts w:hint="default"/>
          <w:color w:val="auto"/>
          <w:highlight w:val="none"/>
        </w:rPr>
      </w:pPr>
      <w:r>
        <w:rPr>
          <w:rFonts w:hint="default"/>
          <w:color w:val="auto"/>
          <w:highlight w:val="none"/>
        </w:rPr>
        <w:t>地下水环境质量现状</w:t>
      </w:r>
      <w:bookmarkEnd w:id="828"/>
    </w:p>
    <w:p>
      <w:pPr>
        <w:pStyle w:val="78"/>
        <w:ind w:firstLine="488"/>
        <w:rPr>
          <w:rFonts w:hint="default" w:ascii="Times New Roman" w:hAnsi="Times New Roman" w:eastAsia="宋体" w:cs="Times New Roman"/>
          <w:color w:val="auto"/>
          <w:highlight w:val="none"/>
        </w:rPr>
      </w:pPr>
      <w:bookmarkStart w:id="829" w:name="_Toc450827220"/>
      <w:r>
        <w:rPr>
          <w:rFonts w:hint="default" w:ascii="Times New Roman" w:hAnsi="Times New Roman" w:eastAsia="宋体" w:cs="Times New Roman"/>
          <w:color w:val="auto"/>
          <w:highlight w:val="none"/>
        </w:rPr>
        <w:t>本次</w:t>
      </w:r>
      <w:r>
        <w:rPr>
          <w:rFonts w:hint="default"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眼监测井所有的监测因子均满足《地下水质量标准》(GB/T14848-2017)Ⅲ类标准要求，评价区内地下水质量较好。</w:t>
      </w:r>
    </w:p>
    <w:p>
      <w:pPr>
        <w:pStyle w:val="5"/>
        <w:bidi w:val="0"/>
        <w:rPr>
          <w:rFonts w:hint="default"/>
          <w:color w:val="auto"/>
          <w:highlight w:val="none"/>
        </w:rPr>
      </w:pPr>
      <w:bookmarkStart w:id="830" w:name="_Toc256362253"/>
      <w:bookmarkStart w:id="831" w:name="_Toc258687286"/>
      <w:r>
        <w:rPr>
          <w:rFonts w:hint="default"/>
          <w:color w:val="auto"/>
          <w:highlight w:val="none"/>
        </w:rPr>
        <w:t>地表水</w:t>
      </w:r>
      <w:bookmarkEnd w:id="830"/>
      <w:bookmarkEnd w:id="831"/>
      <w:r>
        <w:rPr>
          <w:rFonts w:hint="default"/>
          <w:color w:val="auto"/>
          <w:highlight w:val="none"/>
        </w:rPr>
        <w:t>环境质量现状</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项目东侧</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进行地表水环境质量现状监测</w:t>
      </w:r>
      <w:r>
        <w:rPr>
          <w:rFonts w:hint="default" w:ascii="Times New Roman" w:hAnsi="Times New Roman" w:eastAsia="宋体" w:cs="Times New Roman"/>
          <w:color w:val="auto"/>
          <w:highlight w:val="none"/>
          <w:lang w:val="en-US" w:eastAsia="zh-CN"/>
        </w:rPr>
        <w:t>结果表明，</w:t>
      </w:r>
      <w:r>
        <w:rPr>
          <w:rFonts w:hint="default" w:ascii="Times New Roman" w:hAnsi="Times New Roman" w:eastAsia="宋体" w:cs="Times New Roman"/>
          <w:color w:val="auto"/>
          <w:highlight w:val="none"/>
          <w:lang w:eastAsia="zh-CN"/>
        </w:rPr>
        <w:t>牤牛河</w:t>
      </w:r>
      <w:r>
        <w:rPr>
          <w:rFonts w:hint="default" w:ascii="Times New Roman" w:hAnsi="Times New Roman" w:eastAsia="宋体" w:cs="Times New Roman"/>
          <w:color w:val="auto"/>
          <w:highlight w:val="none"/>
        </w:rPr>
        <w:t>现状监测点各监测指标均能满足《地表水环境质量标准》（GB3838-2002）Ⅱ类标准。</w:t>
      </w:r>
    </w:p>
    <w:p>
      <w:pPr>
        <w:pStyle w:val="5"/>
        <w:bidi w:val="0"/>
        <w:rPr>
          <w:rFonts w:hint="default"/>
          <w:color w:val="auto"/>
          <w:highlight w:val="none"/>
        </w:rPr>
      </w:pPr>
      <w:r>
        <w:rPr>
          <w:rFonts w:hint="default"/>
          <w:color w:val="auto"/>
          <w:highlight w:val="none"/>
        </w:rPr>
        <w:t>声环境质量现状</w:t>
      </w:r>
      <w:bookmarkEnd w:id="829"/>
    </w:p>
    <w:p>
      <w:pPr>
        <w:ind w:firstLine="480"/>
        <w:rPr>
          <w:rFonts w:hint="default" w:ascii="Times New Roman" w:hAnsi="Times New Roman" w:eastAsia="宋体" w:cs="Times New Roman"/>
          <w:color w:val="auto"/>
          <w:highlight w:val="none"/>
          <w:lang w:val="zh-CN"/>
        </w:rPr>
      </w:pPr>
      <w:r>
        <w:rPr>
          <w:rFonts w:hint="default" w:ascii="Times New Roman" w:hAnsi="Times New Roman" w:eastAsia="宋体" w:cs="Times New Roman"/>
          <w:color w:val="auto"/>
          <w:highlight w:val="none"/>
        </w:rPr>
        <w:t>本次噪声监测在厂界共布设</w:t>
      </w:r>
      <w:r>
        <w:rPr>
          <w:rFonts w:hint="default" w:ascii="Times New Roman" w:hAnsi="Times New Roman" w:eastAsia="宋体" w:cs="Times New Roman"/>
          <w:color w:val="auto"/>
          <w:highlight w:val="none"/>
          <w:lang w:val="en-US" w:eastAsia="zh-CN"/>
        </w:rPr>
        <w:t>4</w:t>
      </w:r>
      <w:r>
        <w:rPr>
          <w:rFonts w:hint="default" w:ascii="Times New Roman" w:hAnsi="Times New Roman" w:eastAsia="宋体" w:cs="Times New Roman"/>
          <w:color w:val="auto"/>
          <w:highlight w:val="none"/>
        </w:rPr>
        <w:t>个监测点位，各噪声昼、夜间监测结果均符</w:t>
      </w:r>
      <w:r>
        <w:rPr>
          <w:rFonts w:hint="default" w:ascii="Times New Roman" w:hAnsi="Times New Roman" w:eastAsia="宋体" w:cs="Times New Roman"/>
          <w:color w:val="auto"/>
          <w:highlight w:val="none"/>
          <w:lang w:val="zh-CN"/>
        </w:rPr>
        <w:t>合</w:t>
      </w:r>
      <w:r>
        <w:rPr>
          <w:rFonts w:hint="default" w:ascii="Times New Roman" w:hAnsi="Times New Roman" w:eastAsia="宋体" w:cs="Times New Roman"/>
          <w:color w:val="auto"/>
          <w:highlight w:val="none"/>
        </w:rPr>
        <w:t>《工业企业厂界环境噪声排放标准》（GB12348-2008）</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类标准</w:t>
      </w:r>
      <w:r>
        <w:rPr>
          <w:rFonts w:hint="default" w:ascii="Times New Roman" w:hAnsi="Times New Roman" w:eastAsia="宋体" w:cs="Times New Roman"/>
          <w:color w:val="auto"/>
          <w:spacing w:val="2"/>
          <w:kern w:val="0"/>
          <w:szCs w:val="21"/>
          <w:highlight w:val="none"/>
        </w:rPr>
        <w:t>的限值要求，</w:t>
      </w:r>
      <w:r>
        <w:rPr>
          <w:rFonts w:hint="default" w:ascii="Times New Roman" w:hAnsi="Times New Roman" w:eastAsia="宋体" w:cs="Times New Roman"/>
          <w:color w:val="auto"/>
          <w:highlight w:val="none"/>
          <w:lang w:val="zh-CN"/>
        </w:rPr>
        <w:t>未见超标现象。在环境敏感点处设置1个监测点位，</w:t>
      </w:r>
      <w:r>
        <w:rPr>
          <w:rFonts w:hint="default" w:ascii="Times New Roman" w:hAnsi="Times New Roman" w:eastAsia="宋体" w:cs="Times New Roman"/>
          <w:color w:val="auto"/>
          <w:highlight w:val="none"/>
        </w:rPr>
        <w:t>噪声敏感点昼、夜间监测结果均符</w:t>
      </w:r>
      <w:r>
        <w:rPr>
          <w:rFonts w:hint="default" w:ascii="Times New Roman" w:hAnsi="Times New Roman" w:eastAsia="宋体" w:cs="Times New Roman"/>
          <w:color w:val="auto"/>
          <w:highlight w:val="none"/>
          <w:lang w:val="zh-CN"/>
        </w:rPr>
        <w:t>合</w:t>
      </w:r>
      <w:r>
        <w:rPr>
          <w:rFonts w:hint="default" w:ascii="Times New Roman" w:hAnsi="Times New Roman" w:eastAsia="宋体" w:cs="Times New Roman"/>
          <w:color w:val="auto"/>
          <w:spacing w:val="2"/>
          <w:kern w:val="0"/>
          <w:szCs w:val="21"/>
          <w:highlight w:val="none"/>
        </w:rPr>
        <w:t>《声环境质量标准》（GB3096-2008）1类标准的限值要求。</w:t>
      </w:r>
      <w:r>
        <w:rPr>
          <w:rFonts w:hint="default" w:ascii="Times New Roman" w:hAnsi="Times New Roman" w:eastAsia="宋体" w:cs="Times New Roman"/>
          <w:color w:val="auto"/>
          <w:highlight w:val="none"/>
          <w:lang w:val="zh-CN"/>
        </w:rPr>
        <w:t>区域内声环境质量现状良好。</w:t>
      </w:r>
    </w:p>
    <w:p>
      <w:pPr>
        <w:pStyle w:val="5"/>
        <w:bidi w:val="0"/>
        <w:rPr>
          <w:rFonts w:hint="default"/>
          <w:color w:val="auto"/>
          <w:highlight w:val="none"/>
        </w:rPr>
      </w:pPr>
      <w:r>
        <w:rPr>
          <w:rFonts w:hint="default"/>
          <w:color w:val="auto"/>
          <w:highlight w:val="none"/>
        </w:rPr>
        <w:t>土壤环境质量现状</w:t>
      </w:r>
    </w:p>
    <w:p>
      <w:pPr>
        <w:ind w:firstLine="600" w:firstLineChars="25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评价区土壤类型为棕壤，区域土壤环境质量满足《土壤环境质量标准建设用地土壤污染风险管控标准》（试行）(GB36600-2018)第二类用地筛选值要求。</w:t>
      </w:r>
    </w:p>
    <w:p>
      <w:pPr>
        <w:pStyle w:val="5"/>
        <w:bidi w:val="0"/>
        <w:rPr>
          <w:rFonts w:hint="default"/>
          <w:color w:val="auto"/>
          <w:highlight w:val="none"/>
        </w:rPr>
      </w:pPr>
      <w:bookmarkStart w:id="832" w:name="_Toc450827221"/>
      <w:r>
        <w:rPr>
          <w:rFonts w:hint="default"/>
          <w:color w:val="auto"/>
          <w:highlight w:val="none"/>
        </w:rPr>
        <w:t>生态环境质量现状</w:t>
      </w:r>
      <w:bookmarkEnd w:id="832"/>
    </w:p>
    <w:p>
      <w:pPr>
        <w:spacing w:beforeLines="0" w:afterLines="0"/>
        <w:jc w:val="left"/>
        <w:rPr>
          <w:rFonts w:hint="eastAsia" w:ascii="宋体" w:hAnsi="宋体" w:eastAsia="宋体"/>
          <w:color w:val="auto"/>
          <w:sz w:val="24"/>
          <w:szCs w:val="24"/>
        </w:rPr>
      </w:pPr>
      <w:bookmarkStart w:id="833" w:name="_Toc450827222"/>
      <w:bookmarkStart w:id="834" w:name="_Toc515537890"/>
      <w:bookmarkStart w:id="835" w:name="_Toc316410484"/>
      <w:bookmarkStart w:id="836" w:name="_Toc15376237"/>
      <w:bookmarkStart w:id="837" w:name="_Toc213732088"/>
      <w:r>
        <w:rPr>
          <w:rFonts w:hint="eastAsia" w:ascii="宋体" w:hAnsi="宋体" w:eastAsia="宋体"/>
          <w:color w:val="auto"/>
          <w:sz w:val="24"/>
          <w:szCs w:val="24"/>
        </w:rPr>
        <w:t>评价区域对矿产资源开发利用多年，已经形成半自然生态系统（森林生态系统）与人工生态系统（工矿生态系统）。</w:t>
      </w:r>
    </w:p>
    <w:p>
      <w:pPr>
        <w:spacing w:beforeLines="0" w:afterLines="0"/>
        <w:jc w:val="left"/>
        <w:rPr>
          <w:rFonts w:hint="eastAsia" w:ascii="宋体" w:hAnsi="宋体" w:eastAsia="宋体"/>
          <w:color w:val="auto"/>
          <w:sz w:val="24"/>
          <w:szCs w:val="24"/>
        </w:rPr>
      </w:pPr>
      <w:r>
        <w:rPr>
          <w:rFonts w:hint="default" w:ascii="Times New Roman" w:hAnsi="Times New Roman" w:eastAsia="宋体" w:cs="Times New Roman"/>
          <w:color w:val="auto"/>
          <w:highlight w:val="none"/>
          <w:lang w:val="en-US" w:eastAsia="zh-CN"/>
        </w:rPr>
        <w:t>矿山已有20多年开采历史，建矿初期进行过露天开采，形成4个露天采坑</w:t>
      </w:r>
      <w:r>
        <w:rPr>
          <w:rFonts w:hint="default" w:ascii="Times New Roman" w:hAnsi="Times New Roman" w:eastAsia="宋体" w:cs="Times New Roman"/>
          <w:bCs/>
          <w:color w:val="auto"/>
          <w:sz w:val="24"/>
          <w:highlight w:val="none"/>
        </w:rPr>
        <w:t>。</w:t>
      </w:r>
      <w:r>
        <w:rPr>
          <w:rFonts w:hint="default" w:ascii="Times New Roman" w:hAnsi="Times New Roman" w:eastAsia="宋体" w:cs="Times New Roman"/>
          <w:color w:val="auto"/>
          <w:highlight w:val="none"/>
          <w:lang w:val="en-US" w:eastAsia="zh-CN"/>
        </w:rPr>
        <w:t>均已荒废多年，无近期开采痕迹。2016年后开采方式改为地下开采，</w:t>
      </w:r>
      <w:r>
        <w:rPr>
          <w:rFonts w:hint="default" w:ascii="Times New Roman" w:hAnsi="Times New Roman" w:eastAsia="宋体" w:cs="Times New Roman"/>
          <w:color w:val="auto"/>
          <w:highlight w:val="none"/>
          <w:lang w:eastAsia="zh-CN"/>
        </w:rPr>
        <w:t>受市场行情影响</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highlight w:val="none"/>
          <w:lang w:eastAsia="zh-CN"/>
        </w:rPr>
        <w:t>仅</w:t>
      </w:r>
      <w:r>
        <w:rPr>
          <w:rFonts w:hint="default" w:ascii="Times New Roman" w:hAnsi="Times New Roman" w:eastAsia="宋体" w:cs="Times New Roman"/>
          <w:color w:val="auto"/>
          <w:highlight w:val="none"/>
          <w:lang w:val="en-US" w:eastAsia="zh-CN"/>
        </w:rPr>
        <w:t>在施工过程形成</w:t>
      </w:r>
      <w:r>
        <w:rPr>
          <w:rFonts w:hint="default" w:ascii="Times New Roman" w:hAnsi="Times New Roman" w:eastAsia="宋体" w:cs="Times New Roman"/>
          <w:color w:val="auto"/>
          <w:highlight w:val="none"/>
          <w:lang w:eastAsia="zh-CN"/>
        </w:rPr>
        <w:t>平硐</w:t>
      </w:r>
      <w:r>
        <w:rPr>
          <w:rFonts w:hint="default" w:ascii="Times New Roman" w:hAnsi="Times New Roman" w:eastAsia="宋体" w:cs="Times New Roman"/>
          <w:color w:val="auto"/>
          <w:highlight w:val="none"/>
          <w:lang w:val="en-US" w:eastAsia="zh-CN"/>
        </w:rPr>
        <w:t>峒口2处</w:t>
      </w:r>
      <w:r>
        <w:rPr>
          <w:rFonts w:hint="default" w:ascii="Times New Roman" w:hAnsi="Times New Roman" w:eastAsia="宋体" w:cs="Times New Roman"/>
          <w:color w:val="auto"/>
          <w:highlight w:val="none"/>
          <w:lang w:eastAsia="zh-CN"/>
        </w:rPr>
        <w:t>，项目一直未正式投入运行。矿区内零零散散的堆积着</w:t>
      </w:r>
      <w:r>
        <w:rPr>
          <w:rFonts w:hint="default" w:ascii="Times New Roman" w:hAnsi="Times New Roman" w:eastAsia="宋体" w:cs="Times New Roman"/>
          <w:color w:val="auto"/>
          <w:highlight w:val="none"/>
          <w:lang w:val="en-US" w:eastAsia="zh-CN"/>
        </w:rPr>
        <w:t>多</w:t>
      </w:r>
      <w:r>
        <w:rPr>
          <w:rFonts w:hint="default" w:ascii="Times New Roman" w:hAnsi="Times New Roman" w:eastAsia="宋体" w:cs="Times New Roman"/>
          <w:color w:val="auto"/>
          <w:highlight w:val="none"/>
          <w:lang w:eastAsia="zh-CN"/>
        </w:rPr>
        <w:t>处排岩</w:t>
      </w:r>
      <w:r>
        <w:rPr>
          <w:rFonts w:hint="default" w:ascii="Times New Roman" w:hAnsi="Times New Roman" w:eastAsia="宋体" w:cs="Times New Roman"/>
          <w:color w:val="auto"/>
          <w:sz w:val="24"/>
          <w:szCs w:val="24"/>
          <w:highlight w:val="none"/>
        </w:rPr>
        <w:t>场，近些年通过自然恢复和矿山治理，部分排岩场已经恢复植被。</w:t>
      </w:r>
      <w:r>
        <w:rPr>
          <w:rFonts w:hint="eastAsia" w:ascii="宋体" w:hAnsi="宋体" w:eastAsia="宋体"/>
          <w:color w:val="auto"/>
          <w:sz w:val="24"/>
          <w:szCs w:val="24"/>
        </w:rPr>
        <w:t>针对该现状，建设单位需加大治理力度，集中整治矿区历史开采过程中以及本项目施工、运营过程中各种工业生产活动带来的对环境不良影响的行为，对环境的破坏严重地区依据</w:t>
      </w:r>
      <w:r>
        <w:rPr>
          <w:rFonts w:hint="eastAsia" w:ascii="TimesNewRomanPSMT" w:hAnsi="TimesNewRomanPSMT" w:eastAsia="TimesNewRomanPSMT"/>
          <w:color w:val="auto"/>
          <w:sz w:val="24"/>
          <w:szCs w:val="24"/>
        </w:rPr>
        <w:t>“</w:t>
      </w:r>
      <w:r>
        <w:rPr>
          <w:rFonts w:hint="eastAsia" w:ascii="宋体" w:hAnsi="宋体" w:eastAsia="宋体"/>
          <w:color w:val="auto"/>
          <w:sz w:val="24"/>
          <w:szCs w:val="24"/>
        </w:rPr>
        <w:t>谁开发谁保护，谁破坏谁治理</w:t>
      </w:r>
      <w:r>
        <w:rPr>
          <w:rFonts w:hint="eastAsia" w:ascii="TimesNewRomanPSMT" w:hAnsi="TimesNewRomanPSMT" w:eastAsia="TimesNewRomanPSMT"/>
          <w:color w:val="auto"/>
          <w:sz w:val="24"/>
          <w:szCs w:val="24"/>
        </w:rPr>
        <w:t>”</w:t>
      </w:r>
      <w:r>
        <w:rPr>
          <w:rFonts w:hint="eastAsia" w:ascii="宋体" w:hAnsi="宋体" w:eastAsia="宋体"/>
          <w:color w:val="auto"/>
          <w:sz w:val="24"/>
          <w:szCs w:val="24"/>
        </w:rPr>
        <w:t>的原则进行恢复与重建。</w:t>
      </w:r>
    </w:p>
    <w:p>
      <w:pPr>
        <w:spacing w:beforeLines="0" w:afterLines="0"/>
        <w:jc w:val="left"/>
        <w:rPr>
          <w:rFonts w:hint="eastAsia" w:ascii="宋体" w:hAnsi="宋体" w:eastAsia="宋体"/>
          <w:color w:val="auto"/>
          <w:sz w:val="24"/>
          <w:szCs w:val="24"/>
        </w:rPr>
      </w:pPr>
      <w:r>
        <w:rPr>
          <w:rFonts w:hint="eastAsia" w:ascii="宋体" w:hAnsi="宋体" w:eastAsia="宋体"/>
          <w:color w:val="auto"/>
          <w:sz w:val="24"/>
          <w:szCs w:val="24"/>
        </w:rPr>
        <w:t>从总体情况看，项目所在区域环境现状已部分遭到破坏，建设单位应尽快落实生态恢复治理方案中的各项生态治理措施，减少本项目施工及运营期工业活动对周边生态环境的进一步影响，降生态影响程度降到最低。</w:t>
      </w:r>
    </w:p>
    <w:p>
      <w:pPr>
        <w:pStyle w:val="4"/>
        <w:bidi w:val="0"/>
        <w:rPr>
          <w:rFonts w:hint="eastAsia"/>
          <w:color w:val="auto"/>
        </w:rPr>
      </w:pPr>
      <w:bookmarkStart w:id="838" w:name="_Toc27949"/>
      <w:r>
        <w:rPr>
          <w:rFonts w:hint="eastAsia"/>
          <w:color w:val="auto"/>
        </w:rPr>
        <w:t>环境影响评价</w:t>
      </w:r>
      <w:bookmarkEnd w:id="838"/>
    </w:p>
    <w:p>
      <w:pPr>
        <w:pStyle w:val="5"/>
        <w:bidi w:val="0"/>
        <w:rPr>
          <w:rFonts w:hint="eastAsia"/>
          <w:color w:val="auto"/>
        </w:rPr>
      </w:pPr>
      <w:r>
        <w:rPr>
          <w:rFonts w:hint="eastAsia"/>
          <w:color w:val="auto"/>
        </w:rPr>
        <w:t>大气环境影响</w:t>
      </w:r>
    </w:p>
    <w:p>
      <w:pPr>
        <w:spacing w:line="360" w:lineRule="auto"/>
        <w:ind w:left="120" w:leftChars="50" w:right="120" w:rightChars="5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露天开采在开采过程中主要无组织粉尘排放几乎伴随着整个采剥过程，其排放特点是：无组织排放；排放高度低；属于面源污染；排放点多且分散。本项目采用湿式凿岩，作业面喷雾洒水等措施后，</w:t>
      </w:r>
      <w:r>
        <w:rPr>
          <w:rFonts w:hint="default" w:ascii="Times New Roman" w:hAnsi="Times New Roman" w:eastAsia="宋体" w:cs="Times New Roman"/>
          <w:color w:val="auto"/>
          <w:highlight w:val="none"/>
          <w:vertAlign w:val="baseline"/>
          <w:lang w:val="en-US" w:eastAsia="zh-CN"/>
        </w:rPr>
        <w:t>排放的废气对周围环境影响较小。</w:t>
      </w:r>
    </w:p>
    <w:p>
      <w:pPr>
        <w:spacing w:line="360" w:lineRule="auto"/>
        <w:ind w:left="120" w:leftChars="50" w:right="120" w:rightChars="5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地下开采废气随风流经平硐集中排出，排入大气环境。为保障井下作业环境，本项目采用湿式凿岩，作业面喷雾洒水等措施</w:t>
      </w:r>
      <w:r>
        <w:rPr>
          <w:rFonts w:hint="default" w:ascii="Times New Roman" w:hAnsi="Times New Roman" w:eastAsia="宋体" w:cs="Times New Roman"/>
          <w:color w:val="auto"/>
          <w:highlight w:val="none"/>
          <w:vertAlign w:val="baseline"/>
          <w:lang w:val="en-US" w:eastAsia="zh-CN"/>
        </w:rPr>
        <w:t>，地下采场平硐排放的废气对周围环境影响较小。</w:t>
      </w:r>
    </w:p>
    <w:p>
      <w:pPr>
        <w:bidi w:val="0"/>
        <w:rPr>
          <w:rFonts w:hint="eastAsia"/>
          <w:color w:val="auto"/>
        </w:rPr>
      </w:pPr>
      <w:r>
        <w:rPr>
          <w:rFonts w:hint="default" w:ascii="Times New Roman" w:hAnsi="Times New Roman" w:eastAsia="宋体" w:cs="Times New Roman"/>
          <w:color w:val="auto"/>
          <w:highlight w:val="none"/>
        </w:rPr>
        <w:t>项目矿岩由于粒径较大，</w:t>
      </w:r>
      <w:r>
        <w:rPr>
          <w:rFonts w:hint="default" w:ascii="Times New Roman" w:hAnsi="Times New Roman" w:eastAsia="宋体" w:cs="Times New Roman"/>
          <w:color w:val="auto"/>
          <w:highlight w:val="none"/>
          <w:lang w:val="en-US" w:eastAsia="zh-CN"/>
        </w:rPr>
        <w:t>排岩场</w:t>
      </w:r>
      <w:r>
        <w:rPr>
          <w:rFonts w:hint="default" w:ascii="Times New Roman" w:hAnsi="Times New Roman" w:eastAsia="宋体" w:cs="Times New Roman"/>
          <w:color w:val="auto"/>
          <w:highlight w:val="none"/>
        </w:rPr>
        <w:t>占地面积较小，且随采随走，故堆存产尘量较小，通过定期洒水抑尘，及时转运，大风天气采用苫布覆盖等措施，可将扬尘产生量降至最低，则</w:t>
      </w:r>
      <w:r>
        <w:rPr>
          <w:rFonts w:hint="default" w:ascii="Times New Roman" w:hAnsi="Times New Roman" w:eastAsia="宋体" w:cs="Times New Roman"/>
          <w:color w:val="auto"/>
          <w:highlight w:val="none"/>
          <w:lang w:val="en-US" w:eastAsia="zh-CN"/>
        </w:rPr>
        <w:t>排岩场粉尘</w:t>
      </w:r>
      <w:r>
        <w:rPr>
          <w:rFonts w:hint="default" w:ascii="Times New Roman" w:hAnsi="Times New Roman" w:eastAsia="宋体" w:cs="Times New Roman"/>
          <w:color w:val="auto"/>
          <w:highlight w:val="none"/>
        </w:rPr>
        <w:t>主要产生途径为矿岩装卸过程</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sz w:val="24"/>
          <w:szCs w:val="24"/>
          <w:highlight w:val="none"/>
        </w:rPr>
        <w:t>洒水抑尘后，</w:t>
      </w:r>
      <w:r>
        <w:rPr>
          <w:rFonts w:hint="default" w:ascii="Times New Roman" w:hAnsi="Times New Roman" w:eastAsia="宋体" w:cs="Times New Roman"/>
          <w:color w:val="auto"/>
          <w:highlight w:val="none"/>
          <w:vertAlign w:val="baseline"/>
          <w:lang w:val="en-US" w:eastAsia="zh-CN"/>
        </w:rPr>
        <w:t>对周围环境影响较小</w:t>
      </w:r>
      <w:r>
        <w:rPr>
          <w:rFonts w:hint="default" w:ascii="Times New Roman" w:hAnsi="Times New Roman" w:eastAsia="宋体" w:cs="Times New Roman"/>
          <w:color w:val="auto"/>
          <w:sz w:val="24"/>
          <w:szCs w:val="24"/>
          <w:highlight w:val="none"/>
        </w:rPr>
        <w:t>。</w:t>
      </w:r>
    </w:p>
    <w:p>
      <w:pPr>
        <w:spacing w:line="360" w:lineRule="auto"/>
        <w:ind w:left="120" w:leftChars="50" w:right="120" w:rightChars="50"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本项目运矿道路两侧均为</w:t>
      </w:r>
      <w:r>
        <w:rPr>
          <w:rFonts w:hint="default" w:ascii="Times New Roman" w:hAnsi="Times New Roman" w:eastAsia="宋体" w:cs="Times New Roman"/>
          <w:color w:val="auto"/>
          <w:highlight w:val="none"/>
        </w:rPr>
        <w:t>居民住宅环境敏感点</w:t>
      </w:r>
      <w:r>
        <w:rPr>
          <w:rFonts w:hint="default" w:ascii="Times New Roman" w:hAnsi="Times New Roman" w:eastAsia="宋体" w:cs="Times New Roman"/>
          <w:color w:val="auto"/>
          <w:highlight w:val="none"/>
          <w:lang w:val="en-US" w:eastAsia="zh-CN"/>
        </w:rPr>
        <w:t>。本项目运输道路采用碎石压实路面，环评要求企业运输车辆加盖篷布或使用带盖箱体密封车运输，这样可保证在随时道路上矿石洒落量大大降低。在采取道路洒水抑尘、控制车速、严禁超载、夜间禁运及道路硬化等环保措施下，其对周边的环境影响轻微，矿石运输的环境影响可控制在可接受水平。</w:t>
      </w:r>
    </w:p>
    <w:p>
      <w:pPr>
        <w:pStyle w:val="5"/>
        <w:bidi w:val="0"/>
        <w:rPr>
          <w:rFonts w:hint="eastAsia"/>
          <w:color w:val="auto"/>
        </w:rPr>
      </w:pPr>
      <w:r>
        <w:rPr>
          <w:rFonts w:hint="eastAsia"/>
          <w:color w:val="auto"/>
        </w:rPr>
        <w:t>水环境影响</w:t>
      </w:r>
    </w:p>
    <w:p>
      <w:pPr>
        <w:bidi w:val="0"/>
        <w:rPr>
          <w:rFonts w:hint="eastAsia"/>
          <w:color w:val="auto"/>
        </w:rPr>
      </w:pPr>
      <w:r>
        <w:rPr>
          <w:rFonts w:hint="eastAsia"/>
          <w:color w:val="auto"/>
        </w:rPr>
        <w:t>本项目工业场地内办公区产生的废水主要为生活废水，通过设置旱厕，定期清运用于农业堆肥；矿井涌水用于井下凿岩用水、抑尘及绿化用水涌水不排放。对地表水环境影响较小。</w:t>
      </w:r>
    </w:p>
    <w:p>
      <w:pPr>
        <w:pStyle w:val="5"/>
        <w:bidi w:val="0"/>
        <w:rPr>
          <w:rFonts w:hint="eastAsia"/>
          <w:color w:val="auto"/>
        </w:rPr>
      </w:pPr>
      <w:r>
        <w:rPr>
          <w:rFonts w:hint="eastAsia"/>
          <w:color w:val="auto"/>
        </w:rPr>
        <w:t>固体废物影响</w:t>
      </w:r>
    </w:p>
    <w:p>
      <w:pPr>
        <w:spacing w:beforeLines="0" w:afterLines="0"/>
        <w:jc w:val="left"/>
        <w:rPr>
          <w:rFonts w:hint="default" w:ascii="Times New Roman" w:hAnsi="Times New Roman" w:eastAsia="宋体" w:cs="Times New Roman"/>
          <w:color w:val="auto"/>
          <w:highlight w:val="none"/>
          <w:lang w:val="en-US" w:eastAsia="zh-CN"/>
        </w:rPr>
      </w:pPr>
      <w:r>
        <w:rPr>
          <w:rFonts w:hint="eastAsia" w:ascii="宋体" w:hAnsi="宋体" w:eastAsia="宋体"/>
          <w:color w:val="auto"/>
          <w:sz w:val="24"/>
          <w:szCs w:val="24"/>
          <w:highlight w:val="none"/>
        </w:rPr>
        <w:t>矿山基建期废石进行</w:t>
      </w:r>
      <w:r>
        <w:rPr>
          <w:rFonts w:hint="eastAsia" w:ascii="宋体" w:hAnsi="宋体" w:eastAsia="宋体"/>
          <w:color w:val="auto"/>
          <w:sz w:val="24"/>
          <w:szCs w:val="24"/>
          <w:highlight w:val="none"/>
          <w:lang w:val="en-US" w:eastAsia="zh-CN"/>
        </w:rPr>
        <w:t>全部</w:t>
      </w:r>
      <w:r>
        <w:rPr>
          <w:rFonts w:hint="eastAsia" w:ascii="宋体" w:hAnsi="宋体" w:eastAsia="宋体"/>
          <w:color w:val="auto"/>
          <w:sz w:val="24"/>
          <w:szCs w:val="24"/>
          <w:highlight w:val="none"/>
        </w:rPr>
        <w:t>回填</w:t>
      </w:r>
      <w:r>
        <w:rPr>
          <w:rFonts w:hint="eastAsia" w:ascii="宋体" w:hAnsi="宋体" w:eastAsia="宋体"/>
          <w:color w:val="auto"/>
          <w:sz w:val="24"/>
          <w:szCs w:val="24"/>
          <w:highlight w:val="none"/>
          <w:lang w:val="en-US" w:eastAsia="zh-CN"/>
        </w:rPr>
        <w:t>历史</w:t>
      </w:r>
      <w:r>
        <w:rPr>
          <w:rFonts w:hint="eastAsia" w:ascii="宋体" w:hAnsi="宋体" w:eastAsia="宋体"/>
          <w:color w:val="auto"/>
          <w:sz w:val="24"/>
          <w:szCs w:val="24"/>
          <w:highlight w:val="none"/>
        </w:rPr>
        <w:t>采坑</w:t>
      </w:r>
      <w:r>
        <w:rPr>
          <w:rFonts w:hint="eastAsia" w:ascii="宋体" w:hAnsi="宋体" w:eastAsia="宋体"/>
          <w:color w:val="auto"/>
          <w:sz w:val="24"/>
          <w:szCs w:val="24"/>
          <w:highlight w:val="none"/>
          <w:lang w:eastAsia="zh-CN"/>
        </w:rPr>
        <w:t>；</w:t>
      </w:r>
      <w:r>
        <w:rPr>
          <w:rFonts w:hint="eastAsia" w:ascii="宋体" w:hAnsi="宋体" w:eastAsia="宋体"/>
          <w:color w:val="auto"/>
          <w:sz w:val="24"/>
          <w:szCs w:val="24"/>
          <w:highlight w:val="none"/>
          <w:lang w:val="en-US" w:eastAsia="zh-CN"/>
        </w:rPr>
        <w:t>运营期</w:t>
      </w:r>
      <w:r>
        <w:rPr>
          <w:rFonts w:hint="default" w:ascii="Times New Roman" w:hAnsi="Times New Roman" w:eastAsia="宋体" w:cs="Times New Roman"/>
          <w:color w:val="auto"/>
          <w:highlight w:val="none"/>
          <w:lang w:val="en-US" w:eastAsia="zh-CN"/>
        </w:rPr>
        <w:t>井下开采废石全部回填不升井</w:t>
      </w:r>
      <w:r>
        <w:rPr>
          <w:rFonts w:hint="eastAsia" w:cs="Times New Roman"/>
          <w:color w:val="auto"/>
          <w:highlight w:val="none"/>
          <w:lang w:val="en-US" w:eastAsia="zh-CN"/>
        </w:rPr>
        <w:t>；</w:t>
      </w:r>
      <w:r>
        <w:rPr>
          <w:rFonts w:hint="eastAsia" w:ascii="宋体" w:hAnsi="宋体" w:eastAsia="宋体"/>
          <w:color w:val="auto"/>
          <w:sz w:val="24"/>
          <w:szCs w:val="24"/>
          <w:highlight w:val="none"/>
          <w:lang w:val="en-US" w:eastAsia="zh-CN"/>
        </w:rPr>
        <w:t>露天开采</w:t>
      </w:r>
      <w:r>
        <w:rPr>
          <w:rFonts w:hint="eastAsia" w:ascii="宋体" w:hAnsi="宋体" w:eastAsia="宋体"/>
          <w:color w:val="auto"/>
          <w:sz w:val="24"/>
          <w:szCs w:val="24"/>
          <w:highlight w:val="none"/>
        </w:rPr>
        <w:t>产生的废石</w:t>
      </w:r>
      <w:r>
        <w:rPr>
          <w:rFonts w:hint="default" w:ascii="Times New Roman" w:hAnsi="Times New Roman" w:eastAsia="宋体" w:cs="Times New Roman"/>
          <w:color w:val="auto"/>
          <w:highlight w:val="none"/>
        </w:rPr>
        <w:t>除部分用来修筑道路及平整工业场地外，绝大部分废石采取外售方式处理</w:t>
      </w:r>
      <w:r>
        <w:rPr>
          <w:rFonts w:hint="eastAsia" w:ascii="宋体" w:hAnsi="宋体" w:eastAsia="宋体"/>
          <w:color w:val="auto"/>
          <w:sz w:val="24"/>
          <w:szCs w:val="24"/>
          <w:highlight w:val="none"/>
        </w:rPr>
        <w:t>，</w:t>
      </w:r>
      <w:r>
        <w:rPr>
          <w:rFonts w:hint="default" w:ascii="Times New Roman" w:hAnsi="Times New Roman" w:eastAsia="宋体" w:cs="Times New Roman"/>
          <w:color w:val="auto"/>
          <w:highlight w:val="none"/>
          <w:lang w:val="en-US" w:eastAsia="zh-CN"/>
        </w:rPr>
        <w:t>矿山开采过程中产生的废石全部外运加工综合利用</w:t>
      </w:r>
      <w:r>
        <w:rPr>
          <w:rFonts w:hint="eastAsia" w:cs="Times New Roman"/>
          <w:color w:val="auto"/>
          <w:highlight w:val="none"/>
          <w:lang w:val="en-US" w:eastAsia="zh-CN"/>
        </w:rPr>
        <w:t>；</w:t>
      </w:r>
      <w:r>
        <w:rPr>
          <w:rFonts w:hint="eastAsia" w:ascii="宋体" w:hAnsi="宋体" w:eastAsia="宋体"/>
          <w:color w:val="auto"/>
          <w:sz w:val="24"/>
          <w:szCs w:val="24"/>
          <w:highlight w:val="none"/>
        </w:rPr>
        <w:t>本项目产生废石对环境影响较小。</w:t>
      </w:r>
    </w:p>
    <w:p>
      <w:pPr>
        <w:bidi w:val="0"/>
        <w:rPr>
          <w:rFonts w:hint="eastAsia"/>
          <w:color w:val="auto"/>
        </w:rPr>
      </w:pPr>
      <w:r>
        <w:rPr>
          <w:rFonts w:hint="eastAsia"/>
          <w:color w:val="auto"/>
        </w:rPr>
        <w:t>垃圾运至环卫部门统一处理；项目设置危废暂存间，废机油暂存于危废暂存间，定期交由资质单位处置。</w:t>
      </w:r>
    </w:p>
    <w:p>
      <w:pPr>
        <w:pStyle w:val="5"/>
        <w:bidi w:val="0"/>
        <w:rPr>
          <w:rFonts w:hint="eastAsia"/>
          <w:color w:val="auto"/>
        </w:rPr>
      </w:pPr>
      <w:r>
        <w:rPr>
          <w:rFonts w:hint="eastAsia"/>
          <w:color w:val="auto"/>
        </w:rPr>
        <w:t>声环境影响</w:t>
      </w:r>
    </w:p>
    <w:p>
      <w:pPr>
        <w:bidi w:val="0"/>
        <w:rPr>
          <w:rFonts w:hint="eastAsia"/>
          <w:color w:val="auto"/>
        </w:rPr>
      </w:pPr>
      <w:r>
        <w:rPr>
          <w:rFonts w:hint="eastAsia"/>
          <w:color w:val="auto"/>
        </w:rPr>
        <w:t>工业场地各厂界昼、夜间噪声值满足《工业企业厂界环境噪声标准》（GB12348-2008）中</w:t>
      </w:r>
      <w:r>
        <w:rPr>
          <w:rFonts w:hint="eastAsia"/>
          <w:color w:val="auto"/>
          <w:lang w:val="en-US" w:eastAsia="zh-CN"/>
        </w:rPr>
        <w:t>1</w:t>
      </w:r>
      <w:r>
        <w:rPr>
          <w:rFonts w:hint="eastAsia"/>
          <w:color w:val="auto"/>
        </w:rPr>
        <w:t>类标准的要求，最近敏感点处噪声值满足1类标准的要求。道路运输车辆减速慢行，禁止鸣笛，其噪声对周围环境影响</w:t>
      </w:r>
      <w:r>
        <w:rPr>
          <w:rFonts w:hint="eastAsia"/>
          <w:color w:val="auto"/>
          <w:lang w:val="en-US" w:eastAsia="zh-CN"/>
        </w:rPr>
        <w:t>较</w:t>
      </w:r>
      <w:r>
        <w:rPr>
          <w:rFonts w:hint="eastAsia"/>
          <w:color w:val="auto"/>
        </w:rPr>
        <w:t>小。</w:t>
      </w:r>
    </w:p>
    <w:p>
      <w:pPr>
        <w:pStyle w:val="5"/>
        <w:bidi w:val="0"/>
        <w:rPr>
          <w:rFonts w:hint="eastAsia"/>
          <w:color w:val="auto"/>
        </w:rPr>
      </w:pPr>
      <w:r>
        <w:rPr>
          <w:rFonts w:hint="eastAsia"/>
          <w:color w:val="auto"/>
        </w:rPr>
        <w:t>土壤环境影响</w:t>
      </w:r>
    </w:p>
    <w:p>
      <w:pPr>
        <w:numPr>
          <w:ilvl w:val="0"/>
          <w:numId w:val="0"/>
        </w:numPr>
        <w:bidi w:val="0"/>
        <w:ind w:firstLine="480" w:firstLineChars="200"/>
        <w:rPr>
          <w:rFonts w:hint="default" w:ascii="Times New Roman" w:hAnsi="Times New Roman" w:eastAsia="宋体" w:cs="Times New Roman"/>
          <w:color w:val="auto"/>
          <w:highlight w:val="none"/>
          <w:lang w:val="en-US" w:eastAsia="zh-CN"/>
        </w:rPr>
      </w:pPr>
      <w:r>
        <w:rPr>
          <w:rFonts w:hint="eastAsia" w:ascii="宋体" w:hAnsi="宋体" w:eastAsia="宋体"/>
          <w:color w:val="auto"/>
          <w:sz w:val="24"/>
          <w:szCs w:val="24"/>
          <w:highlight w:val="none"/>
        </w:rPr>
        <w:t>根据模拟预测结果，</w:t>
      </w:r>
      <w:r>
        <w:rPr>
          <w:rFonts w:hint="eastAsia" w:ascii="宋体" w:hAnsi="宋体"/>
          <w:color w:val="auto"/>
          <w:sz w:val="24"/>
          <w:szCs w:val="24"/>
          <w:highlight w:val="none"/>
          <w:lang w:val="en-US" w:eastAsia="zh-CN"/>
        </w:rPr>
        <w:t>锰</w:t>
      </w:r>
      <w:r>
        <w:rPr>
          <w:rFonts w:hint="eastAsia" w:ascii="宋体" w:hAnsi="宋体" w:eastAsia="宋体"/>
          <w:color w:val="auto"/>
          <w:sz w:val="24"/>
          <w:szCs w:val="24"/>
          <w:highlight w:val="none"/>
        </w:rPr>
        <w:t>主要影响第四系包气带在</w:t>
      </w:r>
      <w:r>
        <w:rPr>
          <w:rFonts w:hint="eastAsia" w:ascii="TimesNewRomanPSMT" w:hAnsi="TimesNewRomanPSMT" w:eastAsia="宋体"/>
          <w:color w:val="auto"/>
          <w:sz w:val="24"/>
          <w:szCs w:val="24"/>
          <w:highlight w:val="none"/>
          <w:lang w:val="en-US" w:eastAsia="zh-CN"/>
        </w:rPr>
        <w:t>5</w:t>
      </w:r>
      <w:r>
        <w:rPr>
          <w:rFonts w:hint="eastAsia" w:ascii="TimesNewRomanPSMT" w:hAnsi="TimesNewRomanPSMT" w:eastAsia="TimesNewRomanPSMT"/>
          <w:color w:val="auto"/>
          <w:sz w:val="24"/>
          <w:szCs w:val="24"/>
          <w:highlight w:val="none"/>
        </w:rPr>
        <w:t>.0m</w:t>
      </w:r>
      <w:r>
        <w:rPr>
          <w:rFonts w:hint="eastAsia" w:ascii="宋体" w:hAnsi="宋体" w:eastAsia="宋体"/>
          <w:color w:val="auto"/>
          <w:sz w:val="24"/>
          <w:szCs w:val="24"/>
          <w:highlight w:val="none"/>
        </w:rPr>
        <w:t>范围内，在</w:t>
      </w:r>
      <w:r>
        <w:rPr>
          <w:rFonts w:hint="eastAsia" w:ascii="TimesNewRomanPSMT" w:hAnsi="TimesNewRomanPSMT" w:eastAsia="TimesNewRomanPSMT"/>
          <w:color w:val="auto"/>
          <w:sz w:val="24"/>
          <w:szCs w:val="24"/>
          <w:highlight w:val="none"/>
        </w:rPr>
        <w:t>2.0m</w:t>
      </w:r>
      <w:r>
        <w:rPr>
          <w:rFonts w:hint="eastAsia" w:ascii="宋体" w:hAnsi="宋体" w:eastAsia="宋体"/>
          <w:color w:val="auto"/>
          <w:sz w:val="24"/>
          <w:szCs w:val="24"/>
          <w:highlight w:val="none"/>
        </w:rPr>
        <w:t>以下地下水含水层受到影响较小，达到含水层中污染物较少，对地下水含水层造成影响较小。</w:t>
      </w:r>
      <w:r>
        <w:rPr>
          <w:rFonts w:hint="default" w:ascii="Times New Roman" w:hAnsi="Times New Roman" w:eastAsia="宋体" w:cs="Times New Roman"/>
          <w:color w:val="auto"/>
          <w:highlight w:val="none"/>
          <w:lang w:val="en-US" w:eastAsia="zh-CN"/>
        </w:rPr>
        <w:t>根据包气带调查，泄露对土壤环境会有影响较小，下渗至含水层影响地下水环境可能性较小，并且污染物在土壤中会受到微生物的分解，在污染影响一段时间后对周边土壤环境影响逐渐减小。</w:t>
      </w:r>
    </w:p>
    <w:p>
      <w:pPr>
        <w:pStyle w:val="5"/>
        <w:bidi w:val="0"/>
        <w:rPr>
          <w:rFonts w:hint="eastAsia"/>
          <w:color w:val="auto"/>
        </w:rPr>
      </w:pPr>
      <w:r>
        <w:rPr>
          <w:rFonts w:hint="eastAsia"/>
          <w:color w:val="auto"/>
        </w:rPr>
        <w:t>生态影响</w:t>
      </w:r>
    </w:p>
    <w:p>
      <w:pPr>
        <w:bidi w:val="0"/>
        <w:rPr>
          <w:rFonts w:hint="eastAsia"/>
          <w:color w:val="auto"/>
        </w:rPr>
      </w:pPr>
      <w:r>
        <w:rPr>
          <w:rFonts w:hint="eastAsia"/>
          <w:color w:val="auto"/>
        </w:rPr>
        <w:t>项目建设使局部地区由单纯的自然生态景观向着人工化、工业化、多样化的方向发展，使原来的自然景观类型变为工业厂房、道路、供电通讯线路等人工景观，而且会对原来的景观进行分隔，造成空间上的非连续性和一些人为的劣质景观。</w:t>
      </w:r>
    </w:p>
    <w:p>
      <w:pPr>
        <w:bidi w:val="0"/>
        <w:rPr>
          <w:rFonts w:hint="eastAsia"/>
          <w:color w:val="auto"/>
        </w:rPr>
      </w:pPr>
      <w:r>
        <w:rPr>
          <w:rFonts w:hint="eastAsia"/>
          <w:color w:val="auto"/>
        </w:rPr>
        <w:t>该矿开采所造成的地表沉陷并不明显，沉陷影响范围也有限，不会造成地表附属物的损坏。</w:t>
      </w:r>
    </w:p>
    <w:p>
      <w:pPr>
        <w:bidi w:val="0"/>
        <w:rPr>
          <w:rFonts w:hint="eastAsia"/>
          <w:color w:val="auto"/>
        </w:rPr>
      </w:pPr>
      <w:r>
        <w:rPr>
          <w:rFonts w:hint="eastAsia"/>
          <w:color w:val="auto"/>
        </w:rPr>
        <w:t>综上所述，矿山开采对评价区域的土地利用、农业、林地、土壤侵蚀及生态系统的影响是有限的、可承受的和可恢复的，因此，只要做好矿区的</w:t>
      </w:r>
      <w:r>
        <w:rPr>
          <w:rFonts w:hint="eastAsia"/>
          <w:color w:val="auto"/>
          <w:lang w:val="en-US" w:eastAsia="zh-CN"/>
        </w:rPr>
        <w:t>土地复垦</w:t>
      </w:r>
      <w:r>
        <w:rPr>
          <w:rFonts w:hint="eastAsia"/>
          <w:color w:val="auto"/>
        </w:rPr>
        <w:t>及环境保护工作，通过生态技术措施，提高森林覆盖率，降低区域土壤侵蚀，矿山的开发是可行的。</w:t>
      </w:r>
    </w:p>
    <w:bookmarkEnd w:id="833"/>
    <w:bookmarkEnd w:id="834"/>
    <w:bookmarkEnd w:id="835"/>
    <w:bookmarkEnd w:id="836"/>
    <w:bookmarkEnd w:id="837"/>
    <w:p>
      <w:pPr>
        <w:pStyle w:val="4"/>
        <w:bidi w:val="0"/>
        <w:ind w:left="0" w:leftChars="0" w:firstLineChars="0"/>
        <w:rPr>
          <w:rFonts w:hint="default"/>
          <w:color w:val="auto"/>
          <w:highlight w:val="none"/>
        </w:rPr>
      </w:pPr>
      <w:bookmarkStart w:id="839" w:name="_Toc508"/>
      <w:r>
        <w:rPr>
          <w:rFonts w:hint="default"/>
          <w:color w:val="auto"/>
          <w:highlight w:val="none"/>
        </w:rPr>
        <w:t>污染防治及生态保护措施</w:t>
      </w:r>
      <w:bookmarkEnd w:id="839"/>
    </w:p>
    <w:p>
      <w:pPr>
        <w:pStyle w:val="5"/>
        <w:bidi w:val="0"/>
        <w:rPr>
          <w:rFonts w:hint="default"/>
          <w:color w:val="auto"/>
          <w:highlight w:val="none"/>
        </w:rPr>
      </w:pPr>
      <w:r>
        <w:rPr>
          <w:rFonts w:hint="default"/>
          <w:color w:val="auto"/>
          <w:highlight w:val="none"/>
        </w:rPr>
        <w:t>环境空气</w:t>
      </w:r>
    </w:p>
    <w:p>
      <w:pPr>
        <w:ind w:firstLine="480" w:firstLineChars="0"/>
        <w:rPr>
          <w:rFonts w:hint="default" w:ascii="Times New Roman" w:hAnsi="Times New Roman" w:eastAsia="宋体" w:cs="Times New Roman"/>
          <w:color w:val="auto"/>
          <w:highlight w:val="none"/>
        </w:rPr>
      </w:pPr>
      <w:bookmarkStart w:id="840" w:name="_Toc450827224"/>
      <w:r>
        <w:rPr>
          <w:rFonts w:hint="default" w:ascii="Times New Roman" w:hAnsi="Times New Roman" w:eastAsia="宋体" w:cs="Times New Roman"/>
          <w:color w:val="auto"/>
          <w:highlight w:val="none"/>
        </w:rPr>
        <w:t>（1）地下开采粉尘</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地下开采采用湿式凿岩，并在井下产尘点及通道洒水，提高空气湿度，经过井下长距离沉降后，由通风机排出的粉尘浓度符合排放标准的要求，对环境影响较小。</w:t>
      </w:r>
    </w:p>
    <w:p>
      <w:pPr>
        <w:ind w:left="480"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r>
        <w:rPr>
          <w:rFonts w:hint="default" w:ascii="Times New Roman" w:hAnsi="Times New Roman" w:eastAsia="宋体" w:cs="Times New Roman"/>
          <w:color w:val="auto"/>
          <w:highlight w:val="none"/>
          <w:lang w:val="en-US" w:eastAsia="zh-CN"/>
        </w:rPr>
        <w:t>废石堆场和</w:t>
      </w:r>
      <w:r>
        <w:rPr>
          <w:rFonts w:hint="eastAsia" w:cs="Times New Roman"/>
          <w:color w:val="auto"/>
          <w:highlight w:val="none"/>
          <w:lang w:eastAsia="zh-CN"/>
        </w:rPr>
        <w:t>矿岩装卸粉尘</w:t>
      </w:r>
      <w:r>
        <w:rPr>
          <w:rFonts w:hint="default" w:ascii="Times New Roman" w:hAnsi="Times New Roman" w:eastAsia="宋体" w:cs="Times New Roman"/>
          <w:color w:val="auto"/>
          <w:highlight w:val="none"/>
        </w:rPr>
        <w:t>防治</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堆场</w:t>
      </w:r>
      <w:r>
        <w:rPr>
          <w:rFonts w:hint="default" w:ascii="Times New Roman" w:hAnsi="Times New Roman" w:eastAsia="宋体" w:cs="Times New Roman"/>
          <w:color w:val="auto"/>
          <w:highlight w:val="none"/>
        </w:rPr>
        <w:t>设置三面围挡，地面硬化</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矿石装卸尽量降低装卸高度，洒水抑制粉尘的飞扬，降尘率</w:t>
      </w:r>
      <w:r>
        <w:rPr>
          <w:rFonts w:hint="default" w:ascii="Times New Roman" w:hAnsi="Times New Roman" w:eastAsia="宋体" w:cs="Times New Roman"/>
          <w:color w:val="auto"/>
          <w:highlight w:val="none"/>
          <w:lang w:val="en-US" w:eastAsia="zh-CN"/>
        </w:rPr>
        <w:t>大于50</w:t>
      </w:r>
      <w:r>
        <w:rPr>
          <w:rFonts w:hint="default" w:ascii="Times New Roman" w:hAnsi="Times New Roman" w:eastAsia="宋体" w:cs="Times New Roman"/>
          <w:color w:val="auto"/>
          <w:highlight w:val="none"/>
        </w:rPr>
        <w:t>%。</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（3）道路运输起尘防治</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针对运输扬尘，主要通过对运输道路定期维护、道路绿化、洒水降尘、对运输车辆进行苫盖、限速行驶等措施进行降尘。</w:t>
      </w:r>
    </w:p>
    <w:p>
      <w:pPr>
        <w:pStyle w:val="5"/>
        <w:bidi w:val="0"/>
        <w:rPr>
          <w:rFonts w:hint="default"/>
          <w:color w:val="auto"/>
          <w:highlight w:val="none"/>
        </w:rPr>
      </w:pPr>
      <w:r>
        <w:rPr>
          <w:rFonts w:hint="default"/>
          <w:color w:val="auto"/>
          <w:highlight w:val="none"/>
        </w:rPr>
        <w:t>地表水环境</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（1）生活污水</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本项目生活污水排入旱厕，定期清运用于农业堆肥，不外排。</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（2）矿井涌水</w:t>
      </w:r>
    </w:p>
    <w:p>
      <w:pPr>
        <w:pStyle w:val="78"/>
        <w:ind w:firstLine="488"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井下涌水经沉淀后接入矿区内高位水池，全部复用于井下凿岩、井下防尘、矿岩装卸洒水、道路洒水、车辆清洗水、绿化用水及选矿厂补水等，不外排。</w:t>
      </w:r>
    </w:p>
    <w:p>
      <w:pPr>
        <w:pStyle w:val="5"/>
        <w:bidi w:val="0"/>
        <w:rPr>
          <w:rFonts w:hint="default"/>
          <w:color w:val="auto"/>
          <w:highlight w:val="none"/>
        </w:rPr>
      </w:pPr>
      <w:r>
        <w:rPr>
          <w:rFonts w:hint="default"/>
          <w:color w:val="auto"/>
          <w:highlight w:val="none"/>
        </w:rPr>
        <w:t>地下水环境</w:t>
      </w:r>
    </w:p>
    <w:p>
      <w:pPr>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环评提出的地下水环境保护措施主要包括：加强污废水处理及综合利用、充分利用矿井水、做好地下水监控措施及</w:t>
      </w:r>
      <w:r>
        <w:rPr>
          <w:rFonts w:hint="default" w:ascii="Times New Roman" w:hAnsi="Times New Roman" w:eastAsia="宋体" w:cs="Times New Roman"/>
          <w:color w:val="auto"/>
          <w:highlight w:val="none"/>
          <w:lang w:val="en-US" w:eastAsia="zh-CN"/>
        </w:rPr>
        <w:t>危废暂存间</w:t>
      </w:r>
      <w:r>
        <w:rPr>
          <w:rFonts w:hint="default" w:ascii="Times New Roman" w:hAnsi="Times New Roman" w:eastAsia="宋体" w:cs="Times New Roman"/>
          <w:color w:val="auto"/>
          <w:highlight w:val="none"/>
        </w:rPr>
        <w:t>防渗等。在采取相应的地下水保护措施后，矿山开采对地下水环境的影响程度将明显减弱。</w:t>
      </w:r>
    </w:p>
    <w:p>
      <w:pPr>
        <w:pStyle w:val="5"/>
        <w:bidi w:val="0"/>
        <w:rPr>
          <w:rFonts w:hint="default"/>
          <w:color w:val="auto"/>
          <w:highlight w:val="none"/>
        </w:rPr>
      </w:pPr>
      <w:r>
        <w:rPr>
          <w:rFonts w:hint="default"/>
          <w:color w:val="auto"/>
          <w:highlight w:val="none"/>
        </w:rPr>
        <w:t>固体废物</w:t>
      </w:r>
    </w:p>
    <w:p>
      <w:pPr>
        <w:ind w:firstLineChars="0"/>
        <w:rPr>
          <w:rFonts w:hint="default" w:ascii="Times New Roman" w:hAnsi="Times New Roman" w:eastAsia="宋体" w:cs="Times New Roman"/>
          <w:color w:val="auto"/>
          <w:highlight w:val="none"/>
        </w:rPr>
      </w:pPr>
      <w:r>
        <w:rPr>
          <w:rFonts w:hint="eastAsia" w:ascii="宋体" w:hAnsi="宋体" w:eastAsia="宋体"/>
          <w:color w:val="auto"/>
          <w:sz w:val="24"/>
          <w:szCs w:val="24"/>
          <w:highlight w:val="none"/>
          <w:lang w:val="en-US" w:eastAsia="zh-CN"/>
        </w:rPr>
        <w:t>露天开采</w:t>
      </w:r>
      <w:r>
        <w:rPr>
          <w:rFonts w:hint="eastAsia" w:ascii="宋体" w:hAnsi="宋体" w:eastAsia="宋体"/>
          <w:color w:val="auto"/>
          <w:sz w:val="24"/>
          <w:szCs w:val="24"/>
          <w:highlight w:val="none"/>
        </w:rPr>
        <w:t>产生的废石</w:t>
      </w:r>
      <w:r>
        <w:rPr>
          <w:rFonts w:hint="default" w:ascii="Times New Roman" w:hAnsi="Times New Roman" w:eastAsia="宋体" w:cs="Times New Roman"/>
          <w:color w:val="auto"/>
          <w:highlight w:val="none"/>
        </w:rPr>
        <w:t>除部分用来修筑道路及平整工业场地外，绝大部分废石采取外售方式处理</w:t>
      </w:r>
      <w:r>
        <w:rPr>
          <w:rFonts w:hint="eastAsia" w:ascii="宋体" w:hAnsi="宋体" w:eastAsia="宋体"/>
          <w:color w:val="auto"/>
          <w:sz w:val="24"/>
          <w:szCs w:val="24"/>
          <w:highlight w:val="none"/>
        </w:rPr>
        <w:t>，</w:t>
      </w:r>
      <w:r>
        <w:rPr>
          <w:rFonts w:hint="default" w:ascii="Times New Roman" w:hAnsi="Times New Roman" w:eastAsia="宋体" w:cs="Times New Roman"/>
          <w:color w:val="auto"/>
          <w:highlight w:val="none"/>
          <w:lang w:val="en-US" w:eastAsia="zh-CN"/>
        </w:rPr>
        <w:t>依据本公司与</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岫岩满族自治县鑫祥通运输有限公司</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签订的废石销售协议，该矿山开采过程中产生的废石全部外运加工综合利用，井下开采废石全部回填不升井</w:t>
      </w:r>
      <w:r>
        <w:rPr>
          <w:rFonts w:hint="default" w:ascii="Times New Roman" w:hAnsi="Times New Roman" w:eastAsia="宋体" w:cs="Times New Roman"/>
          <w:color w:val="auto"/>
          <w:highlight w:val="none"/>
        </w:rPr>
        <w:t>；废机油暂存于危险废物暂存间（有标识、防渗、防雨、防晒、防风等），并委托具有专业资质的危险废物处理单位进行转移和处理；少量生活垃圾在矿区内集中收集，定期由环卫部门清运处理。</w:t>
      </w:r>
    </w:p>
    <w:p>
      <w:pPr>
        <w:pStyle w:val="5"/>
        <w:bidi w:val="0"/>
        <w:rPr>
          <w:rFonts w:hint="default"/>
          <w:color w:val="auto"/>
          <w:highlight w:val="none"/>
        </w:rPr>
      </w:pPr>
      <w:r>
        <w:rPr>
          <w:rFonts w:hint="default"/>
          <w:color w:val="auto"/>
          <w:highlight w:val="none"/>
        </w:rPr>
        <w:t>噪声</w:t>
      </w:r>
    </w:p>
    <w:p>
      <w:pPr>
        <w:pStyle w:val="62"/>
        <w:spacing w:line="360" w:lineRule="auto"/>
        <w:ind w:firstLine="480"/>
        <w:rPr>
          <w:rFonts w:hint="default" w:ascii="Times New Roman" w:hAnsi="Times New Roman" w:eastAsia="宋体" w:cs="Times New Roman"/>
          <w:color w:val="auto"/>
          <w:highlight w:val="none"/>
        </w:rPr>
      </w:pPr>
      <w:bookmarkStart w:id="841" w:name="_Toc322349500"/>
      <w:bookmarkStart w:id="842" w:name="_Toc256362261"/>
      <w:bookmarkStart w:id="843" w:name="_Toc279394196"/>
      <w:bookmarkStart w:id="844" w:name="_Toc258687294"/>
      <w:bookmarkStart w:id="845" w:name="_Toc281385123"/>
      <w:bookmarkStart w:id="846" w:name="_Toc335727232"/>
      <w:r>
        <w:rPr>
          <w:rFonts w:hint="default" w:ascii="Times New Roman" w:hAnsi="Times New Roman" w:eastAsia="宋体" w:cs="Times New Roman"/>
          <w:color w:val="auto"/>
          <w:highlight w:val="none"/>
        </w:rPr>
        <w:t>本项目运营期噪声源主要为通风机、空压机等设备，采取的噪声防治措施主要为：机电产品选型时选择高效低噪的设备，对高噪声设备采用建筑隔声、基础减震等措施，通风机和空压机设置消声器。</w:t>
      </w:r>
      <w:r>
        <w:rPr>
          <w:rFonts w:hint="default" w:ascii="Times New Roman" w:hAnsi="Times New Roman" w:eastAsia="宋体" w:cs="Times New Roman"/>
          <w:color w:val="auto"/>
          <w:szCs w:val="18"/>
          <w:highlight w:val="none"/>
        </w:rPr>
        <w:t>同时结合工业场地绿化方案，栽种既美化环境又能滞尘降噪的抗污染性较强的树种。</w:t>
      </w:r>
      <w:r>
        <w:rPr>
          <w:rFonts w:hint="default" w:ascii="Times New Roman" w:hAnsi="Times New Roman" w:eastAsia="宋体" w:cs="Times New Roman"/>
          <w:color w:val="auto"/>
          <w:highlight w:val="none"/>
        </w:rPr>
        <w:t>采取治理措施后，工业场地场界噪声满足相应排放标准要求，最近处的村庄声环境满足相应声环境功能区要求。</w:t>
      </w:r>
    </w:p>
    <w:bookmarkEnd w:id="841"/>
    <w:bookmarkEnd w:id="842"/>
    <w:bookmarkEnd w:id="843"/>
    <w:bookmarkEnd w:id="844"/>
    <w:bookmarkEnd w:id="845"/>
    <w:bookmarkEnd w:id="846"/>
    <w:p>
      <w:pPr>
        <w:pStyle w:val="62"/>
        <w:spacing w:line="360" w:lineRule="auto"/>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0"/>
          <w:highlight w:val="none"/>
          <w:lang w:bidi="ar"/>
        </w:rPr>
        <w:t>进场公路两侧30m范围内禁止新建居民住宅等声敏感建筑物。</w:t>
      </w:r>
      <w:r>
        <w:rPr>
          <w:rFonts w:hint="default" w:ascii="Times New Roman" w:hAnsi="Times New Roman" w:eastAsia="宋体" w:cs="Times New Roman"/>
          <w:color w:val="auto"/>
          <w:highlight w:val="none"/>
        </w:rPr>
        <w:t>矿石外运时禁止夜间运输，运输车辆途经村庄区域禁止鸣笛并且减速慢行；运输车辆必须按照规定进行日常维护、维修和大修，保证车况符合要求。经过以上措施可以减轻交通噪声对周围环境的影响。</w:t>
      </w:r>
    </w:p>
    <w:p>
      <w:pPr>
        <w:pStyle w:val="5"/>
        <w:bidi w:val="0"/>
        <w:rPr>
          <w:rFonts w:hint="default"/>
          <w:color w:val="auto"/>
          <w:highlight w:val="none"/>
        </w:rPr>
      </w:pPr>
      <w:bookmarkStart w:id="847" w:name="_Toc450827228"/>
      <w:bookmarkStart w:id="848" w:name="_Toc319511376"/>
      <w:r>
        <w:rPr>
          <w:rFonts w:hint="default"/>
          <w:color w:val="auto"/>
          <w:highlight w:val="none"/>
        </w:rPr>
        <w:t>生态整治措施</w:t>
      </w:r>
      <w:bookmarkEnd w:id="847"/>
      <w:bookmarkEnd w:id="848"/>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（1）生态环境影响</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项目建设造成的生态影响主要产生于两个方面，一方面是工程占地，另一方面是开采造成地表岩移，其它生态影响主要是由这两个方面诱发产生的。</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项目新增占地</w:t>
      </w:r>
      <w:r>
        <w:rPr>
          <w:rFonts w:hint="eastAsia" w:cs="Times New Roman"/>
          <w:color w:val="auto"/>
          <w:sz w:val="24"/>
          <w:szCs w:val="28"/>
          <w:highlight w:val="none"/>
          <w:lang w:val="en-US" w:eastAsia="zh-CN"/>
        </w:rPr>
        <w:t>主要为露天采场</w:t>
      </w:r>
      <w:r>
        <w:rPr>
          <w:rFonts w:hint="eastAsia" w:cs="Times New Roman"/>
          <w:color w:val="auto"/>
          <w:sz w:val="24"/>
          <w:szCs w:val="28"/>
          <w:highlight w:val="none"/>
          <w:lang w:eastAsia="zh-CN"/>
        </w:rPr>
        <w:t>、</w:t>
      </w:r>
      <w:r>
        <w:rPr>
          <w:rFonts w:hint="default" w:ascii="Times New Roman" w:hAnsi="Times New Roman" w:eastAsia="宋体" w:cs="Times New Roman"/>
          <w:color w:val="auto"/>
          <w:sz w:val="24"/>
          <w:szCs w:val="28"/>
          <w:highlight w:val="none"/>
        </w:rPr>
        <w:t>风井</w:t>
      </w:r>
      <w:r>
        <w:rPr>
          <w:rFonts w:hint="eastAsia" w:cs="Times New Roman"/>
          <w:color w:val="auto"/>
          <w:sz w:val="24"/>
          <w:szCs w:val="28"/>
          <w:highlight w:val="none"/>
          <w:lang w:eastAsia="zh-CN"/>
        </w:rPr>
        <w:t>、</w:t>
      </w:r>
      <w:r>
        <w:rPr>
          <w:rFonts w:hint="eastAsia" w:cs="Times New Roman"/>
          <w:color w:val="auto"/>
          <w:sz w:val="24"/>
          <w:szCs w:val="28"/>
          <w:highlight w:val="none"/>
          <w:lang w:val="en-US" w:eastAsia="zh-CN"/>
        </w:rPr>
        <w:t>工业场地</w:t>
      </w:r>
      <w:r>
        <w:rPr>
          <w:rFonts w:hint="default" w:ascii="Times New Roman" w:hAnsi="Times New Roman" w:eastAsia="宋体" w:cs="Times New Roman"/>
          <w:color w:val="auto"/>
          <w:sz w:val="24"/>
          <w:szCs w:val="28"/>
          <w:highlight w:val="none"/>
        </w:rPr>
        <w:t>。项目实施后，评价区人员流动增多，会对评价区的生态系统产生压力，但是随着矿上区域生态恢复的进行，本项目不会对整个评价区的生态系统完整性产生大的破坏。</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（2）生态环境保护措施</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1）主体工程生态环境保护措施</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①在总图布置上，充分利用自然地形、地貌，减少挖方，尽量做到工程自身土石方平衡，减少占地和水土流失。</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②根据工业场地不同作业区的工作性质与生态需求安排与布局生态恢复重建工程。在人员活动比较集中的办公区、生活区等功能区选择生长快、枝叶繁茂、造型优美的绿化树种、灌木植物和草本植物，优化工人的工作环境。</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③工业厂区及道路及时洒水降尘。</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2）地表岩移范围内农业用地保护措施</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①矿山在开采过程中，将地下开采废石充填到井下采空区，控制地表错动和塌陷，减少对原有地形地貌、地表附属物的破坏。</w:t>
      </w:r>
    </w:p>
    <w:p>
      <w:pPr>
        <w:spacing w:beforeLines="0" w:afterLines="0"/>
        <w:jc w:val="left"/>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②及时观测和监测采矿造成的地面岩移的变化规律，研究矿体开采与地表移动的关系，如果地表出现裂缝要及时圈定，采取安全措施和设置警示标志，防止地表塌陷、岩层错动引发安全事故。</w:t>
      </w:r>
    </w:p>
    <w:p>
      <w:pPr>
        <w:pStyle w:val="5"/>
        <w:bidi w:val="0"/>
        <w:rPr>
          <w:rFonts w:hint="default"/>
          <w:color w:val="auto"/>
          <w:highlight w:val="none"/>
        </w:rPr>
      </w:pPr>
      <w:r>
        <w:rPr>
          <w:rFonts w:hint="default"/>
          <w:color w:val="auto"/>
          <w:highlight w:val="none"/>
        </w:rPr>
        <w:t>土壤防治措施</w:t>
      </w:r>
    </w:p>
    <w:p>
      <w:pPr>
        <w:ind w:firstLine="48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矿井涌水全部进行综合利用，不外排；固体废物均得到妥善处置，不随意堆放。评价提出对工业场地内的危险废物暂存间等可能产生污染源区进行防渗处理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并对</w:t>
      </w:r>
      <w:r>
        <w:rPr>
          <w:rFonts w:hint="default" w:ascii="Times New Roman" w:hAnsi="Times New Roman" w:eastAsia="宋体" w:cs="Times New Roman"/>
          <w:color w:val="auto"/>
          <w:highlight w:val="none"/>
        </w:rPr>
        <w:t>矿区土壤进行跟踪监测</w:t>
      </w:r>
      <w:r>
        <w:rPr>
          <w:rFonts w:hint="default" w:ascii="Times New Roman" w:hAnsi="Times New Roman" w:eastAsia="宋体" w:cs="Times New Roman"/>
          <w:color w:val="auto"/>
          <w:highlight w:val="none"/>
          <w:lang w:eastAsia="zh-CN"/>
        </w:rPr>
        <w:t>。</w:t>
      </w:r>
    </w:p>
    <w:p>
      <w:pPr>
        <w:pStyle w:val="4"/>
        <w:bidi w:val="0"/>
        <w:ind w:left="0" w:leftChars="0" w:firstLineChars="0"/>
        <w:rPr>
          <w:rFonts w:hint="default"/>
          <w:color w:val="auto"/>
          <w:highlight w:val="none"/>
        </w:rPr>
      </w:pPr>
      <w:bookmarkStart w:id="849" w:name="_Toc15376238"/>
      <w:bookmarkStart w:id="850" w:name="_Toc26169"/>
      <w:r>
        <w:rPr>
          <w:rFonts w:hint="default"/>
          <w:color w:val="auto"/>
          <w:highlight w:val="none"/>
        </w:rPr>
        <w:t>环境风险评价结论</w:t>
      </w:r>
      <w:bookmarkEnd w:id="849"/>
      <w:bookmarkEnd w:id="850"/>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工程潜在的风险危害主要为炸药使用及运输过程</w:t>
      </w:r>
      <w:r>
        <w:rPr>
          <w:rFonts w:hint="default" w:ascii="Times New Roman" w:hAnsi="Times New Roman" w:eastAsia="宋体" w:cs="Times New Roman"/>
          <w:color w:val="auto"/>
          <w:highlight w:val="none"/>
          <w:lang w:val="en-US" w:eastAsia="zh-CN"/>
        </w:rPr>
        <w:t>和废机油泄漏产生</w:t>
      </w:r>
      <w:r>
        <w:rPr>
          <w:rFonts w:hint="default" w:ascii="Times New Roman" w:hAnsi="Times New Roman" w:eastAsia="宋体" w:cs="Times New Roman"/>
          <w:color w:val="auto"/>
          <w:highlight w:val="none"/>
        </w:rPr>
        <w:t>的影响</w:t>
      </w:r>
      <w:r>
        <w:rPr>
          <w:rFonts w:hint="default" w:ascii="Times New Roman" w:hAnsi="Times New Roman" w:eastAsia="宋体" w:cs="Times New Roman"/>
          <w:color w:val="auto"/>
          <w:highlight w:val="none"/>
          <w:lang w:val="en-US" w:eastAsia="zh-CN"/>
        </w:rPr>
        <w:t>和</w:t>
      </w:r>
      <w:r>
        <w:rPr>
          <w:rFonts w:hint="default" w:ascii="Times New Roman" w:hAnsi="Times New Roman" w:eastAsia="宋体" w:cs="Times New Roman"/>
          <w:color w:val="auto"/>
          <w:highlight w:val="none"/>
        </w:rPr>
        <w:t>，在采取本环评推荐的环境风险防范措施后，可使投入营运后全场的风险事故隐患降至最低，因此，本项目的建设在环境风险方面，其风险水平可接受。本项目风险防范措施可行，项目建设从环境风险角度是可行的。</w:t>
      </w:r>
    </w:p>
    <w:p>
      <w:pPr>
        <w:pStyle w:val="4"/>
        <w:bidi w:val="0"/>
        <w:rPr>
          <w:rFonts w:hint="eastAsia"/>
          <w:color w:val="auto"/>
        </w:rPr>
      </w:pPr>
      <w:bookmarkStart w:id="851" w:name="_Toc21748"/>
      <w:r>
        <w:rPr>
          <w:rFonts w:hint="eastAsia"/>
          <w:color w:val="auto"/>
        </w:rPr>
        <w:t>产业政策、相关规划符合性</w:t>
      </w:r>
      <w:bookmarkEnd w:id="851"/>
    </w:p>
    <w:p>
      <w:pPr>
        <w:spacing w:beforeLines="0" w:afterLines="0"/>
        <w:jc w:val="left"/>
        <w:rPr>
          <w:rFonts w:hint="eastAsia" w:ascii="宋体" w:hAnsi="宋体" w:eastAsia="宋体"/>
          <w:color w:val="auto"/>
          <w:sz w:val="24"/>
          <w:szCs w:val="24"/>
        </w:rPr>
      </w:pPr>
      <w:r>
        <w:rPr>
          <w:rFonts w:hint="eastAsia" w:ascii="宋体" w:hAnsi="宋体" w:eastAsia="宋体"/>
          <w:color w:val="auto"/>
          <w:sz w:val="24"/>
          <w:szCs w:val="24"/>
        </w:rPr>
        <w:t>本项目不属于国家《产业结构调整指导目录（</w:t>
      </w:r>
      <w:r>
        <w:rPr>
          <w:rFonts w:hint="eastAsia" w:ascii="TimesNewRomanPSMT" w:hAnsi="TimesNewRomanPSMT" w:eastAsia="TimesNewRomanPSMT"/>
          <w:color w:val="auto"/>
          <w:sz w:val="24"/>
          <w:szCs w:val="24"/>
        </w:rPr>
        <w:t xml:space="preserve">2019 </w:t>
      </w:r>
      <w:r>
        <w:rPr>
          <w:rFonts w:hint="eastAsia" w:ascii="宋体" w:hAnsi="宋体" w:eastAsia="宋体"/>
          <w:color w:val="auto"/>
          <w:sz w:val="24"/>
          <w:szCs w:val="24"/>
        </w:rPr>
        <w:t>年本）》中所列的鼓励类和限制类项目，采用的生产工艺、设备和生产的产品不在该目录中所列的落后工艺、装备和产品之列，且符合国家相关法律、法规规定，同时满足《矿山生态环境保护与污染防治技术政策》的要求。</w:t>
      </w:r>
    </w:p>
    <w:p>
      <w:pPr>
        <w:spacing w:beforeLines="0" w:afterLines="0"/>
        <w:jc w:val="left"/>
        <w:rPr>
          <w:rFonts w:hint="default" w:ascii="Times New Roman" w:hAnsi="Times New Roman" w:eastAsia="宋体" w:cs="Times New Roman"/>
          <w:color w:val="auto"/>
          <w:highlight w:val="none"/>
        </w:rPr>
      </w:pPr>
      <w:r>
        <w:rPr>
          <w:rFonts w:hint="eastAsia" w:ascii="宋体" w:hAnsi="宋体" w:eastAsia="宋体"/>
          <w:color w:val="auto"/>
          <w:sz w:val="24"/>
          <w:szCs w:val="24"/>
        </w:rPr>
        <w:t>本项目符合《辽宁省矿产资源总体规划（</w:t>
      </w:r>
      <w:r>
        <w:rPr>
          <w:rFonts w:hint="eastAsia" w:ascii="TimesNewRomanPSMT" w:hAnsi="TimesNewRomanPSMT" w:eastAsia="TimesNewRomanPSMT"/>
          <w:color w:val="auto"/>
          <w:sz w:val="24"/>
          <w:szCs w:val="24"/>
        </w:rPr>
        <w:t xml:space="preserve">2016-2020 </w:t>
      </w:r>
      <w:r>
        <w:rPr>
          <w:rFonts w:hint="eastAsia" w:ascii="宋体" w:hAnsi="宋体" w:eastAsia="宋体"/>
          <w:color w:val="auto"/>
          <w:sz w:val="24"/>
          <w:szCs w:val="24"/>
        </w:rPr>
        <w:t>年）》《辽宁省矿产资源总体规划（</w:t>
      </w:r>
      <w:r>
        <w:rPr>
          <w:rFonts w:hint="eastAsia" w:ascii="TimesNewRomanPSMT" w:hAnsi="TimesNewRomanPSMT" w:eastAsia="TimesNewRomanPSMT"/>
          <w:color w:val="auto"/>
          <w:sz w:val="24"/>
          <w:szCs w:val="24"/>
        </w:rPr>
        <w:t xml:space="preserve">2016-2020 </w:t>
      </w:r>
      <w:r>
        <w:rPr>
          <w:rFonts w:hint="eastAsia" w:ascii="宋体" w:hAnsi="宋体" w:eastAsia="宋体"/>
          <w:color w:val="auto"/>
          <w:sz w:val="24"/>
          <w:szCs w:val="24"/>
        </w:rPr>
        <w:t>年）环境影响报告书》及其审查意见。综上所述，本项目符合国家产业政策、法律法规及规划的要求。</w:t>
      </w:r>
    </w:p>
    <w:bookmarkEnd w:id="840"/>
    <w:p>
      <w:pPr>
        <w:pStyle w:val="4"/>
        <w:bidi w:val="0"/>
        <w:ind w:left="0" w:leftChars="0" w:firstLineChars="0"/>
        <w:rPr>
          <w:rFonts w:hint="default"/>
          <w:color w:val="auto"/>
          <w:highlight w:val="none"/>
        </w:rPr>
      </w:pPr>
      <w:bookmarkStart w:id="852" w:name="_Toc27679"/>
      <w:bookmarkStart w:id="853" w:name="_Toc515537891"/>
      <w:bookmarkStart w:id="854" w:name="_Toc15376239"/>
      <w:r>
        <w:rPr>
          <w:rFonts w:hint="default"/>
          <w:color w:val="auto"/>
          <w:highlight w:val="none"/>
        </w:rPr>
        <w:t>环境影响经济损益分析</w:t>
      </w:r>
      <w:bookmarkEnd w:id="852"/>
      <w:bookmarkEnd w:id="853"/>
      <w:bookmarkEnd w:id="854"/>
    </w:p>
    <w:p>
      <w:pPr>
        <w:ind w:firstLine="480"/>
        <w:rPr>
          <w:rFonts w:hint="default" w:ascii="Times New Roman" w:hAnsi="Times New Roman" w:eastAsia="宋体" w:cs="Times New Roman"/>
          <w:color w:val="auto"/>
          <w:highlight w:val="none"/>
        </w:rPr>
      </w:pPr>
      <w:bookmarkStart w:id="855" w:name="_Toc450827230"/>
      <w:bookmarkStart w:id="856" w:name="_Toc316410486"/>
      <w:r>
        <w:rPr>
          <w:rFonts w:hint="eastAsia" w:ascii="宋体" w:hAnsi="宋体" w:eastAsia="宋体"/>
          <w:color w:val="auto"/>
          <w:sz w:val="24"/>
          <w:szCs w:val="24"/>
          <w:highlight w:val="none"/>
        </w:rPr>
        <w:t>建设项目总投资为</w:t>
      </w:r>
      <w:r>
        <w:rPr>
          <w:rFonts w:hint="default" w:ascii="Times New Roman" w:hAnsi="Times New Roman" w:eastAsia="宋体" w:cs="Times New Roman"/>
          <w:color w:val="auto"/>
          <w:highlight w:val="none"/>
          <w:lang w:eastAsia="zh-CN"/>
        </w:rPr>
        <w:t>1006.67</w:t>
      </w:r>
      <w:r>
        <w:rPr>
          <w:rFonts w:hint="eastAsia" w:ascii="宋体" w:hAnsi="宋体" w:eastAsia="宋体"/>
          <w:color w:val="auto"/>
          <w:sz w:val="24"/>
          <w:szCs w:val="24"/>
          <w:highlight w:val="none"/>
        </w:rPr>
        <w:t>万元，环境保护总投资为</w:t>
      </w:r>
      <w:r>
        <w:rPr>
          <w:rFonts w:hint="eastAsia" w:eastAsia="宋体"/>
          <w:color w:val="auto"/>
          <w:sz w:val="24"/>
          <w:szCs w:val="24"/>
          <w:highlight w:val="none"/>
          <w:lang w:val="en-US" w:eastAsia="zh-CN"/>
        </w:rPr>
        <w:t>63.8</w:t>
      </w:r>
      <w:r>
        <w:rPr>
          <w:rFonts w:hint="eastAsia" w:ascii="宋体" w:hAnsi="宋体" w:eastAsia="宋体"/>
          <w:color w:val="auto"/>
          <w:sz w:val="24"/>
          <w:szCs w:val="24"/>
          <w:highlight w:val="none"/>
        </w:rPr>
        <w:t>万元，占项目总投资的</w:t>
      </w:r>
      <w:r>
        <w:rPr>
          <w:rFonts w:hint="eastAsia" w:ascii="TimesNewRomanPSMT" w:hAnsi="TimesNewRomanPSMT" w:eastAsia="宋体"/>
          <w:color w:val="auto"/>
          <w:sz w:val="24"/>
          <w:szCs w:val="24"/>
          <w:highlight w:val="none"/>
          <w:lang w:val="en-US" w:eastAsia="zh-CN"/>
        </w:rPr>
        <w:t>6.34</w:t>
      </w:r>
      <w:r>
        <w:rPr>
          <w:rFonts w:hint="eastAsia" w:ascii="TimesNewRomanPSMT" w:hAnsi="TimesNewRomanPSMT" w:eastAsia="TimesNewRomanPSMT"/>
          <w:color w:val="auto"/>
          <w:sz w:val="24"/>
          <w:szCs w:val="24"/>
          <w:highlight w:val="none"/>
        </w:rPr>
        <w:t>%</w:t>
      </w:r>
      <w:r>
        <w:rPr>
          <w:rFonts w:hint="eastAsia" w:ascii="宋体" w:hAnsi="宋体" w:eastAsia="宋体"/>
          <w:color w:val="auto"/>
          <w:sz w:val="24"/>
          <w:szCs w:val="24"/>
          <w:highlight w:val="none"/>
        </w:rPr>
        <w:t>。本项目环境恢复治理费用</w:t>
      </w:r>
      <w:r>
        <w:rPr>
          <w:rFonts w:hint="eastAsia" w:ascii="TimesNewRomanPSMT" w:hAnsi="TimesNewRomanPSMT" w:eastAsia="宋体"/>
          <w:color w:val="auto"/>
          <w:sz w:val="24"/>
          <w:szCs w:val="24"/>
          <w:highlight w:val="none"/>
          <w:lang w:val="en-US" w:eastAsia="zh-CN"/>
        </w:rPr>
        <w:t>343</w:t>
      </w:r>
      <w:r>
        <w:rPr>
          <w:rFonts w:hint="eastAsia" w:ascii="宋体" w:hAnsi="宋体" w:eastAsia="宋体"/>
          <w:color w:val="auto"/>
          <w:sz w:val="24"/>
          <w:szCs w:val="24"/>
          <w:highlight w:val="none"/>
        </w:rPr>
        <w:t>万元，列入年度生产成本</w:t>
      </w:r>
      <w:r>
        <w:rPr>
          <w:rFonts w:hint="default" w:ascii="Times New Roman" w:hAnsi="Times New Roman" w:eastAsia="宋体" w:cs="Times New Roman"/>
          <w:color w:val="auto"/>
          <w:highlight w:val="none"/>
        </w:rPr>
        <w:t>。年税后利润为</w:t>
      </w:r>
      <w:r>
        <w:rPr>
          <w:rFonts w:hint="default" w:ascii="Times New Roman" w:hAnsi="Times New Roman" w:eastAsia="宋体" w:cs="Times New Roman"/>
          <w:color w:val="auto"/>
          <w:highlight w:val="none"/>
          <w:lang w:bidi="he-IL"/>
        </w:rPr>
        <w:t>329.82</w:t>
      </w:r>
      <w:r>
        <w:rPr>
          <w:rFonts w:hint="default" w:ascii="Times New Roman" w:hAnsi="Times New Roman" w:eastAsia="宋体" w:cs="Times New Roman"/>
          <w:color w:val="auto"/>
          <w:highlight w:val="none"/>
        </w:rPr>
        <w:t>万元，经济效益良好。</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该设项目的实施，可带动当地经济的发展，提高当地的经济实力，增加当地财政收入，提高当地农民的生活水平，具有较好的社会效益。同时该项目总投资收益率、财务内部收益率均较高，且回收期较短，经济效益明显。</w:t>
      </w:r>
    </w:p>
    <w:p>
      <w:pPr>
        <w:pStyle w:val="4"/>
        <w:bidi w:val="0"/>
        <w:ind w:left="0" w:leftChars="0" w:firstLineChars="0"/>
        <w:rPr>
          <w:rFonts w:hint="default"/>
          <w:color w:val="auto"/>
          <w:highlight w:val="none"/>
        </w:rPr>
      </w:pPr>
      <w:bookmarkStart w:id="857" w:name="_Toc7037"/>
      <w:bookmarkStart w:id="858" w:name="_Toc15376240"/>
      <w:bookmarkStart w:id="859" w:name="_Toc515537892"/>
      <w:r>
        <w:rPr>
          <w:rFonts w:hint="default"/>
          <w:color w:val="auto"/>
          <w:highlight w:val="none"/>
        </w:rPr>
        <w:t>总量控制</w:t>
      </w:r>
      <w:bookmarkEnd w:id="855"/>
      <w:bookmarkEnd w:id="856"/>
      <w:bookmarkEnd w:id="857"/>
      <w:bookmarkEnd w:id="858"/>
      <w:bookmarkEnd w:id="859"/>
    </w:p>
    <w:p>
      <w:pPr>
        <w:autoSpaceDE w:val="0"/>
        <w:autoSpaceDN w:val="0"/>
        <w:ind w:firstLine="480"/>
        <w:jc w:val="left"/>
        <w:textAlignment w:val="bottom"/>
        <w:rPr>
          <w:rFonts w:hint="default" w:ascii="Times New Roman" w:hAnsi="Times New Roman" w:eastAsia="宋体" w:cs="Times New Roman"/>
          <w:color w:val="auto"/>
          <w:highlight w:val="none"/>
        </w:rPr>
      </w:pPr>
      <w:bookmarkStart w:id="860" w:name="_Toc316410487"/>
      <w:r>
        <w:rPr>
          <w:rFonts w:hint="default" w:ascii="Times New Roman" w:hAnsi="Times New Roman" w:eastAsia="宋体" w:cs="Times New Roman"/>
          <w:color w:val="auto"/>
          <w:kern w:val="24"/>
          <w:highlight w:val="none"/>
        </w:rPr>
        <w:t>在采取了设计和评价提出的完善的污染防治措施的基础上，评价最终核定的本项目污染物排放总量为</w:t>
      </w:r>
      <w:r>
        <w:rPr>
          <w:rFonts w:hint="default" w:ascii="Times New Roman" w:hAnsi="Times New Roman" w:eastAsia="宋体" w:cs="Times New Roman"/>
          <w:color w:val="auto"/>
          <w:highlight w:val="none"/>
        </w:rPr>
        <w:t>：大气污染物二氧化硫</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氮氧化物</w:t>
      </w:r>
      <w:r>
        <w:rPr>
          <w:rFonts w:hint="default" w:ascii="Times New Roman" w:hAnsi="Times New Roman" w:eastAsia="宋体" w:cs="Times New Roman"/>
          <w:color w:val="auto"/>
          <w:highlight w:val="none"/>
          <w:lang w:val="en-US" w:eastAsia="zh-CN"/>
        </w:rPr>
        <w:t>排放量为零；水污染物：</w:t>
      </w:r>
      <w:r>
        <w:rPr>
          <w:rFonts w:hint="default" w:ascii="Times New Roman" w:hAnsi="Times New Roman" w:eastAsia="宋体" w:cs="Times New Roman"/>
          <w:color w:val="auto"/>
          <w:highlight w:val="none"/>
        </w:rPr>
        <w:t>化学需氧量、氨氮</w:t>
      </w:r>
      <w:r>
        <w:rPr>
          <w:rFonts w:hint="default" w:ascii="Times New Roman" w:hAnsi="Times New Roman" w:eastAsia="宋体" w:cs="Times New Roman"/>
          <w:color w:val="auto"/>
          <w:highlight w:val="none"/>
          <w:lang w:val="en-US" w:eastAsia="zh-CN"/>
        </w:rPr>
        <w:t>排放量为零</w:t>
      </w:r>
      <w:r>
        <w:rPr>
          <w:rFonts w:hint="default" w:ascii="Times New Roman" w:hAnsi="Times New Roman" w:eastAsia="宋体" w:cs="Times New Roman"/>
          <w:color w:val="auto"/>
          <w:highlight w:val="none"/>
        </w:rPr>
        <w:t>。</w:t>
      </w:r>
    </w:p>
    <w:p>
      <w:pPr>
        <w:pStyle w:val="4"/>
        <w:bidi w:val="0"/>
        <w:ind w:left="0" w:leftChars="0" w:firstLineChars="0"/>
        <w:rPr>
          <w:rFonts w:hint="default"/>
          <w:color w:val="auto"/>
          <w:highlight w:val="none"/>
        </w:rPr>
      </w:pPr>
      <w:bookmarkStart w:id="861" w:name="_Toc31933"/>
      <w:bookmarkStart w:id="862" w:name="_Toc4596"/>
      <w:bookmarkStart w:id="863" w:name="_Toc15376241"/>
      <w:bookmarkStart w:id="864" w:name="_Toc515537893"/>
      <w:r>
        <w:rPr>
          <w:rFonts w:hint="default"/>
          <w:color w:val="auto"/>
          <w:highlight w:val="none"/>
        </w:rPr>
        <w:t>公众意见采纳情况</w:t>
      </w:r>
      <w:bookmarkEnd w:id="861"/>
      <w:bookmarkEnd w:id="862"/>
      <w:bookmarkEnd w:id="863"/>
      <w:bookmarkEnd w:id="864"/>
    </w:p>
    <w:p>
      <w:pPr>
        <w:ind w:firstLine="480"/>
        <w:rPr>
          <w:rFonts w:hint="default" w:ascii="Times New Roman" w:hAnsi="Times New Roman" w:eastAsia="宋体" w:cs="Times New Roman"/>
          <w:color w:val="auto"/>
          <w:highlight w:val="none"/>
        </w:rPr>
      </w:pPr>
      <w:bookmarkStart w:id="865" w:name="_Toc316410488"/>
      <w:bookmarkStart w:id="866" w:name="_Toc450827232"/>
      <w:r>
        <w:rPr>
          <w:rFonts w:hint="default" w:ascii="Times New Roman" w:hAnsi="Times New Roman" w:eastAsia="宋体" w:cs="Times New Roman"/>
          <w:color w:val="auto"/>
          <w:highlight w:val="none"/>
        </w:rPr>
        <w:t>根据《环境影响评价公众参与办法》（2019年1月1日），项目第一次公示时间为</w:t>
      </w:r>
      <w:r>
        <w:rPr>
          <w:rFonts w:hint="default" w:ascii="Times New Roman" w:hAnsi="Times New Roman" w:eastAsia="宋体" w:cs="Times New Roman"/>
          <w:color w:val="auto"/>
          <w:highlight w:val="none"/>
          <w:lang w:val="en-US" w:eastAsia="zh-CN"/>
        </w:rPr>
        <w:t>2021年</w:t>
      </w:r>
      <w:r>
        <w:rPr>
          <w:rFonts w:hint="eastAsia" w:cs="Times New Roman"/>
          <w:color w:val="auto"/>
          <w:highlight w:val="none"/>
          <w:lang w:val="en-US" w:eastAsia="zh-CN"/>
        </w:rPr>
        <w:t>5</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31</w:t>
      </w:r>
      <w:r>
        <w:rPr>
          <w:rFonts w:hint="default" w:ascii="Times New Roman" w:hAnsi="Times New Roman" w:eastAsia="宋体" w:cs="Times New Roman"/>
          <w:color w:val="auto"/>
          <w:highlight w:val="none"/>
          <w:lang w:val="en-US" w:eastAsia="zh-CN"/>
        </w:rPr>
        <w:t>日</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分别</w:t>
      </w:r>
      <w:r>
        <w:rPr>
          <w:rFonts w:hint="default" w:ascii="Times New Roman" w:hAnsi="Times New Roman" w:eastAsia="宋体" w:cs="Times New Roman"/>
          <w:color w:val="auto"/>
          <w:highlight w:val="none"/>
        </w:rPr>
        <w:t>在</w:t>
      </w:r>
      <w:r>
        <w:rPr>
          <w:rFonts w:hint="default" w:ascii="Times New Roman" w:hAnsi="Times New Roman" w:eastAsia="宋体" w:cs="Times New Roman"/>
          <w:color w:val="auto"/>
          <w:highlight w:val="none"/>
          <w:lang w:val="en-US" w:eastAsia="zh-CN"/>
        </w:rPr>
        <w:t>岫岩网和东北新闻网</w:t>
      </w:r>
      <w:r>
        <w:rPr>
          <w:rFonts w:hint="default" w:ascii="Times New Roman" w:hAnsi="Times New Roman" w:eastAsia="宋体" w:cs="Times New Roman"/>
          <w:color w:val="auto"/>
          <w:highlight w:val="none"/>
        </w:rPr>
        <w:t>网站上进行公示；征求意见稿公示于</w:t>
      </w:r>
      <w:r>
        <w:rPr>
          <w:rFonts w:hint="default" w:ascii="Times New Roman" w:hAnsi="Times New Roman" w:eastAsia="宋体" w:cs="Times New Roman"/>
          <w:color w:val="auto"/>
          <w:highlight w:val="none"/>
          <w:lang w:val="en-US" w:eastAsia="zh-CN"/>
        </w:rPr>
        <w:t>202</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年</w:t>
      </w:r>
      <w:r>
        <w:rPr>
          <w:rFonts w:hint="eastAsia" w:cs="Times New Roman"/>
          <w:color w:val="auto"/>
          <w:highlight w:val="none"/>
          <w:lang w:val="en-US" w:eastAsia="zh-CN"/>
        </w:rPr>
        <w:t>9</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19</w:t>
      </w:r>
      <w:r>
        <w:rPr>
          <w:rFonts w:hint="default" w:ascii="Times New Roman" w:hAnsi="Times New Roman" w:eastAsia="宋体" w:cs="Times New Roman"/>
          <w:color w:val="auto"/>
          <w:highlight w:val="none"/>
          <w:lang w:val="en-US" w:eastAsia="zh-CN"/>
        </w:rPr>
        <w:t>日</w:t>
      </w:r>
      <w:r>
        <w:rPr>
          <w:rFonts w:hint="default" w:ascii="Times New Roman" w:hAnsi="Times New Roman" w:eastAsia="宋体" w:cs="Times New Roman"/>
          <w:color w:val="auto"/>
          <w:highlight w:val="none"/>
        </w:rPr>
        <w:t>在</w:t>
      </w:r>
      <w:r>
        <w:rPr>
          <w:rFonts w:hint="eastAsia"/>
          <w:color w:val="auto"/>
          <w:highlight w:val="none"/>
          <w:lang w:val="en-US" w:eastAsia="zh-CN"/>
        </w:rPr>
        <w:t>岫岩满族自治县人民政府网站</w:t>
      </w:r>
      <w:r>
        <w:rPr>
          <w:rFonts w:hint="default" w:ascii="Times New Roman" w:hAnsi="Times New Roman" w:eastAsia="宋体" w:cs="Times New Roman"/>
          <w:color w:val="auto"/>
          <w:highlight w:val="none"/>
        </w:rPr>
        <w:t>上进行公示，公示期10个工作日；项目于20</w:t>
      </w:r>
      <w:r>
        <w:rPr>
          <w:rFonts w:hint="default"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2</w:t>
      </w:r>
      <w:r>
        <w:rPr>
          <w:rFonts w:hint="default" w:ascii="Times New Roman" w:hAnsi="Times New Roman" w:eastAsia="宋体" w:cs="Times New Roman"/>
          <w:color w:val="auto"/>
          <w:highlight w:val="none"/>
        </w:rPr>
        <w:t>年</w:t>
      </w:r>
      <w:r>
        <w:rPr>
          <w:rFonts w:hint="eastAsia" w:cs="Times New Roman"/>
          <w:color w:val="auto"/>
          <w:highlight w:val="none"/>
          <w:lang w:val="en-US" w:eastAsia="zh-CN"/>
        </w:rPr>
        <w:t>9</w:t>
      </w:r>
      <w:r>
        <w:rPr>
          <w:rFonts w:hint="default" w:ascii="Times New Roman" w:hAnsi="Times New Roman" w:eastAsia="宋体" w:cs="Times New Roman"/>
          <w:color w:val="auto"/>
          <w:highlight w:val="none"/>
        </w:rPr>
        <w:t>月</w:t>
      </w:r>
      <w:r>
        <w:rPr>
          <w:rFonts w:hint="default"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日和</w:t>
      </w:r>
      <w:r>
        <w:rPr>
          <w:rFonts w:hint="default" w:ascii="Times New Roman" w:hAnsi="Times New Roman" w:eastAsia="宋体" w:cs="Times New Roman"/>
          <w:color w:val="auto"/>
          <w:highlight w:val="none"/>
          <w:lang w:val="en-US" w:eastAsia="zh-CN"/>
        </w:rPr>
        <w:t>202</w:t>
      </w:r>
      <w:r>
        <w:rPr>
          <w:rFonts w:hint="eastAsia" w:cs="Times New Roman"/>
          <w:color w:val="auto"/>
          <w:highlight w:val="none"/>
          <w:lang w:val="en-US" w:eastAsia="zh-CN"/>
        </w:rPr>
        <w:t>2</w:t>
      </w:r>
      <w:r>
        <w:rPr>
          <w:rFonts w:hint="default" w:ascii="Times New Roman" w:hAnsi="Times New Roman" w:eastAsia="宋体" w:cs="Times New Roman"/>
          <w:color w:val="auto"/>
          <w:highlight w:val="none"/>
          <w:lang w:val="en-US" w:eastAsia="zh-CN"/>
        </w:rPr>
        <w:t>年</w:t>
      </w:r>
      <w:r>
        <w:rPr>
          <w:rFonts w:hint="eastAsia" w:cs="Times New Roman"/>
          <w:color w:val="auto"/>
          <w:highlight w:val="none"/>
          <w:lang w:val="en-US" w:eastAsia="zh-CN"/>
        </w:rPr>
        <w:t>9</w:t>
      </w:r>
      <w:r>
        <w:rPr>
          <w:rFonts w:hint="default" w:ascii="Times New Roman" w:hAnsi="Times New Roman" w:eastAsia="宋体" w:cs="Times New Roman"/>
          <w:color w:val="auto"/>
          <w:highlight w:val="none"/>
          <w:lang w:val="en-US" w:eastAsia="zh-CN"/>
        </w:rPr>
        <w:t>月</w:t>
      </w:r>
      <w:r>
        <w:rPr>
          <w:rFonts w:hint="eastAsia" w:cs="Times New Roman"/>
          <w:color w:val="auto"/>
          <w:highlight w:val="none"/>
          <w:lang w:val="en-US" w:eastAsia="zh-CN"/>
        </w:rPr>
        <w:t>28</w:t>
      </w:r>
      <w:r>
        <w:rPr>
          <w:rFonts w:hint="default" w:ascii="Times New Roman" w:hAnsi="Times New Roman" w:eastAsia="宋体" w:cs="Times New Roman"/>
          <w:color w:val="auto"/>
          <w:highlight w:val="none"/>
          <w:lang w:val="en-US" w:eastAsia="zh-CN"/>
        </w:rPr>
        <w:t>日</w:t>
      </w:r>
      <w:r>
        <w:rPr>
          <w:rFonts w:hint="default" w:ascii="Times New Roman" w:hAnsi="Times New Roman" w:eastAsia="宋体" w:cs="Times New Roman"/>
          <w:color w:val="auto"/>
          <w:highlight w:val="none"/>
        </w:rPr>
        <w:t>在</w:t>
      </w:r>
      <w:r>
        <w:rPr>
          <w:rFonts w:hint="default" w:ascii="Times New Roman" w:hAnsi="Times New Roman" w:eastAsia="宋体" w:cs="Times New Roman"/>
          <w:color w:val="auto"/>
          <w:highlight w:val="none"/>
          <w:lang w:val="en-US" w:eastAsia="zh-CN"/>
        </w:rPr>
        <w:t>辽沈晚报</w:t>
      </w:r>
      <w:r>
        <w:rPr>
          <w:rFonts w:hint="default" w:ascii="Times New Roman" w:hAnsi="Times New Roman" w:eastAsia="宋体" w:cs="Times New Roman"/>
          <w:color w:val="auto"/>
          <w:highlight w:val="none"/>
        </w:rPr>
        <w:t>报纸上进行了2次登报公示，公示期无人提出意见。符合《环境影响评价公众参与办法》要求。</w:t>
      </w:r>
    </w:p>
    <w:bookmarkEnd w:id="860"/>
    <w:bookmarkEnd w:id="865"/>
    <w:bookmarkEnd w:id="866"/>
    <w:p>
      <w:pPr>
        <w:pStyle w:val="4"/>
        <w:bidi w:val="0"/>
        <w:ind w:left="0" w:leftChars="0" w:firstLineChars="0"/>
        <w:rPr>
          <w:rFonts w:hint="default"/>
          <w:color w:val="auto"/>
          <w:highlight w:val="none"/>
        </w:rPr>
      </w:pPr>
      <w:bookmarkStart w:id="867" w:name="_Toc15376242"/>
      <w:bookmarkStart w:id="868" w:name="_Toc515537894"/>
      <w:bookmarkStart w:id="869" w:name="_Toc450827233"/>
      <w:bookmarkStart w:id="870" w:name="_Toc316410489"/>
      <w:bookmarkStart w:id="871" w:name="_Toc14153"/>
      <w:bookmarkStart w:id="872" w:name="_Toc213732093"/>
      <w:r>
        <w:rPr>
          <w:rFonts w:hint="default"/>
          <w:color w:val="auto"/>
          <w:highlight w:val="none"/>
        </w:rPr>
        <w:t>评价综合结论</w:t>
      </w:r>
      <w:bookmarkEnd w:id="867"/>
      <w:bookmarkEnd w:id="868"/>
      <w:bookmarkEnd w:id="869"/>
      <w:bookmarkEnd w:id="870"/>
      <w:bookmarkEnd w:id="871"/>
      <w:bookmarkEnd w:id="872"/>
    </w:p>
    <w:p>
      <w:pPr>
        <w:pStyle w:val="78"/>
        <w:ind w:firstLine="488"/>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岫岩满族自治县苏子沟镇大何家堡村钾长石矿开采15万t</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eastAsia="zh-CN"/>
        </w:rPr>
        <w:t>a钾长石矿石项目</w:t>
      </w:r>
      <w:r>
        <w:rPr>
          <w:rFonts w:hint="default" w:ascii="Times New Roman" w:hAnsi="Times New Roman" w:eastAsia="宋体" w:cs="Times New Roman"/>
          <w:color w:val="auto"/>
          <w:highlight w:val="none"/>
        </w:rPr>
        <w:t>，符合国家的产业政策要求，符合辽宁省矿产资源总体规划（2016-2020）环境影响报告书及其审查意见的相关要求；地下开采生产出的废石不升井，直接回填采空区，</w:t>
      </w:r>
      <w:r>
        <w:rPr>
          <w:rFonts w:hint="eastAsia" w:cs="Times New Roman"/>
          <w:color w:val="auto"/>
          <w:highlight w:val="none"/>
          <w:lang w:val="en-US" w:eastAsia="zh-CN"/>
        </w:rPr>
        <w:t>露天开采废石外卖综合利用，</w:t>
      </w:r>
      <w:r>
        <w:rPr>
          <w:rFonts w:hint="default" w:ascii="Times New Roman" w:hAnsi="Times New Roman" w:eastAsia="宋体" w:cs="Times New Roman"/>
          <w:color w:val="auto"/>
          <w:highlight w:val="none"/>
        </w:rPr>
        <w:t>最大限度减少工程占地和固废排放；生产中充分利用污废水，做到污废水零排放；</w:t>
      </w:r>
      <w:r>
        <w:rPr>
          <w:rFonts w:hint="eastAsia" w:cs="Times New Roman"/>
          <w:color w:val="auto"/>
          <w:highlight w:val="none"/>
          <w:lang w:val="en-US" w:eastAsia="zh-CN"/>
        </w:rPr>
        <w:t>严格</w:t>
      </w:r>
      <w:r>
        <w:rPr>
          <w:rFonts w:hint="default" w:ascii="Times New Roman" w:hAnsi="Times New Roman" w:eastAsia="宋体" w:cs="Times New Roman"/>
          <w:color w:val="auto"/>
          <w:highlight w:val="none"/>
          <w:lang w:val="en-US" w:eastAsia="zh-CN"/>
        </w:rPr>
        <w:t>《岫岩满族自治县苏子沟镇大何家堡村钾长石矿矿山地质环境保护与土地复垦方案》开展生态恢复工作，逐步减少裸露地面的面积，最终实现现状损毁土地的全面恢复植被。测评价，项目投产后各项污染物达标排放，对当地环境影响较小；COD和NH</w:t>
      </w:r>
      <w:r>
        <w:rPr>
          <w:rFonts w:hint="default" w:ascii="Times New Roman" w:hAnsi="Times New Roman" w:eastAsia="宋体" w:cs="Times New Roman"/>
          <w:color w:val="auto"/>
          <w:highlight w:val="none"/>
          <w:vertAlign w:val="subscript"/>
          <w:lang w:val="en-US" w:eastAsia="zh-CN"/>
        </w:rPr>
        <w:t>3</w:t>
      </w:r>
      <w:r>
        <w:rPr>
          <w:rFonts w:hint="default" w:ascii="Times New Roman" w:hAnsi="Times New Roman" w:eastAsia="宋体" w:cs="Times New Roman"/>
          <w:color w:val="auto"/>
          <w:highlight w:val="none"/>
          <w:lang w:val="en-US" w:eastAsia="zh-CN"/>
        </w:rPr>
        <w:t>-N等污染物零排放，满足总量控制要求。</w:t>
      </w:r>
    </w:p>
    <w:p>
      <w:pPr>
        <w:pStyle w:val="78"/>
        <w:ind w:firstLine="48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综上所述，在严格执行本次评价提出的各项污染防治措施、生态恢复措施及环境管理要求的前提下，项目建设所引发的不利环境影响能够得到有效缓解和控制，从合理利用资源和环境保护角度分析，本项目建设可行。</w:t>
      </w:r>
    </w:p>
    <w:p>
      <w:pPr>
        <w:pStyle w:val="78"/>
        <w:ind w:firstLine="488"/>
        <w:rPr>
          <w:rFonts w:hint="default" w:ascii="Times New Roman" w:hAnsi="Times New Roman" w:eastAsia="宋体" w:cs="Times New Roman"/>
          <w:color w:val="auto"/>
          <w:highlight w:val="none"/>
        </w:rPr>
      </w:pPr>
    </w:p>
    <w:p>
      <w:pPr>
        <w:ind w:firstLine="480"/>
        <w:rPr>
          <w:rFonts w:hint="default" w:ascii="Times New Roman" w:hAnsi="Times New Roman" w:eastAsia="宋体" w:cs="Times New Roman"/>
          <w:color w:val="auto"/>
          <w:highlight w:val="none"/>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74"/>
        <w:spacing w:line="240" w:lineRule="auto"/>
        <w:ind w:firstLine="422"/>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附表1建设项目大气环境影响评价自查表</w:t>
      </w:r>
    </w:p>
    <w:tbl>
      <w:tblPr>
        <w:tblStyle w:val="326"/>
        <w:tblW w:w="939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93"/>
        <w:gridCol w:w="1606"/>
        <w:gridCol w:w="1073"/>
        <w:gridCol w:w="500"/>
        <w:gridCol w:w="109"/>
        <w:gridCol w:w="240"/>
        <w:gridCol w:w="17"/>
        <w:gridCol w:w="186"/>
        <w:gridCol w:w="652"/>
        <w:gridCol w:w="278"/>
        <w:gridCol w:w="137"/>
        <w:gridCol w:w="96"/>
        <w:gridCol w:w="215"/>
        <w:gridCol w:w="824"/>
        <w:gridCol w:w="716"/>
        <w:gridCol w:w="303"/>
        <w:gridCol w:w="172"/>
        <w:gridCol w:w="656"/>
        <w:gridCol w:w="72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2499" w:type="dxa"/>
            <w:gridSpan w:val="2"/>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工作内容</w:t>
            </w:r>
          </w:p>
        </w:tc>
        <w:tc>
          <w:tcPr>
            <w:tcW w:w="6895" w:type="dxa"/>
            <w:gridSpan w:val="17"/>
            <w:vAlign w:val="center"/>
          </w:tcPr>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自查项目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评价等级与范围</w:t>
            </w: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评价等级</w:t>
            </w:r>
          </w:p>
        </w:tc>
        <w:tc>
          <w:tcPr>
            <w:tcW w:w="2777" w:type="dxa"/>
            <w:gridSpan w:val="7"/>
            <w:vAlign w:val="center"/>
          </w:tcPr>
          <w:p>
            <w:pPr>
              <w:pStyle w:val="104"/>
              <w:ind w:firstLine="562"/>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一级□</w:t>
            </w:r>
          </w:p>
        </w:tc>
        <w:tc>
          <w:tcPr>
            <w:tcW w:w="2569" w:type="dxa"/>
            <w:gridSpan w:val="7"/>
            <w:vAlign w:val="center"/>
          </w:tcPr>
          <w:p>
            <w:pPr>
              <w:pStyle w:val="104"/>
              <w:ind w:firstLine="562"/>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二级</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eq \o\ac(□,</w:instrText>
            </w:r>
            <w:r>
              <w:rPr>
                <w:rFonts w:hint="default" w:ascii="Times New Roman" w:hAnsi="Times New Roman" w:eastAsia="宋体" w:cs="Times New Roman"/>
                <w:color w:val="auto"/>
                <w:position w:val="2"/>
                <w:highlight w:val="none"/>
              </w:rPr>
              <w:instrText xml:space="preserve">√</w:instrText>
            </w:r>
            <w:r>
              <w:rPr>
                <w:rFonts w:hint="default" w:ascii="Times New Roman" w:hAnsi="Times New Roman" w:eastAsia="宋体" w:cs="Times New Roman"/>
                <w:color w:val="auto"/>
                <w:highlight w:val="none"/>
              </w:rPr>
              <w:instrText xml:space="preserve">)</w:instrText>
            </w:r>
            <w:r>
              <w:rPr>
                <w:rFonts w:hint="default" w:ascii="Times New Roman" w:hAnsi="Times New Roman" w:eastAsia="宋体" w:cs="Times New Roman"/>
                <w:color w:val="auto"/>
                <w:highlight w:val="none"/>
              </w:rPr>
              <w:fldChar w:fldCharType="end"/>
            </w:r>
          </w:p>
        </w:tc>
        <w:tc>
          <w:tcPr>
            <w:tcW w:w="1549" w:type="dxa"/>
            <w:gridSpan w:val="3"/>
            <w:vAlign w:val="center"/>
          </w:tcPr>
          <w:p>
            <w:pPr>
              <w:pStyle w:val="104"/>
              <w:ind w:firstLine="562"/>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评价范围</w:t>
            </w:r>
          </w:p>
        </w:tc>
        <w:tc>
          <w:tcPr>
            <w:tcW w:w="2777" w:type="dxa"/>
            <w:gridSpan w:val="7"/>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边长=50km□</w:t>
            </w:r>
          </w:p>
        </w:tc>
        <w:tc>
          <w:tcPr>
            <w:tcW w:w="2569" w:type="dxa"/>
            <w:gridSpan w:val="7"/>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边长5～50km□</w:t>
            </w:r>
          </w:p>
        </w:tc>
        <w:tc>
          <w:tcPr>
            <w:tcW w:w="1549" w:type="dxa"/>
            <w:gridSpan w:val="3"/>
            <w:vAlign w:val="center"/>
          </w:tcPr>
          <w:p>
            <w:pPr>
              <w:pStyle w:val="104"/>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边长=5km</w:t>
            </w:r>
            <w:r>
              <w:rPr>
                <w:rFonts w:hint="default" w:ascii="Times New Roman" w:hAnsi="Times New Roman" w:eastAsia="宋体" w:cs="Times New Roman"/>
                <w:color w:val="auto"/>
                <w:highlight w:val="none"/>
              </w:rPr>
              <w:fldChar w:fldCharType="begin"/>
            </w:r>
            <w:r>
              <w:rPr>
                <w:rFonts w:hint="default" w:ascii="Times New Roman" w:hAnsi="Times New Roman" w:eastAsia="宋体" w:cs="Times New Roman"/>
                <w:color w:val="auto"/>
                <w:highlight w:val="none"/>
              </w:rPr>
              <w:instrText xml:space="preserve"> eq \o\ac(□,</w:instrText>
            </w:r>
            <w:r>
              <w:rPr>
                <w:rFonts w:hint="default" w:ascii="Times New Roman" w:hAnsi="Times New Roman" w:eastAsia="宋体" w:cs="Times New Roman"/>
                <w:color w:val="auto"/>
                <w:position w:val="2"/>
                <w:highlight w:val="none"/>
              </w:rPr>
              <w:instrText xml:space="preserve">√</w:instrText>
            </w:r>
            <w:r>
              <w:rPr>
                <w:rFonts w:hint="default" w:ascii="Times New Roman" w:hAnsi="Times New Roman" w:eastAsia="宋体" w:cs="Times New Roman"/>
                <w:color w:val="auto"/>
                <w:highlight w:val="none"/>
              </w:rPr>
              <w:instrText xml:space="preserve">)</w:instrText>
            </w:r>
            <w:r>
              <w:rPr>
                <w:rFonts w:hint="default" w:ascii="Times New Roman" w:hAnsi="Times New Roman" w:eastAsia="宋体" w:cs="Times New Roman"/>
                <w:color w:val="auto"/>
                <w:highlight w:val="none"/>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评价因子</w:t>
            </w: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i/>
                <w:color w:val="auto"/>
                <w:sz w:val="18"/>
                <w:szCs w:val="18"/>
                <w:highlight w:val="none"/>
                <w:vertAlign w:val="subscript"/>
              </w:rPr>
              <w:t>x</w:t>
            </w:r>
            <w:r>
              <w:rPr>
                <w:rFonts w:hint="default" w:ascii="Times New Roman" w:hAnsi="Times New Roman" w:eastAsia="宋体" w:cs="Times New Roman"/>
                <w:color w:val="auto"/>
                <w:sz w:val="18"/>
                <w:szCs w:val="18"/>
                <w:highlight w:val="none"/>
              </w:rPr>
              <w:t>排放量</w:t>
            </w:r>
          </w:p>
        </w:tc>
        <w:tc>
          <w:tcPr>
            <w:tcW w:w="1573" w:type="dxa"/>
            <w:gridSpan w:val="2"/>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≥2000t/a□</w:t>
            </w:r>
          </w:p>
        </w:tc>
        <w:tc>
          <w:tcPr>
            <w:tcW w:w="3773" w:type="dxa"/>
            <w:gridSpan w:val="12"/>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500~2000t/a□</w:t>
            </w:r>
          </w:p>
        </w:tc>
        <w:tc>
          <w:tcPr>
            <w:tcW w:w="1549" w:type="dxa"/>
            <w:gridSpan w:val="3"/>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＜500t/a</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position w:val="2"/>
                <w:sz w:val="21"/>
                <w:highlight w:val="none"/>
              </w:rPr>
              <w:instrText xml:space="preserve">√</w:instrText>
            </w:r>
            <w:r>
              <w:rPr>
                <w:rFonts w:hint="default" w:ascii="Times New Roman" w:hAnsi="Times New Roman" w:eastAsia="宋体" w:cs="Times New Roman"/>
                <w:color w:val="auto"/>
                <w:sz w:val="21"/>
                <w:highlight w:val="none"/>
              </w:rPr>
              <w:instrText xml:space="preserve">)</w:instrText>
            </w:r>
            <w:r>
              <w:rPr>
                <w:rFonts w:hint="default" w:ascii="Times New Roman" w:hAnsi="Times New Roman" w:eastAsia="宋体" w:cs="Times New Roman"/>
                <w:color w:val="auto"/>
                <w:sz w:val="21"/>
                <w:highlight w:val="none"/>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19"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评价因子</w:t>
            </w:r>
          </w:p>
        </w:tc>
        <w:tc>
          <w:tcPr>
            <w:tcW w:w="3503" w:type="dxa"/>
            <w:gridSpan w:val="11"/>
            <w:vAlign w:val="center"/>
          </w:tcPr>
          <w:p>
            <w:pPr>
              <w:pStyle w:val="69"/>
              <w:spacing w:before="0" w:after="0" w:line="300" w:lineRule="atLeast"/>
              <w:ind w:firstLine="0" w:firstLineChar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基本污染物</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、CO、O</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default" w:ascii="Times New Roman" w:hAnsi="Times New Roman" w:eastAsia="宋体" w:cs="Times New Roman"/>
                <w:color w:val="auto"/>
                <w:sz w:val="21"/>
                <w:szCs w:val="21"/>
                <w:highlight w:val="none"/>
              </w:rPr>
              <w:t>、)</w:t>
            </w:r>
          </w:p>
          <w:p>
            <w:pPr>
              <w:pStyle w:val="69"/>
              <w:spacing w:before="0" w:after="0" w:line="300" w:lineRule="atLeast"/>
              <w:ind w:firstLine="0" w:firstLineChar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其他污染物(</w:t>
            </w:r>
            <w:r>
              <w:rPr>
                <w:rFonts w:hint="default" w:ascii="Times New Roman" w:hAnsi="Times New Roman" w:eastAsia="宋体" w:cs="Times New Roman"/>
                <w:color w:val="auto"/>
                <w:sz w:val="21"/>
                <w:szCs w:val="21"/>
                <w:highlight w:val="none"/>
              </w:rPr>
              <w:t>TSP</w:t>
            </w:r>
            <w:r>
              <w:rPr>
                <w:rFonts w:hint="default" w:ascii="Times New Roman" w:hAnsi="Times New Roman" w:eastAsia="宋体" w:cs="Times New Roman"/>
                <w:color w:val="auto"/>
                <w:highlight w:val="none"/>
              </w:rPr>
              <w:t>)</w:t>
            </w:r>
          </w:p>
        </w:tc>
        <w:tc>
          <w:tcPr>
            <w:tcW w:w="3392" w:type="dxa"/>
            <w:gridSpan w:val="6"/>
            <w:vAlign w:val="center"/>
          </w:tcPr>
          <w:p>
            <w:pPr>
              <w:pStyle w:val="69"/>
              <w:spacing w:before="0" w:after="0" w:line="300" w:lineRule="atLeast"/>
              <w:ind w:right="470" w:rightChars="196"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包括二次PM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w:t>
            </w:r>
          </w:p>
          <w:p>
            <w:pPr>
              <w:pStyle w:val="69"/>
              <w:spacing w:before="0" w:after="0" w:line="300" w:lineRule="atLeast"/>
              <w:ind w:right="470" w:rightChars="196"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不包括二次PM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position w:val="2"/>
                <w:sz w:val="21"/>
                <w:highlight w:val="none"/>
              </w:rPr>
              <w:instrText xml:space="preserve">√</w:instrText>
            </w:r>
            <w:r>
              <w:rPr>
                <w:rFonts w:hint="default" w:ascii="Times New Roman" w:hAnsi="Times New Roman" w:eastAsia="宋体" w:cs="Times New Roman"/>
                <w:color w:val="auto"/>
                <w:sz w:val="21"/>
                <w:highlight w:val="none"/>
              </w:rPr>
              <w:instrText xml:space="preserve">)</w:instrText>
            </w:r>
            <w:r>
              <w:rPr>
                <w:rFonts w:hint="default" w:ascii="Times New Roman" w:hAnsi="Times New Roman" w:eastAsia="宋体" w:cs="Times New Roman"/>
                <w:color w:val="auto"/>
                <w:sz w:val="21"/>
                <w:highlight w:val="none"/>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评价标准</w:t>
            </w: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评价标准</w:t>
            </w:r>
          </w:p>
        </w:tc>
        <w:tc>
          <w:tcPr>
            <w:tcW w:w="2125" w:type="dxa"/>
            <w:gridSpan w:val="6"/>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国家标准</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position w:val="2"/>
                <w:sz w:val="21"/>
                <w:highlight w:val="none"/>
              </w:rPr>
              <w:instrText xml:space="preserve">√</w:instrText>
            </w:r>
            <w:r>
              <w:rPr>
                <w:rFonts w:hint="default" w:ascii="Times New Roman" w:hAnsi="Times New Roman" w:eastAsia="宋体" w:cs="Times New Roman"/>
                <w:color w:val="auto"/>
                <w:sz w:val="21"/>
                <w:highlight w:val="none"/>
              </w:rPr>
              <w:instrText xml:space="preserve">)</w:instrText>
            </w:r>
            <w:r>
              <w:rPr>
                <w:rFonts w:hint="default" w:ascii="Times New Roman" w:hAnsi="Times New Roman" w:eastAsia="宋体" w:cs="Times New Roman"/>
                <w:color w:val="auto"/>
                <w:sz w:val="21"/>
                <w:highlight w:val="none"/>
              </w:rPr>
              <w:fldChar w:fldCharType="end"/>
            </w:r>
          </w:p>
        </w:tc>
        <w:tc>
          <w:tcPr>
            <w:tcW w:w="1378" w:type="dxa"/>
            <w:gridSpan w:val="5"/>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地方标准□</w:t>
            </w:r>
          </w:p>
        </w:tc>
        <w:tc>
          <w:tcPr>
            <w:tcW w:w="2015" w:type="dxa"/>
            <w:gridSpan w:val="4"/>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附录D□</w:t>
            </w:r>
          </w:p>
        </w:tc>
        <w:tc>
          <w:tcPr>
            <w:tcW w:w="1377" w:type="dxa"/>
            <w:gridSpan w:val="2"/>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现状评价</w:t>
            </w: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环境功能区</w:t>
            </w:r>
          </w:p>
        </w:tc>
        <w:tc>
          <w:tcPr>
            <w:tcW w:w="2777" w:type="dxa"/>
            <w:gridSpan w:val="7"/>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一类区□</w:t>
            </w:r>
          </w:p>
        </w:tc>
        <w:tc>
          <w:tcPr>
            <w:tcW w:w="2266" w:type="dxa"/>
            <w:gridSpan w:val="6"/>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二类区</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position w:val="2"/>
                <w:sz w:val="21"/>
                <w:highlight w:val="none"/>
              </w:rPr>
              <w:instrText xml:space="preserve">√</w:instrText>
            </w:r>
            <w:r>
              <w:rPr>
                <w:rFonts w:hint="default" w:ascii="Times New Roman" w:hAnsi="Times New Roman" w:eastAsia="宋体" w:cs="Times New Roman"/>
                <w:color w:val="auto"/>
                <w:sz w:val="21"/>
                <w:highlight w:val="none"/>
              </w:rPr>
              <w:instrText xml:space="preserve">)</w:instrText>
            </w:r>
            <w:r>
              <w:rPr>
                <w:rFonts w:hint="default" w:ascii="Times New Roman" w:hAnsi="Times New Roman" w:eastAsia="宋体" w:cs="Times New Roman"/>
                <w:color w:val="auto"/>
                <w:sz w:val="21"/>
                <w:highlight w:val="none"/>
              </w:rPr>
              <w:fldChar w:fldCharType="end"/>
            </w:r>
          </w:p>
        </w:tc>
        <w:tc>
          <w:tcPr>
            <w:tcW w:w="1852" w:type="dxa"/>
            <w:gridSpan w:val="4"/>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一类区和二类区□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评价基准年</w:t>
            </w:r>
          </w:p>
        </w:tc>
        <w:tc>
          <w:tcPr>
            <w:tcW w:w="6895" w:type="dxa"/>
            <w:gridSpan w:val="17"/>
            <w:vAlign w:val="center"/>
          </w:tcPr>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（20</w:t>
            </w:r>
            <w:r>
              <w:rPr>
                <w:rFonts w:hint="default"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1</w:t>
            </w:r>
            <w:r>
              <w:rPr>
                <w:rFonts w:hint="default" w:ascii="Times New Roman" w:hAnsi="Times New Roman" w:eastAsia="宋体" w:cs="Times New Roman"/>
                <w:color w:val="auto"/>
                <w:highlight w:val="none"/>
              </w:rPr>
              <w:t>）年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环境空气质量</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现状调查数据来源</w:t>
            </w:r>
          </w:p>
        </w:tc>
        <w:tc>
          <w:tcPr>
            <w:tcW w:w="2777" w:type="dxa"/>
            <w:gridSpan w:val="7"/>
            <w:vAlign w:val="center"/>
          </w:tcPr>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长期例行监测数据□</w:t>
            </w:r>
          </w:p>
        </w:tc>
        <w:tc>
          <w:tcPr>
            <w:tcW w:w="2569" w:type="dxa"/>
            <w:gridSpan w:val="7"/>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主管部门发布的数据□</w:t>
            </w:r>
          </w:p>
        </w:tc>
        <w:tc>
          <w:tcPr>
            <w:tcW w:w="1549" w:type="dxa"/>
            <w:gridSpan w:val="3"/>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现状补充监测</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position w:val="2"/>
                <w:sz w:val="21"/>
                <w:highlight w:val="none"/>
              </w:rPr>
              <w:instrText xml:space="preserve">√</w:instrText>
            </w:r>
            <w:r>
              <w:rPr>
                <w:rFonts w:hint="default" w:ascii="Times New Roman" w:hAnsi="Times New Roman" w:eastAsia="宋体" w:cs="Times New Roman"/>
                <w:color w:val="auto"/>
                <w:sz w:val="21"/>
                <w:highlight w:val="none"/>
              </w:rPr>
              <w:instrText xml:space="preserve">)</w:instrText>
            </w:r>
            <w:r>
              <w:rPr>
                <w:rFonts w:hint="default" w:ascii="Times New Roman" w:hAnsi="Times New Roman" w:eastAsia="宋体" w:cs="Times New Roman"/>
                <w:color w:val="auto"/>
                <w:sz w:val="21"/>
                <w:highlight w:val="none"/>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现状评价</w:t>
            </w:r>
          </w:p>
        </w:tc>
        <w:tc>
          <w:tcPr>
            <w:tcW w:w="3503" w:type="dxa"/>
            <w:gridSpan w:val="11"/>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达标区</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sz w:val="21"/>
                <w:highlight w:val="none"/>
              </w:rPr>
              <w:fldChar w:fldCharType="end"/>
            </w:r>
          </w:p>
        </w:tc>
        <w:tc>
          <w:tcPr>
            <w:tcW w:w="3392" w:type="dxa"/>
            <w:gridSpan w:val="6"/>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不达标区</w:t>
            </w:r>
            <w:r>
              <w:rPr>
                <w:rFonts w:hint="default" w:ascii="Times New Roman" w:hAnsi="Times New Roman" w:eastAsia="宋体" w:cs="Times New Roman"/>
                <w:color w:val="auto"/>
                <w:highlight w:val="none"/>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Align w:val="center"/>
          </w:tcPr>
          <w:p>
            <w:pPr>
              <w:pStyle w:val="104"/>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污染源</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调查</w:t>
            </w: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调查内容</w:t>
            </w:r>
          </w:p>
        </w:tc>
        <w:tc>
          <w:tcPr>
            <w:tcW w:w="2125" w:type="dxa"/>
            <w:gridSpan w:val="6"/>
            <w:vAlign w:val="center"/>
          </w:tcPr>
          <w:p>
            <w:pPr>
              <w:pStyle w:val="78"/>
              <w:ind w:firstLine="368"/>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本项目正常排放源</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position w:val="2"/>
                <w:sz w:val="21"/>
                <w:highlight w:val="none"/>
              </w:rPr>
              <w:instrText xml:space="preserve">√</w:instrText>
            </w:r>
            <w:r>
              <w:rPr>
                <w:rFonts w:hint="default" w:ascii="Times New Roman" w:hAnsi="Times New Roman" w:eastAsia="宋体" w:cs="Times New Roman"/>
                <w:color w:val="auto"/>
                <w:sz w:val="21"/>
                <w:highlight w:val="none"/>
              </w:rPr>
              <w:instrText xml:space="preserve">)</w:instrText>
            </w:r>
            <w:r>
              <w:rPr>
                <w:rFonts w:hint="default" w:ascii="Times New Roman" w:hAnsi="Times New Roman" w:eastAsia="宋体" w:cs="Times New Roman"/>
                <w:color w:val="auto"/>
                <w:sz w:val="21"/>
                <w:highlight w:val="none"/>
              </w:rPr>
              <w:fldChar w:fldCharType="end"/>
            </w:r>
          </w:p>
          <w:p>
            <w:pPr>
              <w:pStyle w:val="78"/>
              <w:ind w:firstLine="184" w:firstLineChars="10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本项目非正常排放源□</w:t>
            </w:r>
          </w:p>
          <w:p>
            <w:pPr>
              <w:pStyle w:val="78"/>
              <w:ind w:firstLine="920" w:firstLineChars="50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现有污染源□</w:t>
            </w:r>
          </w:p>
        </w:tc>
        <w:tc>
          <w:tcPr>
            <w:tcW w:w="1378" w:type="dxa"/>
            <w:gridSpan w:val="5"/>
            <w:vAlign w:val="center"/>
          </w:tcPr>
          <w:p>
            <w:pPr>
              <w:pStyle w:val="69"/>
              <w:spacing w:before="0" w:after="0" w:line="300" w:lineRule="atLeast"/>
              <w:ind w:firstLine="0" w:firstLineChars="0"/>
              <w:jc w:val="both"/>
              <w:rPr>
                <w:rFonts w:hint="default" w:ascii="Times New Roman" w:hAnsi="Times New Roman" w:eastAsia="宋体" w:cs="Times New Roman"/>
                <w:color w:val="auto"/>
                <w:szCs w:val="18"/>
                <w:highlight w:val="none"/>
              </w:rPr>
            </w:pPr>
            <w:r>
              <w:rPr>
                <w:rFonts w:hint="default" w:ascii="Times New Roman" w:hAnsi="Times New Roman" w:eastAsia="宋体" w:cs="Times New Roman"/>
                <w:color w:val="auto"/>
                <w:szCs w:val="18"/>
                <w:highlight w:val="none"/>
              </w:rPr>
              <w:t>拟替代的污染源</w:t>
            </w:r>
            <w:r>
              <w:rPr>
                <w:rFonts w:hint="default" w:ascii="Times New Roman" w:hAnsi="Times New Roman" w:eastAsia="宋体" w:cs="Times New Roman"/>
                <w:color w:val="auto"/>
                <w:highlight w:val="none"/>
              </w:rPr>
              <w:t>□</w:t>
            </w:r>
          </w:p>
        </w:tc>
        <w:tc>
          <w:tcPr>
            <w:tcW w:w="2015" w:type="dxa"/>
            <w:gridSpan w:val="4"/>
            <w:vAlign w:val="center"/>
          </w:tcPr>
          <w:p>
            <w:pPr>
              <w:pStyle w:val="69"/>
              <w:spacing w:before="0" w:after="0" w:line="300" w:lineRule="atLeast"/>
              <w:ind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其他在建、拟建项目污染源□</w:t>
            </w:r>
          </w:p>
        </w:tc>
        <w:tc>
          <w:tcPr>
            <w:tcW w:w="1377" w:type="dxa"/>
            <w:gridSpan w:val="2"/>
            <w:vAlign w:val="center"/>
          </w:tcPr>
          <w:p>
            <w:pPr>
              <w:pStyle w:val="69"/>
              <w:spacing w:before="0" w:after="0" w:line="300" w:lineRule="atLeast"/>
              <w:ind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区域污染源□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restart"/>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大气环境影响预测与评价</w:t>
            </w: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预测模型</w:t>
            </w:r>
          </w:p>
        </w:tc>
        <w:tc>
          <w:tcPr>
            <w:tcW w:w="1073" w:type="dxa"/>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AERMOD</w:t>
            </w:r>
            <w:r>
              <w:rPr>
                <w:rFonts w:hint="default" w:ascii="Times New Roman" w:hAnsi="Times New Roman" w:eastAsia="宋体" w:cs="Times New Roman"/>
                <w:color w:val="auto"/>
                <w:sz w:val="18"/>
                <w:szCs w:val="18"/>
                <w:highlight w:val="none"/>
              </w:rPr>
              <w:fldChar w:fldCharType="begin"/>
            </w:r>
            <w:r>
              <w:rPr>
                <w:rFonts w:hint="default" w:ascii="Times New Roman" w:hAnsi="Times New Roman" w:eastAsia="宋体" w:cs="Times New Roman"/>
                <w:color w:val="auto"/>
                <w:sz w:val="18"/>
                <w:szCs w:val="18"/>
                <w:highlight w:val="none"/>
              </w:rPr>
              <w:instrText xml:space="preserve"> eq \o\ac(□)</w:instrText>
            </w:r>
            <w:r>
              <w:rPr>
                <w:rFonts w:hint="default" w:ascii="Times New Roman" w:hAnsi="Times New Roman" w:eastAsia="宋体" w:cs="Times New Roman"/>
                <w:color w:val="auto"/>
                <w:sz w:val="18"/>
                <w:szCs w:val="18"/>
                <w:highlight w:val="none"/>
              </w:rPr>
              <w:fldChar w:fldCharType="end"/>
            </w:r>
          </w:p>
        </w:tc>
        <w:tc>
          <w:tcPr>
            <w:tcW w:w="849" w:type="dxa"/>
            <w:gridSpan w:val="3"/>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ADMS□</w:t>
            </w:r>
          </w:p>
        </w:tc>
        <w:tc>
          <w:tcPr>
            <w:tcW w:w="1270" w:type="dxa"/>
            <w:gridSpan w:val="5"/>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AUSTAL2000□</w:t>
            </w:r>
          </w:p>
        </w:tc>
        <w:tc>
          <w:tcPr>
            <w:tcW w:w="1135" w:type="dxa"/>
            <w:gridSpan w:val="3"/>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EDMS/AEDT</w:t>
            </w:r>
          </w:p>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1019" w:type="dxa"/>
            <w:gridSpan w:val="2"/>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CALPUFF</w:t>
            </w:r>
          </w:p>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828" w:type="dxa"/>
            <w:gridSpan w:val="2"/>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网格模型</w:t>
            </w:r>
          </w:p>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721" w:type="dxa"/>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3"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预测范围</w:t>
            </w:r>
          </w:p>
        </w:tc>
        <w:tc>
          <w:tcPr>
            <w:tcW w:w="1922" w:type="dxa"/>
            <w:gridSpan w:val="4"/>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边长≥50km□</w:t>
            </w:r>
          </w:p>
        </w:tc>
        <w:tc>
          <w:tcPr>
            <w:tcW w:w="3424" w:type="dxa"/>
            <w:gridSpan w:val="10"/>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边长5～50km□</w:t>
            </w:r>
          </w:p>
        </w:tc>
        <w:tc>
          <w:tcPr>
            <w:tcW w:w="1549" w:type="dxa"/>
            <w:gridSpan w:val="3"/>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边长=5km</w:t>
            </w:r>
            <w:r>
              <w:rPr>
                <w:rFonts w:hint="default" w:ascii="Times New Roman" w:hAnsi="Times New Roman" w:eastAsia="宋体" w:cs="Times New Roman"/>
                <w:color w:val="auto"/>
                <w:sz w:val="18"/>
                <w:szCs w:val="18"/>
                <w:highlight w:val="none"/>
              </w:rPr>
              <w:fldChar w:fldCharType="begin"/>
            </w:r>
            <w:r>
              <w:rPr>
                <w:rFonts w:hint="default" w:ascii="Times New Roman" w:hAnsi="Times New Roman" w:eastAsia="宋体" w:cs="Times New Roman"/>
                <w:color w:val="auto"/>
                <w:sz w:val="18"/>
                <w:szCs w:val="18"/>
                <w:highlight w:val="none"/>
              </w:rPr>
              <w:instrText xml:space="preserve"> eq \o\ac(□)</w:instrText>
            </w:r>
            <w:r>
              <w:rPr>
                <w:rFonts w:hint="default" w:ascii="Times New Roman" w:hAnsi="Times New Roman" w:eastAsia="宋体" w:cs="Times New Roman"/>
                <w:color w:val="auto"/>
                <w:sz w:val="18"/>
                <w:szCs w:val="18"/>
                <w:highlight w:val="none"/>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6"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预测因子</w:t>
            </w:r>
          </w:p>
        </w:tc>
        <w:tc>
          <w:tcPr>
            <w:tcW w:w="3503" w:type="dxa"/>
            <w:gridSpan w:val="11"/>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预测因子</w:t>
            </w:r>
            <w:r>
              <w:rPr>
                <w:rFonts w:hint="default" w:ascii="Times New Roman" w:hAnsi="Times New Roman" w:eastAsia="宋体" w:cs="Times New Roman"/>
                <w:color w:val="auto"/>
                <w:szCs w:val="18"/>
                <w:highlight w:val="none"/>
              </w:rPr>
              <w:t>(</w:t>
            </w:r>
            <w:r>
              <w:rPr>
                <w:rFonts w:hint="default" w:ascii="Times New Roman" w:hAnsi="Times New Roman" w:eastAsia="宋体" w:cs="Times New Roman"/>
                <w:color w:val="auto"/>
                <w:szCs w:val="18"/>
                <w:highlight w:val="none"/>
                <w:lang w:val="en-US" w:eastAsia="zh-CN"/>
              </w:rPr>
              <w:t xml:space="preserve">    </w:t>
            </w:r>
            <w:r>
              <w:rPr>
                <w:rFonts w:hint="default" w:ascii="Times New Roman" w:hAnsi="Times New Roman" w:eastAsia="宋体" w:cs="Times New Roman"/>
                <w:color w:val="auto"/>
                <w:szCs w:val="18"/>
                <w:highlight w:val="none"/>
              </w:rPr>
              <w:t>)</w:t>
            </w:r>
          </w:p>
        </w:tc>
        <w:tc>
          <w:tcPr>
            <w:tcW w:w="3392" w:type="dxa"/>
            <w:gridSpan w:val="6"/>
            <w:vAlign w:val="center"/>
          </w:tcPr>
          <w:p>
            <w:pPr>
              <w:pStyle w:val="69"/>
              <w:spacing w:before="0" w:after="0" w:line="300" w:lineRule="atLeast"/>
              <w:ind w:right="631" w:rightChars="263"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包括二次PM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w:t>
            </w:r>
          </w:p>
          <w:p>
            <w:pPr>
              <w:pStyle w:val="69"/>
              <w:spacing w:before="0" w:after="0" w:line="300" w:lineRule="atLeast"/>
              <w:ind w:right="631" w:rightChars="263"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不包括二次PM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sz w:val="21"/>
                <w:highlight w:val="none"/>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正常排放短期浓度</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贡献值</w:t>
            </w:r>
          </w:p>
        </w:tc>
        <w:tc>
          <w:tcPr>
            <w:tcW w:w="3503" w:type="dxa"/>
            <w:gridSpan w:val="11"/>
            <w:vAlign w:val="center"/>
          </w:tcPr>
          <w:p>
            <w:pPr>
              <w:pStyle w:val="69"/>
              <w:spacing w:before="0" w:after="0" w:line="300" w:lineRule="atLeast"/>
              <w:ind w:firstLine="400"/>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m:sty m:val="p"/>
                    </m:rPr>
                    <w:rPr>
                      <w:rFonts w:hint="default" w:ascii="Cambria Math" w:hAnsi="Cambria Math" w:eastAsia="宋体" w:cs="Times New Roman"/>
                      <w:color w:val="auto"/>
                      <w:highlight w:val="none"/>
                    </w:rPr>
                    <m:t>本项目</m:t>
                  </m:r>
                  <m:ctrlPr>
                    <w:rPr>
                      <w:rFonts w:hint="default" w:ascii="Cambria Math" w:hAnsi="Cambria Math" w:eastAsia="宋体" w:cs="Times New Roman"/>
                      <w:i/>
                      <w:color w:val="auto"/>
                      <w:highlight w:val="none"/>
                    </w:rPr>
                  </m:ctrlPr>
                </m:sub>
              </m:sSub>
            </m:oMath>
            <w:r>
              <w:rPr>
                <w:rFonts w:hint="default" w:ascii="Times New Roman" w:hAnsi="Times New Roman" w:eastAsia="宋体" w:cs="Times New Roman"/>
                <w:color w:val="auto"/>
                <w:highlight w:val="none"/>
              </w:rPr>
              <w:t>最大占标率≤100%</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sz w:val="21"/>
                <w:highlight w:val="none"/>
              </w:rPr>
              <w:fldChar w:fldCharType="end"/>
            </w:r>
          </w:p>
        </w:tc>
        <w:tc>
          <w:tcPr>
            <w:tcW w:w="3392" w:type="dxa"/>
            <w:gridSpan w:val="6"/>
            <w:vAlign w:val="center"/>
          </w:tcPr>
          <w:p>
            <w:pPr>
              <w:pStyle w:val="69"/>
              <w:spacing w:before="0" w:after="0" w:line="300" w:lineRule="atLeast"/>
              <w:ind w:firstLine="400"/>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m:sty m:val="p"/>
                    </m:rPr>
                    <w:rPr>
                      <w:rFonts w:hint="default" w:ascii="Cambria Math" w:hAnsi="Cambria Math" w:eastAsia="宋体" w:cs="Times New Roman"/>
                      <w:color w:val="auto"/>
                      <w:highlight w:val="none"/>
                    </w:rPr>
                    <m:t>本项目</m:t>
                  </m:r>
                  <m:ctrlPr>
                    <w:rPr>
                      <w:rFonts w:hint="default" w:ascii="Cambria Math" w:hAnsi="Cambria Math" w:eastAsia="宋体" w:cs="Times New Roman"/>
                      <w:i/>
                      <w:color w:val="auto"/>
                      <w:highlight w:val="none"/>
                    </w:rPr>
                  </m:ctrlPr>
                </m:sub>
              </m:sSub>
            </m:oMath>
            <w:r>
              <w:rPr>
                <w:rFonts w:hint="default" w:ascii="Times New Roman" w:hAnsi="Times New Roman" w:eastAsia="宋体" w:cs="Times New Roman"/>
                <w:color w:val="auto"/>
                <w:highlight w:val="none"/>
              </w:rPr>
              <w:t>最大占标率＞100%□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44"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Merge w:val="restart"/>
            <w:vAlign w:val="center"/>
          </w:tcPr>
          <w:p>
            <w:pPr>
              <w:pStyle w:val="104"/>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正常排放年均浓度</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贡献值</w:t>
            </w:r>
          </w:p>
        </w:tc>
        <w:tc>
          <w:tcPr>
            <w:tcW w:w="1073" w:type="dxa"/>
            <w:tcBorders>
              <w:right w:val="single" w:color="auto" w:sz="4" w:space="0"/>
            </w:tcBorders>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一类区</w:t>
            </w:r>
          </w:p>
        </w:tc>
        <w:tc>
          <w:tcPr>
            <w:tcW w:w="2430" w:type="dxa"/>
            <w:gridSpan w:val="10"/>
            <w:tcBorders>
              <w:left w:val="single" w:color="auto" w:sz="4" w:space="0"/>
            </w:tcBorders>
            <w:vAlign w:val="center"/>
          </w:tcPr>
          <w:p>
            <w:pPr>
              <w:pStyle w:val="104"/>
              <w:jc w:val="center"/>
              <w:rPr>
                <w:rFonts w:hint="default" w:ascii="Times New Roman" w:hAnsi="Times New Roman" w:eastAsia="宋体" w:cs="Times New Roman"/>
                <w:color w:val="auto"/>
                <w:sz w:val="18"/>
                <w:szCs w:val="18"/>
                <w:highlight w:val="none"/>
              </w:rPr>
            </w:pPr>
            <m:oMath>
              <m:sSub>
                <m:sSubPr>
                  <m:ctrlPr>
                    <w:rPr>
                      <w:rFonts w:hint="default" w:ascii="Cambria Math" w:hAnsi="Cambria Math" w:eastAsia="宋体" w:cs="Times New Roman"/>
                      <w:i/>
                      <w:color w:val="auto"/>
                      <w:sz w:val="18"/>
                      <w:szCs w:val="18"/>
                      <w:highlight w:val="none"/>
                    </w:rPr>
                  </m:ctrlPr>
                </m:sSubPr>
                <m:e>
                  <m:r>
                    <m:rPr/>
                    <w:rPr>
                      <w:rFonts w:hint="default" w:ascii="Cambria Math" w:hAnsi="Cambria Math" w:eastAsia="宋体" w:cs="Times New Roman"/>
                      <w:color w:val="auto"/>
                      <w:sz w:val="18"/>
                      <w:szCs w:val="18"/>
                      <w:highlight w:val="none"/>
                    </w:rPr>
                    <m:t>C</m:t>
                  </m:r>
                  <m:ctrlPr>
                    <w:rPr>
                      <w:rFonts w:hint="default" w:ascii="Cambria Math" w:hAnsi="Cambria Math" w:eastAsia="宋体" w:cs="Times New Roman"/>
                      <w:i/>
                      <w:color w:val="auto"/>
                      <w:sz w:val="18"/>
                      <w:szCs w:val="18"/>
                      <w:highlight w:val="none"/>
                    </w:rPr>
                  </m:ctrlPr>
                </m:e>
                <m:sub>
                  <m:r>
                    <m:rPr>
                      <m:sty m:val="p"/>
                    </m:rPr>
                    <w:rPr>
                      <w:rFonts w:hint="default" w:ascii="Cambria Math" w:hAnsi="Cambria Math" w:eastAsia="宋体" w:cs="Times New Roman"/>
                      <w:color w:val="auto"/>
                      <w:sz w:val="18"/>
                      <w:szCs w:val="18"/>
                      <w:highlight w:val="none"/>
                    </w:rPr>
                    <m:t>本项目</m:t>
                  </m:r>
                  <m:ctrlPr>
                    <w:rPr>
                      <w:rFonts w:hint="default" w:ascii="Cambria Math" w:hAnsi="Cambria Math" w:eastAsia="宋体" w:cs="Times New Roman"/>
                      <w:i/>
                      <w:color w:val="auto"/>
                      <w:sz w:val="18"/>
                      <w:szCs w:val="18"/>
                      <w:highlight w:val="none"/>
                    </w:rPr>
                  </m:ctrlPr>
                </m:sub>
              </m:sSub>
            </m:oMath>
            <w:r>
              <w:rPr>
                <w:rFonts w:hint="default" w:ascii="Times New Roman" w:hAnsi="Times New Roman" w:eastAsia="宋体" w:cs="Times New Roman"/>
                <w:color w:val="auto"/>
                <w:sz w:val="18"/>
                <w:szCs w:val="18"/>
                <w:highlight w:val="none"/>
              </w:rPr>
              <w:t>最大占标率≤10%□</w:t>
            </w:r>
          </w:p>
        </w:tc>
        <w:tc>
          <w:tcPr>
            <w:tcW w:w="3392" w:type="dxa"/>
            <w:gridSpan w:val="6"/>
            <w:vAlign w:val="center"/>
          </w:tcPr>
          <w:p>
            <w:pPr>
              <w:pStyle w:val="69"/>
              <w:spacing w:before="0" w:after="0" w:line="300" w:lineRule="atLeast"/>
              <w:ind w:firstLine="400"/>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 xml:space="preserve">     C</m:t>
                  </m:r>
                  <m:ctrlPr>
                    <w:rPr>
                      <w:rFonts w:hint="default" w:ascii="Cambria Math" w:hAnsi="Cambria Math" w:eastAsia="宋体" w:cs="Times New Roman"/>
                      <w:i/>
                      <w:color w:val="auto"/>
                      <w:highlight w:val="none"/>
                    </w:rPr>
                  </m:ctrlPr>
                </m:e>
                <m:sub>
                  <m:r>
                    <m:rPr>
                      <m:sty m:val="p"/>
                    </m:rPr>
                    <w:rPr>
                      <w:rFonts w:hint="default" w:ascii="Cambria Math" w:hAnsi="Cambria Math" w:eastAsia="宋体" w:cs="Times New Roman"/>
                      <w:color w:val="auto"/>
                      <w:highlight w:val="none"/>
                    </w:rPr>
                    <m:t>本项目</m:t>
                  </m:r>
                  <m:ctrlPr>
                    <w:rPr>
                      <w:rFonts w:hint="default" w:ascii="Cambria Math" w:hAnsi="Cambria Math" w:eastAsia="宋体" w:cs="Times New Roman"/>
                      <w:i/>
                      <w:color w:val="auto"/>
                      <w:highlight w:val="none"/>
                    </w:rPr>
                  </m:ctrlPr>
                </m:sub>
              </m:sSub>
            </m:oMath>
            <w:r>
              <w:rPr>
                <w:rFonts w:hint="default" w:ascii="Times New Roman" w:hAnsi="Times New Roman" w:eastAsia="宋体" w:cs="Times New Roman"/>
                <w:color w:val="auto"/>
                <w:highlight w:val="none"/>
              </w:rPr>
              <w:t>最大标率＞10%□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7"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073" w:type="dxa"/>
            <w:tcBorders>
              <w:right w:val="single" w:color="auto" w:sz="4" w:space="0"/>
            </w:tcBorders>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二类区</w:t>
            </w:r>
          </w:p>
        </w:tc>
        <w:tc>
          <w:tcPr>
            <w:tcW w:w="2430" w:type="dxa"/>
            <w:gridSpan w:val="10"/>
            <w:tcBorders>
              <w:left w:val="single" w:color="auto" w:sz="4" w:space="0"/>
            </w:tcBorders>
            <w:vAlign w:val="center"/>
          </w:tcPr>
          <w:p>
            <w:pPr>
              <w:pStyle w:val="104"/>
              <w:jc w:val="center"/>
              <w:rPr>
                <w:rFonts w:hint="default" w:ascii="Times New Roman" w:hAnsi="Times New Roman" w:eastAsia="宋体" w:cs="Times New Roman"/>
                <w:color w:val="auto"/>
                <w:sz w:val="18"/>
                <w:szCs w:val="18"/>
                <w:highlight w:val="none"/>
              </w:rPr>
            </w:pPr>
            <m:oMath>
              <m:sSub>
                <m:sSubPr>
                  <m:ctrlPr>
                    <w:rPr>
                      <w:rFonts w:hint="default" w:ascii="Cambria Math" w:hAnsi="Cambria Math" w:eastAsia="宋体" w:cs="Times New Roman"/>
                      <w:i/>
                      <w:color w:val="auto"/>
                      <w:sz w:val="18"/>
                      <w:szCs w:val="18"/>
                      <w:highlight w:val="none"/>
                    </w:rPr>
                  </m:ctrlPr>
                </m:sSubPr>
                <m:e>
                  <m:r>
                    <m:rPr/>
                    <w:rPr>
                      <w:rFonts w:hint="default" w:ascii="Cambria Math" w:hAnsi="Cambria Math" w:eastAsia="宋体" w:cs="Times New Roman"/>
                      <w:color w:val="auto"/>
                      <w:sz w:val="18"/>
                      <w:szCs w:val="18"/>
                      <w:highlight w:val="none"/>
                    </w:rPr>
                    <m:t>C</m:t>
                  </m:r>
                  <m:ctrlPr>
                    <w:rPr>
                      <w:rFonts w:hint="default" w:ascii="Cambria Math" w:hAnsi="Cambria Math" w:eastAsia="宋体" w:cs="Times New Roman"/>
                      <w:i/>
                      <w:color w:val="auto"/>
                      <w:sz w:val="18"/>
                      <w:szCs w:val="18"/>
                      <w:highlight w:val="none"/>
                    </w:rPr>
                  </m:ctrlPr>
                </m:e>
                <m:sub>
                  <m:r>
                    <m:rPr>
                      <m:sty m:val="p"/>
                    </m:rPr>
                    <w:rPr>
                      <w:rFonts w:hint="default" w:ascii="Cambria Math" w:hAnsi="Cambria Math" w:eastAsia="宋体" w:cs="Times New Roman"/>
                      <w:color w:val="auto"/>
                      <w:sz w:val="18"/>
                      <w:szCs w:val="18"/>
                      <w:highlight w:val="none"/>
                    </w:rPr>
                    <m:t>本项目</m:t>
                  </m:r>
                  <m:ctrlPr>
                    <w:rPr>
                      <w:rFonts w:hint="default" w:ascii="Cambria Math" w:hAnsi="Cambria Math" w:eastAsia="宋体" w:cs="Times New Roman"/>
                      <w:i/>
                      <w:color w:val="auto"/>
                      <w:sz w:val="18"/>
                      <w:szCs w:val="18"/>
                      <w:highlight w:val="none"/>
                    </w:rPr>
                  </m:ctrlPr>
                </m:sub>
              </m:sSub>
            </m:oMath>
            <w:r>
              <w:rPr>
                <w:rFonts w:hint="default" w:ascii="Times New Roman" w:hAnsi="Times New Roman" w:eastAsia="宋体" w:cs="Times New Roman"/>
                <w:color w:val="auto"/>
                <w:sz w:val="18"/>
                <w:szCs w:val="18"/>
                <w:highlight w:val="none"/>
              </w:rPr>
              <w:t>最大占标率≤30%□</w:t>
            </w:r>
          </w:p>
        </w:tc>
        <w:tc>
          <w:tcPr>
            <w:tcW w:w="3392" w:type="dxa"/>
            <w:gridSpan w:val="6"/>
            <w:vAlign w:val="center"/>
          </w:tcPr>
          <w:p>
            <w:pPr>
              <w:pStyle w:val="69"/>
              <w:spacing w:before="0" w:after="0" w:line="300" w:lineRule="atLeast"/>
              <w:ind w:firstLine="400"/>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 xml:space="preserve">     C</m:t>
                  </m:r>
                  <m:ctrlPr>
                    <w:rPr>
                      <w:rFonts w:hint="default" w:ascii="Cambria Math" w:hAnsi="Cambria Math" w:eastAsia="宋体" w:cs="Times New Roman"/>
                      <w:i/>
                      <w:color w:val="auto"/>
                      <w:highlight w:val="none"/>
                    </w:rPr>
                  </m:ctrlPr>
                </m:e>
                <m:sub>
                  <m:r>
                    <m:rPr>
                      <m:sty m:val="p"/>
                    </m:rPr>
                    <w:rPr>
                      <w:rFonts w:hint="default" w:ascii="Cambria Math" w:hAnsi="Cambria Math" w:eastAsia="宋体" w:cs="Times New Roman"/>
                      <w:color w:val="auto"/>
                      <w:highlight w:val="none"/>
                    </w:rPr>
                    <m:t>本项目</m:t>
                  </m:r>
                  <m:ctrlPr>
                    <w:rPr>
                      <w:rFonts w:hint="default" w:ascii="Cambria Math" w:hAnsi="Cambria Math" w:eastAsia="宋体" w:cs="Times New Roman"/>
                      <w:i/>
                      <w:color w:val="auto"/>
                      <w:highlight w:val="none"/>
                    </w:rPr>
                  </m:ctrlPr>
                </m:sub>
              </m:sSub>
            </m:oMath>
            <w:r>
              <w:rPr>
                <w:rFonts w:hint="default" w:ascii="Times New Roman" w:hAnsi="Times New Roman" w:eastAsia="宋体" w:cs="Times New Roman"/>
                <w:color w:val="auto"/>
                <w:highlight w:val="none"/>
              </w:rPr>
              <w:t>最大标率＞30%□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非正常排放1h浓度</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贡献值</w:t>
            </w:r>
          </w:p>
        </w:tc>
        <w:tc>
          <w:tcPr>
            <w:tcW w:w="1682" w:type="dxa"/>
            <w:gridSpan w:val="3"/>
            <w:tcBorders>
              <w:right w:val="single" w:color="auto" w:sz="4" w:space="0"/>
            </w:tcBorders>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非正常持续时长（）h</w:t>
            </w:r>
          </w:p>
        </w:tc>
        <w:tc>
          <w:tcPr>
            <w:tcW w:w="2645" w:type="dxa"/>
            <w:gridSpan w:val="9"/>
            <w:tcBorders>
              <w:left w:val="single" w:color="auto" w:sz="4" w:space="0"/>
            </w:tcBorders>
            <w:vAlign w:val="center"/>
          </w:tcPr>
          <w:p>
            <w:pPr>
              <w:pStyle w:val="69"/>
              <w:spacing w:before="24" w:after="24" w:line="300" w:lineRule="atLeast"/>
              <w:ind w:firstLine="400"/>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m:sty m:val="p"/>
                    </m:rPr>
                    <w:rPr>
                      <w:rFonts w:hint="default" w:ascii="Cambria Math" w:hAnsi="Cambria Math" w:eastAsia="宋体" w:cs="Times New Roman"/>
                      <w:color w:val="auto"/>
                      <w:highlight w:val="none"/>
                    </w:rPr>
                    <m:t>非正常</m:t>
                  </m:r>
                  <m:ctrlPr>
                    <w:rPr>
                      <w:rFonts w:hint="default" w:ascii="Cambria Math" w:hAnsi="Cambria Math" w:eastAsia="宋体" w:cs="Times New Roman"/>
                      <w:i/>
                      <w:color w:val="auto"/>
                      <w:highlight w:val="none"/>
                    </w:rPr>
                  </m:ctrlPr>
                </m:sub>
              </m:sSub>
            </m:oMath>
            <w:r>
              <w:rPr>
                <w:rFonts w:hint="default" w:ascii="Times New Roman" w:hAnsi="Times New Roman" w:eastAsia="宋体" w:cs="Times New Roman"/>
                <w:color w:val="auto"/>
                <w:highlight w:val="none"/>
              </w:rPr>
              <w:t>占标率≤100%</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sz w:val="21"/>
                <w:highlight w:val="none"/>
              </w:rPr>
              <w:fldChar w:fldCharType="end"/>
            </w:r>
          </w:p>
        </w:tc>
        <w:tc>
          <w:tcPr>
            <w:tcW w:w="2568" w:type="dxa"/>
            <w:gridSpan w:val="5"/>
            <w:vAlign w:val="center"/>
          </w:tcPr>
          <w:p>
            <w:pPr>
              <w:pStyle w:val="69"/>
              <w:spacing w:before="0" w:after="0" w:line="300" w:lineRule="atLeast"/>
              <w:ind w:firstLine="400"/>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m:sty m:val="p"/>
                    </m:rPr>
                    <w:rPr>
                      <w:rFonts w:hint="default" w:ascii="Cambria Math" w:hAnsi="Cambria Math" w:eastAsia="宋体" w:cs="Times New Roman"/>
                      <w:color w:val="auto"/>
                      <w:highlight w:val="none"/>
                    </w:rPr>
                    <m:t>非正常</m:t>
                  </m:r>
                  <m:ctrlPr>
                    <w:rPr>
                      <w:rFonts w:hint="default" w:ascii="Cambria Math" w:hAnsi="Cambria Math" w:eastAsia="宋体" w:cs="Times New Roman"/>
                      <w:i/>
                      <w:color w:val="auto"/>
                      <w:highlight w:val="none"/>
                    </w:rPr>
                  </m:ctrlPr>
                </m:sub>
              </m:sSub>
            </m:oMath>
            <w:r>
              <w:rPr>
                <w:rFonts w:hint="default" w:ascii="Times New Roman" w:hAnsi="Times New Roman" w:eastAsia="宋体" w:cs="Times New Roman"/>
                <w:color w:val="auto"/>
                <w:highlight w:val="none"/>
              </w:rPr>
              <w:t>占标率＞100%□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96"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保证率日平均浓度和年平均浓度叠加值</w:t>
            </w:r>
          </w:p>
        </w:tc>
        <w:tc>
          <w:tcPr>
            <w:tcW w:w="3288" w:type="dxa"/>
            <w:gridSpan w:val="10"/>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m:sty m:val="p"/>
                    </m:rPr>
                    <w:rPr>
                      <w:rFonts w:hint="default" w:ascii="Cambria Math" w:hAnsi="Cambria Math" w:eastAsia="宋体" w:cs="Times New Roman"/>
                      <w:color w:val="auto"/>
                      <w:highlight w:val="none"/>
                    </w:rPr>
                    <m:t>叠加</m:t>
                  </m:r>
                  <m:ctrlPr>
                    <w:rPr>
                      <w:rFonts w:hint="default" w:ascii="Cambria Math" w:hAnsi="Cambria Math" w:eastAsia="宋体" w:cs="Times New Roman"/>
                      <w:i/>
                      <w:color w:val="auto"/>
                      <w:highlight w:val="none"/>
                    </w:rPr>
                  </m:ctrlPr>
                </m:sub>
              </m:sSub>
            </m:oMath>
            <w:r>
              <w:rPr>
                <w:rFonts w:hint="default" w:ascii="Times New Roman" w:hAnsi="Times New Roman" w:eastAsia="宋体" w:cs="Times New Roman"/>
                <w:color w:val="auto"/>
                <w:highlight w:val="none"/>
              </w:rPr>
              <w:t>达标□</w:t>
            </w:r>
          </w:p>
        </w:tc>
        <w:tc>
          <w:tcPr>
            <w:tcW w:w="3607" w:type="dxa"/>
            <w:gridSpan w:val="7"/>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m:oMath>
              <m:sSub>
                <m:sSubPr>
                  <m:ctrlPr>
                    <w:rPr>
                      <w:rFonts w:hint="default" w:ascii="Cambria Math" w:hAnsi="Cambria Math" w:eastAsia="宋体" w:cs="Times New Roman"/>
                      <w:i/>
                      <w:color w:val="auto"/>
                      <w:highlight w:val="none"/>
                    </w:rPr>
                  </m:ctrlPr>
                </m:sSubPr>
                <m:e>
                  <m:r>
                    <m:rPr/>
                    <w:rPr>
                      <w:rFonts w:hint="default" w:ascii="Cambria Math" w:hAnsi="Cambria Math" w:eastAsia="宋体" w:cs="Times New Roman"/>
                      <w:color w:val="auto"/>
                      <w:highlight w:val="none"/>
                    </w:rPr>
                    <m:t>C</m:t>
                  </m:r>
                  <m:ctrlPr>
                    <w:rPr>
                      <w:rFonts w:hint="default" w:ascii="Cambria Math" w:hAnsi="Cambria Math" w:eastAsia="宋体" w:cs="Times New Roman"/>
                      <w:i/>
                      <w:color w:val="auto"/>
                      <w:highlight w:val="none"/>
                    </w:rPr>
                  </m:ctrlPr>
                </m:e>
                <m:sub>
                  <m:r>
                    <m:rPr>
                      <m:sty m:val="p"/>
                    </m:rPr>
                    <w:rPr>
                      <w:rFonts w:hint="default" w:ascii="Cambria Math" w:hAnsi="Cambria Math" w:eastAsia="宋体" w:cs="Times New Roman"/>
                      <w:color w:val="auto"/>
                      <w:highlight w:val="none"/>
                    </w:rPr>
                    <m:t>叠加</m:t>
                  </m:r>
                  <m:ctrlPr>
                    <w:rPr>
                      <w:rFonts w:hint="default" w:ascii="Cambria Math" w:hAnsi="Cambria Math" w:eastAsia="宋体" w:cs="Times New Roman"/>
                      <w:i/>
                      <w:color w:val="auto"/>
                      <w:highlight w:val="none"/>
                    </w:rPr>
                  </m:ctrlPr>
                </m:sub>
              </m:sSub>
            </m:oMath>
            <w:r>
              <w:rPr>
                <w:rFonts w:hint="default" w:ascii="Times New Roman" w:hAnsi="Times New Roman" w:eastAsia="宋体" w:cs="Times New Roman"/>
                <w:color w:val="auto"/>
                <w:highlight w:val="none"/>
              </w:rPr>
              <w:t>不达标□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区域环境质量的整体变化情况</w:t>
            </w:r>
          </w:p>
        </w:tc>
        <w:tc>
          <w:tcPr>
            <w:tcW w:w="3288" w:type="dxa"/>
            <w:gridSpan w:val="10"/>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k</w:t>
            </w:r>
            <w:r>
              <w:rPr>
                <w:rFonts w:hint="default" w:ascii="Times New Roman" w:hAnsi="Times New Roman" w:eastAsia="宋体" w:cs="Times New Roman"/>
                <w:color w:val="auto"/>
                <w:highlight w:val="none"/>
              </w:rPr>
              <w:t>≤-20%□</w:t>
            </w:r>
          </w:p>
        </w:tc>
        <w:tc>
          <w:tcPr>
            <w:tcW w:w="3607" w:type="dxa"/>
            <w:gridSpan w:val="7"/>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i/>
                <w:color w:val="auto"/>
                <w:highlight w:val="none"/>
              </w:rPr>
              <w:t>k</w:t>
            </w:r>
            <w:r>
              <w:rPr>
                <w:rFonts w:hint="default" w:ascii="Times New Roman" w:hAnsi="Times New Roman" w:eastAsia="宋体" w:cs="Times New Roman"/>
                <w:color w:val="auto"/>
                <w:highlight w:val="none"/>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restart"/>
            <w:vAlign w:val="center"/>
          </w:tcPr>
          <w:p>
            <w:pPr>
              <w:pStyle w:val="104"/>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环境监测</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计划</w:t>
            </w: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污染源监测</w:t>
            </w:r>
          </w:p>
        </w:tc>
        <w:tc>
          <w:tcPr>
            <w:tcW w:w="3055" w:type="dxa"/>
            <w:gridSpan w:val="8"/>
            <w:vAlign w:val="center"/>
          </w:tcPr>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监测因子：（</w:t>
            </w:r>
            <w:r>
              <w:rPr>
                <w:rFonts w:hint="default" w:ascii="Times New Roman" w:hAnsi="Times New Roman" w:eastAsia="宋体" w:cs="Times New Roman"/>
                <w:color w:val="auto"/>
                <w:szCs w:val="18"/>
                <w:highlight w:val="none"/>
                <w:lang w:val="en-US" w:eastAsia="zh-CN"/>
              </w:rPr>
              <w:t>颗粒物</w:t>
            </w:r>
            <w:r>
              <w:rPr>
                <w:rFonts w:hint="default" w:ascii="Times New Roman" w:hAnsi="Times New Roman" w:eastAsia="宋体" w:cs="Times New Roman"/>
                <w:color w:val="auto"/>
                <w:highlight w:val="none"/>
              </w:rPr>
              <w:t>）</w:t>
            </w:r>
          </w:p>
        </w:tc>
        <w:tc>
          <w:tcPr>
            <w:tcW w:w="2463" w:type="dxa"/>
            <w:gridSpan w:val="7"/>
            <w:vAlign w:val="center"/>
          </w:tcPr>
          <w:p>
            <w:pPr>
              <w:pStyle w:val="69"/>
              <w:spacing w:before="0" w:after="0" w:line="300" w:lineRule="atLeast"/>
              <w:ind w:firstLine="400"/>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highlight w:val="none"/>
              </w:rPr>
              <w:t>有组织废气监测</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sz w:val="21"/>
                <w:highlight w:val="none"/>
              </w:rPr>
              <w:fldChar w:fldCharType="end"/>
            </w:r>
          </w:p>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无组织废气监测</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position w:val="2"/>
                <w:sz w:val="21"/>
                <w:highlight w:val="none"/>
              </w:rPr>
              <w:instrText xml:space="preserve">√</w:instrText>
            </w:r>
            <w:r>
              <w:rPr>
                <w:rFonts w:hint="default" w:ascii="Times New Roman" w:hAnsi="Times New Roman" w:eastAsia="宋体" w:cs="Times New Roman"/>
                <w:color w:val="auto"/>
                <w:sz w:val="21"/>
                <w:highlight w:val="none"/>
              </w:rPr>
              <w:instrText xml:space="preserve">)</w:instrText>
            </w:r>
            <w:r>
              <w:rPr>
                <w:rFonts w:hint="default" w:ascii="Times New Roman" w:hAnsi="Times New Roman" w:eastAsia="宋体" w:cs="Times New Roman"/>
                <w:color w:val="auto"/>
                <w:sz w:val="21"/>
                <w:highlight w:val="none"/>
              </w:rPr>
              <w:fldChar w:fldCharType="end"/>
            </w:r>
          </w:p>
        </w:tc>
        <w:tc>
          <w:tcPr>
            <w:tcW w:w="1377" w:type="dxa"/>
            <w:gridSpan w:val="2"/>
            <w:vAlign w:val="center"/>
          </w:tcPr>
          <w:p>
            <w:pPr>
              <w:pStyle w:val="69"/>
              <w:spacing w:before="0" w:after="0" w:line="300" w:lineRule="atLeast"/>
              <w:ind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highlight w:val="none"/>
              </w:rPr>
              <w:t>无监测</w:t>
            </w:r>
            <w:r>
              <w:rPr>
                <w:rFonts w:hint="default" w:ascii="Times New Roman" w:hAnsi="Times New Roman" w:eastAsia="宋体" w:cs="Times New Roman"/>
                <w:color w:val="auto"/>
                <w:sz w:val="18"/>
                <w:szCs w:val="18"/>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16" w:hRule="atLeast"/>
          <w:jc w:val="center"/>
        </w:trPr>
        <w:tc>
          <w:tcPr>
            <w:tcW w:w="893" w:type="dxa"/>
            <w:vMerge w:val="continue"/>
            <w:vAlign w:val="center"/>
          </w:tcPr>
          <w:p>
            <w:pPr>
              <w:pStyle w:val="104"/>
              <w:jc w:val="center"/>
              <w:rPr>
                <w:rFonts w:hint="default" w:ascii="Times New Roman" w:hAnsi="Times New Roman" w:eastAsia="宋体" w:cs="Times New Roman"/>
                <w:color w:val="auto"/>
                <w:sz w:val="18"/>
                <w:szCs w:val="18"/>
                <w:highlight w:val="none"/>
              </w:rPr>
            </w:pPr>
          </w:p>
        </w:tc>
        <w:tc>
          <w:tcPr>
            <w:tcW w:w="1606" w:type="dxa"/>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环境质量监测</w:t>
            </w:r>
          </w:p>
        </w:tc>
        <w:tc>
          <w:tcPr>
            <w:tcW w:w="3055" w:type="dxa"/>
            <w:gridSpan w:val="8"/>
            <w:vAlign w:val="center"/>
          </w:tcPr>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监测因子：（）</w:t>
            </w:r>
          </w:p>
        </w:tc>
        <w:tc>
          <w:tcPr>
            <w:tcW w:w="2463" w:type="dxa"/>
            <w:gridSpan w:val="7"/>
            <w:vAlign w:val="center"/>
          </w:tcPr>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监测点位数（）</w:t>
            </w:r>
          </w:p>
        </w:tc>
        <w:tc>
          <w:tcPr>
            <w:tcW w:w="1377" w:type="dxa"/>
            <w:gridSpan w:val="2"/>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无监测</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sz w:val="21"/>
                <w:highlight w:val="none"/>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8" w:hRule="atLeast"/>
          <w:jc w:val="center"/>
        </w:trPr>
        <w:tc>
          <w:tcPr>
            <w:tcW w:w="893" w:type="dxa"/>
            <w:vMerge w:val="restart"/>
            <w:vAlign w:val="center"/>
          </w:tcPr>
          <w:p>
            <w:pPr>
              <w:pStyle w:val="69"/>
              <w:spacing w:before="0" w:after="0" w:line="300" w:lineRule="atLeast"/>
              <w:ind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评价结论</w:t>
            </w:r>
          </w:p>
        </w:tc>
        <w:tc>
          <w:tcPr>
            <w:tcW w:w="1606" w:type="dxa"/>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w:t>
            </w:r>
          </w:p>
        </w:tc>
        <w:tc>
          <w:tcPr>
            <w:tcW w:w="6895" w:type="dxa"/>
            <w:gridSpan w:val="17"/>
            <w:vAlign w:val="center"/>
          </w:tcPr>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可以接受</w:t>
            </w:r>
            <w:r>
              <w:rPr>
                <w:rFonts w:hint="default" w:ascii="Times New Roman" w:hAnsi="Times New Roman" w:eastAsia="宋体" w:cs="Times New Roman"/>
                <w:color w:val="auto"/>
                <w:sz w:val="21"/>
                <w:highlight w:val="none"/>
              </w:rPr>
              <w:fldChar w:fldCharType="begin"/>
            </w:r>
            <w:r>
              <w:rPr>
                <w:rFonts w:hint="default" w:ascii="Times New Roman" w:hAnsi="Times New Roman" w:eastAsia="宋体" w:cs="Times New Roman"/>
                <w:color w:val="auto"/>
                <w:sz w:val="21"/>
                <w:highlight w:val="none"/>
              </w:rPr>
              <w:instrText xml:space="preserve"> eq \o\ac(□,</w:instrText>
            </w:r>
            <w:r>
              <w:rPr>
                <w:rFonts w:hint="default" w:ascii="Times New Roman" w:hAnsi="Times New Roman" w:eastAsia="宋体" w:cs="Times New Roman"/>
                <w:color w:val="auto"/>
                <w:position w:val="2"/>
                <w:sz w:val="21"/>
                <w:highlight w:val="none"/>
              </w:rPr>
              <w:instrText xml:space="preserve">√</w:instrText>
            </w:r>
            <w:r>
              <w:rPr>
                <w:rFonts w:hint="default" w:ascii="Times New Roman" w:hAnsi="Times New Roman" w:eastAsia="宋体" w:cs="Times New Roman"/>
                <w:color w:val="auto"/>
                <w:sz w:val="21"/>
                <w:highlight w:val="none"/>
              </w:rPr>
              <w:instrText xml:space="preserve">)</w:instrText>
            </w:r>
            <w:r>
              <w:rPr>
                <w:rFonts w:hint="default" w:ascii="Times New Roman" w:hAnsi="Times New Roman" w:eastAsia="宋体" w:cs="Times New Roman"/>
                <w:color w:val="auto"/>
                <w:sz w:val="21"/>
                <w:highlight w:val="none"/>
              </w:rPr>
              <w:fldChar w:fldCharType="end"/>
            </w:r>
            <w:r>
              <w:rPr>
                <w:rFonts w:hint="default" w:ascii="Times New Roman" w:hAnsi="Times New Roman" w:eastAsia="宋体" w:cs="Times New Roman"/>
                <w:color w:val="auto"/>
                <w:highlight w:val="none"/>
              </w:rPr>
              <w:t>不可以接受□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43" w:hRule="atLeast"/>
          <w:jc w:val="center"/>
        </w:trPr>
        <w:tc>
          <w:tcPr>
            <w:tcW w:w="893" w:type="dxa"/>
            <w:vMerge w:val="continue"/>
            <w:vAlign w:val="center"/>
          </w:tcPr>
          <w:p>
            <w:pPr>
              <w:pStyle w:val="69"/>
              <w:spacing w:before="0" w:after="0" w:line="300" w:lineRule="atLeast"/>
              <w:ind w:firstLine="400"/>
              <w:rPr>
                <w:rFonts w:hint="default" w:ascii="Times New Roman" w:hAnsi="Times New Roman" w:eastAsia="宋体" w:cs="Times New Roman"/>
                <w:color w:val="auto"/>
                <w:highlight w:val="none"/>
              </w:rPr>
            </w:pPr>
          </w:p>
        </w:tc>
        <w:tc>
          <w:tcPr>
            <w:tcW w:w="1606" w:type="dxa"/>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大气环境防护距离</w:t>
            </w:r>
          </w:p>
        </w:tc>
        <w:tc>
          <w:tcPr>
            <w:tcW w:w="6895" w:type="dxa"/>
            <w:gridSpan w:val="17"/>
            <w:vAlign w:val="center"/>
          </w:tcPr>
          <w:p>
            <w:pPr>
              <w:pStyle w:val="69"/>
              <w:spacing w:before="0" w:after="0" w:line="300" w:lineRule="atLeast"/>
              <w:ind w:firstLine="4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距（）厂界最远（）m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68" w:hRule="atLeast"/>
          <w:jc w:val="center"/>
        </w:trPr>
        <w:tc>
          <w:tcPr>
            <w:tcW w:w="893" w:type="dxa"/>
            <w:vMerge w:val="continue"/>
            <w:vAlign w:val="center"/>
          </w:tcPr>
          <w:p>
            <w:pPr>
              <w:pStyle w:val="69"/>
              <w:spacing w:before="0" w:after="0" w:line="300" w:lineRule="atLeast"/>
              <w:ind w:firstLine="400"/>
              <w:rPr>
                <w:rFonts w:hint="default" w:ascii="Times New Roman" w:hAnsi="Times New Roman" w:eastAsia="宋体" w:cs="Times New Roman"/>
                <w:color w:val="auto"/>
                <w:highlight w:val="none"/>
              </w:rPr>
            </w:pPr>
          </w:p>
        </w:tc>
        <w:tc>
          <w:tcPr>
            <w:tcW w:w="1606" w:type="dxa"/>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污染源年排放量</w:t>
            </w:r>
          </w:p>
        </w:tc>
        <w:tc>
          <w:tcPr>
            <w:tcW w:w="1939" w:type="dxa"/>
            <w:gridSpan w:val="5"/>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:（）t/a</w:t>
            </w:r>
          </w:p>
        </w:tc>
        <w:tc>
          <w:tcPr>
            <w:tcW w:w="1564" w:type="dxa"/>
            <w:gridSpan w:val="6"/>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x</w:t>
            </w:r>
            <w:r>
              <w:rPr>
                <w:rFonts w:hint="default" w:ascii="Times New Roman" w:hAnsi="Times New Roman" w:eastAsia="宋体" w:cs="Times New Roman"/>
                <w:color w:val="auto"/>
                <w:highlight w:val="none"/>
              </w:rPr>
              <w:t>:（）t/a</w:t>
            </w:r>
          </w:p>
        </w:tc>
        <w:tc>
          <w:tcPr>
            <w:tcW w:w="1843" w:type="dxa"/>
            <w:gridSpan w:val="3"/>
            <w:vAlign w:val="center"/>
          </w:tcPr>
          <w:p>
            <w:pPr>
              <w:pStyle w:val="69"/>
              <w:spacing w:before="0" w:after="0" w:line="300" w:lineRule="atLeast"/>
              <w:ind w:firstLine="0" w:firstLineChars="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颗粒物:（</w:t>
            </w:r>
            <w:r>
              <w:rPr>
                <w:rFonts w:hint="eastAsia" w:cs="Times New Roman"/>
                <w:color w:val="auto"/>
                <w:highlight w:val="none"/>
                <w:lang w:val="en-US" w:eastAsia="zh-CN"/>
              </w:rPr>
              <w:t>3.549</w:t>
            </w:r>
            <w:r>
              <w:rPr>
                <w:rFonts w:hint="default" w:ascii="Times New Roman" w:hAnsi="Times New Roman" w:eastAsia="宋体" w:cs="Times New Roman"/>
                <w:color w:val="auto"/>
                <w:highlight w:val="none"/>
              </w:rPr>
              <w:t>）t/a</w:t>
            </w:r>
          </w:p>
        </w:tc>
        <w:tc>
          <w:tcPr>
            <w:tcW w:w="1549" w:type="dxa"/>
            <w:gridSpan w:val="3"/>
            <w:vAlign w:val="center"/>
          </w:tcPr>
          <w:p>
            <w:pPr>
              <w:pStyle w:val="69"/>
              <w:spacing w:before="0" w:after="0" w:line="300" w:lineRule="atLeast"/>
              <w:ind w:firstLine="0" w:firstLineChars="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VOC</w:t>
            </w:r>
            <w:r>
              <w:rPr>
                <w:rFonts w:hint="default" w:ascii="Times New Roman" w:hAnsi="Times New Roman" w:eastAsia="宋体" w:cs="Times New Roman"/>
                <w:color w:val="auto"/>
                <w:highlight w:val="none"/>
                <w:vertAlign w:val="subscript"/>
              </w:rPr>
              <w:t>s</w:t>
            </w:r>
            <w:r>
              <w:rPr>
                <w:rFonts w:hint="default" w:ascii="Times New Roman" w:hAnsi="Times New Roman" w:eastAsia="宋体" w:cs="Times New Roman"/>
                <w:color w:val="auto"/>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7" w:hRule="atLeast"/>
          <w:jc w:val="center"/>
        </w:trPr>
        <w:tc>
          <w:tcPr>
            <w:tcW w:w="9394" w:type="dxa"/>
            <w:gridSpan w:val="19"/>
            <w:vAlign w:val="center"/>
          </w:tcPr>
          <w:p>
            <w:pPr>
              <w:pStyle w:val="69"/>
              <w:spacing w:before="0" w:after="0" w:line="300" w:lineRule="atLeast"/>
              <w:ind w:firstLine="4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为勾选项，填</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为内容填写项</w:t>
            </w:r>
          </w:p>
        </w:tc>
      </w:tr>
    </w:tbl>
    <w:p>
      <w:pPr>
        <w:ind w:firstLine="480"/>
        <w:rPr>
          <w:rFonts w:hint="default" w:ascii="Times New Roman" w:hAnsi="Times New Roman" w:eastAsia="宋体" w:cs="Times New Roman"/>
          <w:color w:val="auto"/>
          <w:highlight w:val="none"/>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60"/>
        <w:spacing w:line="240" w:lineRule="auto"/>
        <w:ind w:firstLine="422"/>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附表2地表水环境影响评价自查表</w:t>
      </w:r>
    </w:p>
    <w:tbl>
      <w:tblPr>
        <w:tblStyle w:val="45"/>
        <w:tblW w:w="1361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4"/>
        <w:gridCol w:w="2843"/>
        <w:gridCol w:w="2048"/>
        <w:gridCol w:w="365"/>
        <w:gridCol w:w="1001"/>
        <w:gridCol w:w="682"/>
        <w:gridCol w:w="1025"/>
        <w:gridCol w:w="1024"/>
        <w:gridCol w:w="520"/>
        <w:gridCol w:w="163"/>
        <w:gridCol w:w="1365"/>
        <w:gridCol w:w="51"/>
        <w:gridCol w:w="565"/>
        <w:gridCol w:w="14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6" w:hRule="atLeast"/>
          <w:tblHeader/>
          <w:jc w:val="center"/>
        </w:trPr>
        <w:tc>
          <w:tcPr>
            <w:tcW w:w="3377" w:type="dxa"/>
            <w:gridSpan w:val="2"/>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工作内容</w:t>
            </w:r>
          </w:p>
        </w:tc>
        <w:tc>
          <w:tcPr>
            <w:tcW w:w="10242" w:type="dxa"/>
            <w:gridSpan w:val="12"/>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自查项目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影响识别</w:t>
            </w:r>
          </w:p>
        </w:tc>
        <w:tc>
          <w:tcPr>
            <w:tcW w:w="2843" w:type="dxa"/>
            <w:shd w:val="clear" w:color="auto" w:fill="auto"/>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影响类型</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水污染影响型</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；水文要素影响型□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pStyle w:val="104"/>
              <w:ind w:firstLine="361"/>
              <w:jc w:val="center"/>
              <w:rPr>
                <w:rFonts w:hint="default" w:ascii="Times New Roman" w:hAnsi="Times New Roman" w:eastAsia="宋体" w:cs="Times New Roman"/>
                <w:color w:val="auto"/>
                <w:sz w:val="18"/>
                <w:szCs w:val="18"/>
                <w:highlight w:val="none"/>
              </w:rPr>
            </w:pPr>
          </w:p>
        </w:tc>
        <w:tc>
          <w:tcPr>
            <w:tcW w:w="2843" w:type="dxa"/>
            <w:shd w:val="clear" w:color="auto" w:fill="auto"/>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水环境保护目标</w:t>
            </w:r>
          </w:p>
        </w:tc>
        <w:tc>
          <w:tcPr>
            <w:tcW w:w="10242" w:type="dxa"/>
            <w:gridSpan w:val="12"/>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饮用水水源保护区□；饮用水取水口□；涉水的自然保护区□；涉水的风景名胜区□；重要湿地□；</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重点保护与珍稀水生生物的栖息地□；重要水生生物的自然产卵场及索饵场、越冬场和洄游通道□；天然渔场等渔业水体□；水产种质资源保护区□；其他□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pStyle w:val="104"/>
              <w:ind w:firstLine="361"/>
              <w:jc w:val="center"/>
              <w:rPr>
                <w:rFonts w:hint="default" w:ascii="Times New Roman" w:hAnsi="Times New Roman" w:eastAsia="宋体" w:cs="Times New Roman"/>
                <w:color w:val="auto"/>
                <w:sz w:val="18"/>
                <w:szCs w:val="18"/>
                <w:highlight w:val="none"/>
              </w:rPr>
            </w:pPr>
          </w:p>
        </w:tc>
        <w:tc>
          <w:tcPr>
            <w:tcW w:w="2843" w:type="dxa"/>
            <w:vMerge w:val="restart"/>
            <w:shd w:val="clear" w:color="auto" w:fill="auto"/>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影响途径</w:t>
            </w:r>
          </w:p>
        </w:tc>
        <w:tc>
          <w:tcPr>
            <w:tcW w:w="5121"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水污染影响型</w:t>
            </w:r>
          </w:p>
        </w:tc>
        <w:tc>
          <w:tcPr>
            <w:tcW w:w="5121" w:type="dxa"/>
            <w:gridSpan w:val="7"/>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水文要素影响型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pStyle w:val="104"/>
              <w:ind w:firstLine="361"/>
              <w:jc w:val="center"/>
              <w:rPr>
                <w:rFonts w:hint="default" w:ascii="Times New Roman" w:hAnsi="Times New Roman" w:eastAsia="宋体" w:cs="Times New Roman"/>
                <w:color w:val="auto"/>
                <w:sz w:val="18"/>
                <w:szCs w:val="18"/>
                <w:highlight w:val="none"/>
              </w:rPr>
            </w:pPr>
          </w:p>
        </w:tc>
        <w:tc>
          <w:tcPr>
            <w:tcW w:w="2843" w:type="dxa"/>
            <w:vMerge w:val="continue"/>
            <w:shd w:val="clear" w:color="auto" w:fill="auto"/>
            <w:vAlign w:val="center"/>
          </w:tcPr>
          <w:p>
            <w:pPr>
              <w:pStyle w:val="104"/>
              <w:ind w:firstLine="361"/>
              <w:jc w:val="center"/>
              <w:rPr>
                <w:rFonts w:hint="default" w:ascii="Times New Roman" w:hAnsi="Times New Roman" w:eastAsia="宋体" w:cs="Times New Roman"/>
                <w:color w:val="auto"/>
                <w:sz w:val="18"/>
                <w:szCs w:val="18"/>
                <w:highlight w:val="none"/>
              </w:rPr>
            </w:pPr>
          </w:p>
        </w:tc>
        <w:tc>
          <w:tcPr>
            <w:tcW w:w="5121" w:type="dxa"/>
            <w:gridSpan w:val="5"/>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直接排放□；间接排放□；其他</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p>
        </w:tc>
        <w:tc>
          <w:tcPr>
            <w:tcW w:w="5121" w:type="dxa"/>
            <w:gridSpan w:val="7"/>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水温□；径流□；水域面积□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pStyle w:val="104"/>
              <w:ind w:firstLine="361"/>
              <w:jc w:val="center"/>
              <w:rPr>
                <w:rFonts w:hint="default" w:ascii="Times New Roman" w:hAnsi="Times New Roman" w:eastAsia="宋体" w:cs="Times New Roman"/>
                <w:color w:val="auto"/>
                <w:sz w:val="18"/>
                <w:szCs w:val="18"/>
                <w:highlight w:val="none"/>
              </w:rPr>
            </w:pPr>
          </w:p>
        </w:tc>
        <w:tc>
          <w:tcPr>
            <w:tcW w:w="2843" w:type="dxa"/>
            <w:shd w:val="clear" w:color="auto" w:fill="auto"/>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影响因子</w:t>
            </w:r>
          </w:p>
        </w:tc>
        <w:tc>
          <w:tcPr>
            <w:tcW w:w="5121" w:type="dxa"/>
            <w:gridSpan w:val="5"/>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持久性污染物□；有毒有害污染物□；非持久性污染物□；pH值□；热污染□；富营养化□；其他</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sz w:val="18"/>
                <w:szCs w:val="18"/>
                <w:highlight w:val="none"/>
              </w:rPr>
              <w:fldChar w:fldCharType="end"/>
            </w:r>
          </w:p>
        </w:tc>
        <w:tc>
          <w:tcPr>
            <w:tcW w:w="5121" w:type="dxa"/>
            <w:gridSpan w:val="7"/>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水温□；水位（水深）□；流速□；流量□；其他□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3377" w:type="dxa"/>
            <w:gridSpan w:val="2"/>
            <w:vMerge w:val="restart"/>
            <w:shd w:val="clear" w:color="auto" w:fill="auto"/>
            <w:noWrap/>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评价等级</w:t>
            </w:r>
          </w:p>
        </w:tc>
        <w:tc>
          <w:tcPr>
            <w:tcW w:w="5121" w:type="dxa"/>
            <w:gridSpan w:val="5"/>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水污染影响型</w:t>
            </w:r>
          </w:p>
        </w:tc>
        <w:tc>
          <w:tcPr>
            <w:tcW w:w="5121" w:type="dxa"/>
            <w:gridSpan w:val="7"/>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水文要素影响型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3377" w:type="dxa"/>
            <w:gridSpan w:val="2"/>
            <w:vMerge w:val="continue"/>
            <w:shd w:val="clear" w:color="auto" w:fill="auto"/>
            <w:noWrap/>
            <w:vAlign w:val="center"/>
          </w:tcPr>
          <w:p>
            <w:pPr>
              <w:pStyle w:val="104"/>
              <w:ind w:firstLine="361"/>
              <w:jc w:val="center"/>
              <w:rPr>
                <w:rFonts w:hint="default" w:ascii="Times New Roman" w:hAnsi="Times New Roman" w:eastAsia="宋体" w:cs="Times New Roman"/>
                <w:color w:val="auto"/>
                <w:sz w:val="18"/>
                <w:szCs w:val="18"/>
                <w:highlight w:val="none"/>
              </w:rPr>
            </w:pPr>
          </w:p>
        </w:tc>
        <w:tc>
          <w:tcPr>
            <w:tcW w:w="5121" w:type="dxa"/>
            <w:gridSpan w:val="5"/>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一级□；二级□；三级A□；三级B</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p>
        </w:tc>
        <w:tc>
          <w:tcPr>
            <w:tcW w:w="5121" w:type="dxa"/>
            <w:gridSpan w:val="7"/>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一级□；二级□；三级□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现状调查</w:t>
            </w:r>
          </w:p>
        </w:tc>
        <w:tc>
          <w:tcPr>
            <w:tcW w:w="2843" w:type="dxa"/>
            <w:vMerge w:val="restart"/>
            <w:shd w:val="clear" w:color="auto" w:fill="auto"/>
            <w:vAlign w:val="center"/>
          </w:tcPr>
          <w:p>
            <w:pPr>
              <w:pStyle w:val="104"/>
              <w:ind w:firstLine="361"/>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区域污染源</w:t>
            </w:r>
          </w:p>
        </w:tc>
        <w:tc>
          <w:tcPr>
            <w:tcW w:w="5121" w:type="dxa"/>
            <w:gridSpan w:val="5"/>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调查项目</w:t>
            </w:r>
          </w:p>
        </w:tc>
        <w:tc>
          <w:tcPr>
            <w:tcW w:w="5121" w:type="dxa"/>
            <w:gridSpan w:val="7"/>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413" w:type="dxa"/>
            <w:gridSpan w:val="2"/>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已建□；在建□；拟建□；其他</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sz w:val="18"/>
                <w:szCs w:val="18"/>
                <w:highlight w:val="none"/>
              </w:rPr>
              <w:fldChar w:fldCharType="end"/>
            </w:r>
          </w:p>
        </w:tc>
        <w:tc>
          <w:tcPr>
            <w:tcW w:w="2708" w:type="dxa"/>
            <w:gridSpan w:val="3"/>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拟替代的污染源□</w:t>
            </w:r>
          </w:p>
        </w:tc>
        <w:tc>
          <w:tcPr>
            <w:tcW w:w="5121" w:type="dxa"/>
            <w:gridSpan w:val="7"/>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排污许可证□；环评□；环保验收□；既有实测□；现场监测□；入河排放口数据□；其他□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vMerge w:val="restart"/>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受影响水体水环境质量</w:t>
            </w:r>
          </w:p>
        </w:tc>
        <w:tc>
          <w:tcPr>
            <w:tcW w:w="5121" w:type="dxa"/>
            <w:gridSpan w:val="5"/>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调查时期</w:t>
            </w:r>
          </w:p>
        </w:tc>
        <w:tc>
          <w:tcPr>
            <w:tcW w:w="5121" w:type="dxa"/>
            <w:gridSpan w:val="7"/>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5121" w:type="dxa"/>
            <w:gridSpan w:val="5"/>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丰水期□；平水期</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；枯水期□；冰封期□</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；夏季□；秋季□；冬季□</w:t>
            </w:r>
          </w:p>
        </w:tc>
        <w:tc>
          <w:tcPr>
            <w:tcW w:w="5121" w:type="dxa"/>
            <w:gridSpan w:val="7"/>
            <w:shd w:val="clear" w:color="auto" w:fill="auto"/>
            <w:noWrap/>
            <w:vAlign w:val="center"/>
          </w:tcPr>
          <w:p>
            <w:pPr>
              <w:spacing w:line="240" w:lineRule="auto"/>
              <w:ind w:firstLine="0" w:firstLineChars="0"/>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生态环境保护主管部门□；补充监测□；其他□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区域水资源开发利用状况</w:t>
            </w:r>
          </w:p>
        </w:tc>
        <w:tc>
          <w:tcPr>
            <w:tcW w:w="10242" w:type="dxa"/>
            <w:gridSpan w:val="12"/>
            <w:shd w:val="clear" w:color="auto" w:fill="auto"/>
            <w:noWrap/>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未开发□；开发量40%以下□；开发量40%以上□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vMerge w:val="restart"/>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水文情势调查</w:t>
            </w:r>
          </w:p>
        </w:tc>
        <w:tc>
          <w:tcPr>
            <w:tcW w:w="5121" w:type="dxa"/>
            <w:gridSpan w:val="5"/>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调查时期</w:t>
            </w:r>
          </w:p>
        </w:tc>
        <w:tc>
          <w:tcPr>
            <w:tcW w:w="5121" w:type="dxa"/>
            <w:gridSpan w:val="7"/>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5121" w:type="dxa"/>
            <w:gridSpan w:val="5"/>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丰水期□；平水期</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；枯水期□；冰封期□</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；夏季□；秋季□；冬季□</w:t>
            </w:r>
          </w:p>
        </w:tc>
        <w:tc>
          <w:tcPr>
            <w:tcW w:w="5121" w:type="dxa"/>
            <w:gridSpan w:val="7"/>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水行政主管部门□；补充监测</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vMerge w:val="restart"/>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补充监测</w:t>
            </w:r>
          </w:p>
        </w:tc>
        <w:tc>
          <w:tcPr>
            <w:tcW w:w="5121" w:type="dxa"/>
            <w:gridSpan w:val="5"/>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监测时期</w:t>
            </w:r>
          </w:p>
        </w:tc>
        <w:tc>
          <w:tcPr>
            <w:tcW w:w="3123" w:type="dxa"/>
            <w:gridSpan w:val="5"/>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监测因子</w:t>
            </w:r>
          </w:p>
        </w:tc>
        <w:tc>
          <w:tcPr>
            <w:tcW w:w="1998" w:type="dxa"/>
            <w:gridSpan w:val="2"/>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监测断面或点位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5121" w:type="dxa"/>
            <w:gridSpan w:val="5"/>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丰水期□；平水期</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；枯水期□；冰封期□</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；夏季□；秋季□；冬季□</w:t>
            </w:r>
          </w:p>
        </w:tc>
        <w:tc>
          <w:tcPr>
            <w:tcW w:w="3123" w:type="dxa"/>
            <w:gridSpan w:val="5"/>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（悬浮物、pH、硫化物、氯化物、石油类、氨氮、CODcr、BOD</w:t>
            </w:r>
            <w:r>
              <w:rPr>
                <w:rFonts w:hint="default" w:ascii="Times New Roman" w:hAnsi="Times New Roman" w:eastAsia="宋体" w:cs="Times New Roman"/>
                <w:color w:val="auto"/>
                <w:kern w:val="0"/>
                <w:sz w:val="18"/>
                <w:szCs w:val="18"/>
                <w:highlight w:val="none"/>
                <w:vertAlign w:val="subscript"/>
              </w:rPr>
              <w:t>5</w:t>
            </w:r>
            <w:r>
              <w:rPr>
                <w:rFonts w:hint="default" w:ascii="Times New Roman" w:hAnsi="Times New Roman" w:eastAsia="宋体" w:cs="Times New Roman"/>
                <w:color w:val="auto"/>
                <w:kern w:val="0"/>
                <w:sz w:val="18"/>
                <w:szCs w:val="18"/>
                <w:highlight w:val="none"/>
              </w:rPr>
              <w:t>、铁、铜、铅、锌、镉、汞、砷、氟化物、硝酸盐氮、亚硝酸盐氮、六价铬）</w:t>
            </w:r>
          </w:p>
        </w:tc>
        <w:tc>
          <w:tcPr>
            <w:tcW w:w="1998" w:type="dxa"/>
            <w:gridSpan w:val="2"/>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w:t>
            </w:r>
            <w:r>
              <w:rPr>
                <w:rFonts w:hint="default" w:ascii="Times New Roman" w:hAnsi="Times New Roman" w:eastAsia="宋体" w:cs="Times New Roman"/>
                <w:color w:val="auto"/>
                <w:kern w:val="0"/>
                <w:sz w:val="18"/>
                <w:szCs w:val="18"/>
                <w:highlight w:val="none"/>
                <w:lang w:val="en-US" w:eastAsia="zh-CN"/>
              </w:rPr>
              <w:t>断面</w:t>
            </w:r>
            <w:r>
              <w:rPr>
                <w:rFonts w:hint="default" w:ascii="Times New Roman" w:hAnsi="Times New Roman" w:eastAsia="宋体" w:cs="Times New Roman"/>
                <w:color w:val="auto"/>
                <w:kern w:val="0"/>
                <w:sz w:val="18"/>
                <w:szCs w:val="18"/>
                <w:highlight w:val="none"/>
              </w:rPr>
              <w:t>个数2个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spacing w:line="240" w:lineRule="auto"/>
              <w:ind w:firstLine="0" w:firstLineChars="0"/>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现状评价</w:t>
            </w: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评价范围</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河流：长度（）km；湖库、河口及近岸海域：面积（）km</w:t>
            </w:r>
            <w:r>
              <w:rPr>
                <w:rFonts w:hint="default" w:ascii="Times New Roman" w:hAnsi="Times New Roman" w:eastAsia="宋体" w:cs="Times New Roman"/>
                <w:color w:val="auto"/>
                <w:kern w:val="0"/>
                <w:sz w:val="18"/>
                <w:szCs w:val="18"/>
                <w:highlight w:val="non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评价因子</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（悬浮物、pH、硫化物、氯化物、石油类、氨氮、CODcr、BOD</w:t>
            </w:r>
            <w:r>
              <w:rPr>
                <w:rFonts w:hint="default" w:ascii="Times New Roman" w:hAnsi="Times New Roman" w:eastAsia="宋体" w:cs="Times New Roman"/>
                <w:color w:val="auto"/>
                <w:kern w:val="0"/>
                <w:sz w:val="18"/>
                <w:szCs w:val="18"/>
                <w:highlight w:val="none"/>
                <w:vertAlign w:val="subscript"/>
              </w:rPr>
              <w:t>5</w:t>
            </w:r>
            <w:r>
              <w:rPr>
                <w:rFonts w:hint="default" w:ascii="Times New Roman" w:hAnsi="Times New Roman" w:eastAsia="宋体" w:cs="Times New Roman"/>
                <w:color w:val="auto"/>
                <w:kern w:val="0"/>
                <w:sz w:val="18"/>
                <w:szCs w:val="18"/>
                <w:highlight w:val="none"/>
              </w:rPr>
              <w:t>、铁、铜、铅、锌、镉、汞、砷、氟化物、硝酸盐氮、亚硝酸盐氮、六价铬）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评价标准</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河流、湖库、河口：Ⅰ类□；Ⅱ类</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；Ⅲ类</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；Ⅳ类□；Ⅴ类□</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近岸海域：第一类□；第二类□；第三类□；第四类□</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规划年评价标准（《地表水环境质量标准》（GB3838-2002））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评价时期</w:t>
            </w:r>
          </w:p>
        </w:tc>
        <w:tc>
          <w:tcPr>
            <w:tcW w:w="10242" w:type="dxa"/>
            <w:gridSpan w:val="12"/>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丰水期□；平水期</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；枯水期□；冰封期□</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春季</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；夏季□；秋季□；冬季□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4"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评价结论</w:t>
            </w:r>
          </w:p>
        </w:tc>
        <w:tc>
          <w:tcPr>
            <w:tcW w:w="8809" w:type="dxa"/>
            <w:gridSpan w:val="11"/>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水环境功能区或水功能区、近岸海域环境功能区水质达标状况：达标□；不达标□</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水环境控制单元或断面水质达标状况：达标□；不达标□</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水环境保护目标质量状况：达标</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；不达标□</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对照断面、控制断面等代表性断面的水质状况：达标□；不达标□</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底泥污染评价□</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水资源与开发利用程度及其水文情势评价□</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水环境质量回顾评价□</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流域（区域）水资源（包括水能资源）与开发利用总体状况、生态流量管理要求与现状满足程度、建设项目占用水域空间的水流状况与河湖演变状况□</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依托污水处理设施稳定达标排放评价□</w:t>
            </w:r>
          </w:p>
        </w:tc>
        <w:tc>
          <w:tcPr>
            <w:tcW w:w="1433" w:type="dxa"/>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达标区</w:t>
            </w:r>
            <w:r>
              <w:rPr>
                <w:rFonts w:hint="default" w:ascii="Times New Roman" w:hAnsi="Times New Roman" w:eastAsia="宋体" w:cs="Times New Roman"/>
                <w:color w:val="auto"/>
                <w:kern w:val="0"/>
                <w:sz w:val="18"/>
                <w:szCs w:val="18"/>
                <w:highlight w:val="none"/>
              </w:rPr>
              <w:sym w:font="Wingdings 2" w:char="0052"/>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不达标区□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影响预测</w:t>
            </w: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预测范围</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河流：长度（）km；湖库、河口及近岸海域：面积（）km</w:t>
            </w:r>
            <w:r>
              <w:rPr>
                <w:rFonts w:hint="default" w:ascii="Times New Roman" w:hAnsi="Times New Roman" w:eastAsia="宋体" w:cs="Times New Roman"/>
                <w:color w:val="auto"/>
                <w:kern w:val="0"/>
                <w:sz w:val="18"/>
                <w:szCs w:val="18"/>
                <w:highlight w:val="non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预测因子</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预测时期</w:t>
            </w:r>
          </w:p>
        </w:tc>
        <w:tc>
          <w:tcPr>
            <w:tcW w:w="10242" w:type="dxa"/>
            <w:gridSpan w:val="12"/>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丰水期□；平水期□；枯水期□；冰封期□</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春季□；夏季□；秋季□；冬季□</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设计水文条件□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预测情景</w:t>
            </w:r>
          </w:p>
        </w:tc>
        <w:tc>
          <w:tcPr>
            <w:tcW w:w="10242" w:type="dxa"/>
            <w:gridSpan w:val="12"/>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建设期□；生产运行期□；服务期满后□</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正常工况□；非正常工况□</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污染控制和减缓措施方案□</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区（流）域环境质量改善目标要求情景□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预测方法</w:t>
            </w:r>
          </w:p>
        </w:tc>
        <w:tc>
          <w:tcPr>
            <w:tcW w:w="10242" w:type="dxa"/>
            <w:gridSpan w:val="12"/>
            <w:shd w:val="clear" w:color="auto" w:fill="auto"/>
            <w:noWrap/>
            <w:vAlign w:val="center"/>
          </w:tcPr>
          <w:p>
            <w:pPr>
              <w:spacing w:line="240" w:lineRule="auto"/>
              <w:ind w:firstLine="0" w:firstLineChars="0"/>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数值解□：解析解□；其他□</w:t>
            </w:r>
          </w:p>
          <w:p>
            <w:pPr>
              <w:spacing w:line="240" w:lineRule="auto"/>
              <w:ind w:firstLine="0" w:firstLineChars="0"/>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导则推荐模式□：其他□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31" w:hRule="atLeast"/>
          <w:jc w:val="center"/>
        </w:trPr>
        <w:tc>
          <w:tcPr>
            <w:tcW w:w="534" w:type="dxa"/>
            <w:vMerge w:val="restart"/>
            <w:shd w:val="clear" w:color="auto" w:fill="auto"/>
            <w:noWrap/>
            <w:textDirection w:val="tbRlV"/>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影响评价</w:t>
            </w:r>
          </w:p>
        </w:tc>
        <w:tc>
          <w:tcPr>
            <w:tcW w:w="2843" w:type="dxa"/>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水污染控制和水环境影响减缓措施有效性评价</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区（流）域水环境质量改善目标□；替代削减源□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71"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水环境影响评价</w:t>
            </w:r>
          </w:p>
        </w:tc>
        <w:tc>
          <w:tcPr>
            <w:tcW w:w="10242" w:type="dxa"/>
            <w:gridSpan w:val="12"/>
            <w:shd w:val="clear" w:color="auto" w:fill="auto"/>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排放口混合区外满足水环境管理要求□</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水环境功能区或水功能区、近岸海域环境功能区水质达标□</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满足水环境保护目标水域水环境质量要求□</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水环境控制单元或断面水质达标□</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满足重点水污染物排放总量控制指标要求，重点行业建设项目，主要污染物排放满足等量或减量替代要求□</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满足区（流）域水环境质量改善目标要求□</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水文要素影响型建设项目同时应包括水文情势变化评价、主要水文特征值影响评价、生态流量符合性评价□</w:t>
            </w:r>
          </w:p>
          <w:p>
            <w:pPr>
              <w:spacing w:line="240" w:lineRule="auto"/>
              <w:ind w:firstLine="0" w:firstLineChars="0"/>
              <w:jc w:val="left"/>
              <w:rPr>
                <w:rFonts w:hint="default"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rPr>
              <w:t>对于新设或调整入河（湖库、近岸海域）排放口的建设项目，应包括排放口设置的环境合理性评价□</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满足生态保护红线、水环境质量底线、资源利用上线和环境准入清单管理要求□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restart"/>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污染源排放量核算</w:t>
            </w:r>
          </w:p>
        </w:tc>
        <w:tc>
          <w:tcPr>
            <w:tcW w:w="3414" w:type="dxa"/>
            <w:gridSpan w:val="3"/>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污染物名称</w:t>
            </w:r>
          </w:p>
        </w:tc>
        <w:tc>
          <w:tcPr>
            <w:tcW w:w="3414"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排放量/（</w:t>
            </w:r>
            <w:r>
              <w:rPr>
                <w:rFonts w:hint="default" w:ascii="Times New Roman" w:hAnsi="Times New Roman" w:eastAsia="宋体" w:cs="Times New Roman"/>
                <w:color w:val="auto"/>
                <w:sz w:val="18"/>
                <w:szCs w:val="18"/>
                <w:highlight w:val="none"/>
              </w:rPr>
              <w:t>t/a</w:t>
            </w:r>
            <w:r>
              <w:rPr>
                <w:rFonts w:hint="default" w:ascii="Times New Roman" w:hAnsi="Times New Roman" w:eastAsia="宋体" w:cs="Times New Roman"/>
                <w:color w:val="auto"/>
                <w:kern w:val="0"/>
                <w:sz w:val="18"/>
                <w:szCs w:val="18"/>
                <w:highlight w:val="none"/>
              </w:rPr>
              <w:t>）</w:t>
            </w:r>
          </w:p>
        </w:tc>
        <w:tc>
          <w:tcPr>
            <w:tcW w:w="3414" w:type="dxa"/>
            <w:gridSpan w:val="4"/>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排放浓度/（mg/L）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3414" w:type="dxa"/>
            <w:gridSpan w:val="3"/>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p>
        </w:tc>
        <w:tc>
          <w:tcPr>
            <w:tcW w:w="3414"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p>
        </w:tc>
        <w:tc>
          <w:tcPr>
            <w:tcW w:w="3414" w:type="dxa"/>
            <w:gridSpan w:val="4"/>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3414" w:type="dxa"/>
            <w:gridSpan w:val="3"/>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p>
        </w:tc>
        <w:tc>
          <w:tcPr>
            <w:tcW w:w="3414"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p>
        </w:tc>
        <w:tc>
          <w:tcPr>
            <w:tcW w:w="3414" w:type="dxa"/>
            <w:gridSpan w:val="4"/>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restart"/>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替代源排放情况</w:t>
            </w:r>
          </w:p>
        </w:tc>
        <w:tc>
          <w:tcPr>
            <w:tcW w:w="2048" w:type="dxa"/>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污染源名称</w:t>
            </w:r>
          </w:p>
        </w:tc>
        <w:tc>
          <w:tcPr>
            <w:tcW w:w="2048" w:type="dxa"/>
            <w:gridSpan w:val="3"/>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排污许可证编号</w:t>
            </w:r>
          </w:p>
        </w:tc>
        <w:tc>
          <w:tcPr>
            <w:tcW w:w="2049" w:type="dxa"/>
            <w:gridSpan w:val="2"/>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污染物名称</w:t>
            </w:r>
          </w:p>
        </w:tc>
        <w:tc>
          <w:tcPr>
            <w:tcW w:w="2048" w:type="dxa"/>
            <w:gridSpan w:val="3"/>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排放量/（</w:t>
            </w:r>
            <w:r>
              <w:rPr>
                <w:rFonts w:hint="default" w:ascii="Times New Roman" w:hAnsi="Times New Roman" w:eastAsia="宋体" w:cs="Times New Roman"/>
                <w:color w:val="auto"/>
                <w:sz w:val="18"/>
                <w:szCs w:val="18"/>
                <w:highlight w:val="none"/>
              </w:rPr>
              <w:t>t/a</w:t>
            </w:r>
            <w:r>
              <w:rPr>
                <w:rFonts w:hint="default" w:ascii="Times New Roman" w:hAnsi="Times New Roman" w:eastAsia="宋体" w:cs="Times New Roman"/>
                <w:color w:val="auto"/>
                <w:kern w:val="0"/>
                <w:sz w:val="18"/>
                <w:szCs w:val="18"/>
                <w:highlight w:val="none"/>
              </w:rPr>
              <w:t>）</w:t>
            </w:r>
          </w:p>
        </w:tc>
        <w:tc>
          <w:tcPr>
            <w:tcW w:w="2049" w:type="dxa"/>
            <w:gridSpan w:val="3"/>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排放浓度/（mg/L）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048" w:type="dxa"/>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2048" w:type="dxa"/>
            <w:gridSpan w:val="3"/>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2049" w:type="dxa"/>
            <w:gridSpan w:val="2"/>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2048" w:type="dxa"/>
            <w:gridSpan w:val="3"/>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2049" w:type="dxa"/>
            <w:gridSpan w:val="3"/>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生态流量确定</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生态流量：一般水期（）m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/s；鱼类繁殖期（）m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/s；其他（）m</w:t>
            </w:r>
            <w:r>
              <w:rPr>
                <w:rFonts w:hint="default" w:ascii="Times New Roman" w:hAnsi="Times New Roman" w:eastAsia="宋体" w:cs="Times New Roman"/>
                <w:color w:val="auto"/>
                <w:kern w:val="0"/>
                <w:sz w:val="18"/>
                <w:szCs w:val="18"/>
                <w:highlight w:val="none"/>
                <w:vertAlign w:val="superscript"/>
              </w:rPr>
              <w:t>3</w:t>
            </w:r>
            <w:r>
              <w:rPr>
                <w:rFonts w:hint="default" w:ascii="Times New Roman" w:hAnsi="Times New Roman" w:eastAsia="宋体" w:cs="Times New Roman"/>
                <w:color w:val="auto"/>
                <w:kern w:val="0"/>
                <w:sz w:val="18"/>
                <w:szCs w:val="18"/>
                <w:highlight w:val="none"/>
              </w:rPr>
              <w:t>/s</w:t>
            </w:r>
          </w:p>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生态水位：一般水期（）m；鱼类繁殖期（）m；其他（）m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防治措施</w:t>
            </w:r>
          </w:p>
        </w:tc>
        <w:tc>
          <w:tcPr>
            <w:tcW w:w="2843" w:type="dxa"/>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环保措施</w:t>
            </w:r>
          </w:p>
        </w:tc>
        <w:tc>
          <w:tcPr>
            <w:tcW w:w="10242" w:type="dxa"/>
            <w:gridSpan w:val="12"/>
            <w:shd w:val="clear" w:color="auto" w:fill="auto"/>
            <w:noWrap/>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污水处理设施□；水文减缓设施□；生态流量保障设施□；区域削减□；依托其他工程措施□；其他□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restart"/>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监测计划</w:t>
            </w:r>
          </w:p>
        </w:tc>
        <w:tc>
          <w:tcPr>
            <w:tcW w:w="2413" w:type="dxa"/>
            <w:gridSpan w:val="2"/>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4252"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环境质量</w:t>
            </w:r>
          </w:p>
        </w:tc>
        <w:tc>
          <w:tcPr>
            <w:tcW w:w="3577"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413" w:type="dxa"/>
            <w:gridSpan w:val="2"/>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监测方式</w:t>
            </w:r>
          </w:p>
        </w:tc>
        <w:tc>
          <w:tcPr>
            <w:tcW w:w="4252"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color w:val="auto"/>
                <w:kern w:val="0"/>
                <w:sz w:val="18"/>
                <w:szCs w:val="18"/>
                <w:highlight w:val="none"/>
              </w:rPr>
              <w:t>手动</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sz w:val="18"/>
                <w:szCs w:val="18"/>
                <w:highlight w:val="none"/>
                <w:lang w:eastAsia="zh-CN"/>
              </w:rPr>
              <w:instrText xml:space="preserve">,</w:instrText>
            </w:r>
            <w:r>
              <w:rPr>
                <w:rFonts w:hint="default" w:ascii="Times New Roman" w:hAnsi="Times New Roman" w:eastAsia="宋体" w:cs="Times New Roman"/>
                <w:color w:val="auto"/>
                <w:kern w:val="0"/>
                <w:position w:val="2"/>
                <w:sz w:val="12"/>
                <w:szCs w:val="18"/>
                <w:highlight w:val="none"/>
                <w:lang w:eastAsia="zh-CN"/>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；自动□；无监测□</w:t>
            </w:r>
          </w:p>
        </w:tc>
        <w:tc>
          <w:tcPr>
            <w:tcW w:w="3577"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手动</w:t>
            </w:r>
            <w:r>
              <w:rPr>
                <w:rFonts w:hint="default" w:ascii="Times New Roman" w:hAnsi="Times New Roman" w:eastAsia="宋体" w:cs="Times New Roman"/>
                <w:color w:val="auto"/>
                <w:kern w:val="0"/>
                <w:sz w:val="18"/>
                <w:szCs w:val="18"/>
                <w:highlight w:val="none"/>
              </w:rPr>
              <w:sym w:font="Wingdings 2" w:char="0052"/>
            </w:r>
            <w:r>
              <w:rPr>
                <w:rFonts w:hint="default" w:ascii="Times New Roman" w:hAnsi="Times New Roman" w:eastAsia="宋体" w:cs="Times New Roman"/>
                <w:color w:val="auto"/>
                <w:kern w:val="0"/>
                <w:sz w:val="18"/>
                <w:szCs w:val="18"/>
                <w:highlight w:val="none"/>
              </w:rPr>
              <w:t>；自动□；无监测□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413" w:type="dxa"/>
            <w:gridSpan w:val="2"/>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监测点位</w:t>
            </w:r>
          </w:p>
        </w:tc>
        <w:tc>
          <w:tcPr>
            <w:tcW w:w="4252"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3577"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vMerge w:val="continue"/>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p>
        </w:tc>
        <w:tc>
          <w:tcPr>
            <w:tcW w:w="2413" w:type="dxa"/>
            <w:gridSpan w:val="2"/>
            <w:shd w:val="clear" w:color="auto" w:fill="auto"/>
            <w:noWrap/>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监测因子</w:t>
            </w:r>
          </w:p>
        </w:tc>
        <w:tc>
          <w:tcPr>
            <w:tcW w:w="4252"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c>
          <w:tcPr>
            <w:tcW w:w="3577" w:type="dxa"/>
            <w:gridSpan w:val="5"/>
            <w:shd w:val="clear" w:color="auto" w:fill="auto"/>
            <w:vAlign w:val="center"/>
          </w:tcPr>
          <w:p>
            <w:pPr>
              <w:spacing w:line="240" w:lineRule="auto"/>
              <w:ind w:firstLine="0" w:firstLineChars="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p>
        </w:tc>
        <w:tc>
          <w:tcPr>
            <w:tcW w:w="2843" w:type="dxa"/>
            <w:shd w:val="clear" w:color="auto" w:fill="auto"/>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污染物排放清单</w:t>
            </w:r>
          </w:p>
        </w:tc>
        <w:tc>
          <w:tcPr>
            <w:tcW w:w="10242" w:type="dxa"/>
            <w:gridSpan w:val="12"/>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3377" w:type="dxa"/>
            <w:gridSpan w:val="2"/>
            <w:tcBorders>
              <w:bottom w:val="single" w:color="auto" w:sz="12" w:space="0"/>
            </w:tcBorders>
            <w:shd w:val="clear" w:color="auto" w:fill="auto"/>
            <w:noWrap/>
            <w:vAlign w:val="center"/>
          </w:tcPr>
          <w:p>
            <w:pPr>
              <w:spacing w:line="240" w:lineRule="auto"/>
              <w:ind w:firstLine="36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评价结论</w:t>
            </w:r>
          </w:p>
        </w:tc>
        <w:tc>
          <w:tcPr>
            <w:tcW w:w="10242" w:type="dxa"/>
            <w:gridSpan w:val="12"/>
            <w:tcBorders>
              <w:bottom w:val="single" w:color="auto" w:sz="12" w:space="0"/>
            </w:tcBorders>
            <w:shd w:val="clear" w:color="auto" w:fill="auto"/>
            <w:noWrap/>
            <w:vAlign w:val="center"/>
          </w:tcPr>
          <w:p>
            <w:pPr>
              <w:spacing w:line="240" w:lineRule="auto"/>
              <w:ind w:firstLine="0" w:firstLineChars="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可以接受</w:t>
            </w:r>
            <w:r>
              <w:rPr>
                <w:rFonts w:hint="default" w:ascii="Times New Roman" w:hAnsi="Times New Roman" w:eastAsia="宋体" w:cs="Times New Roman"/>
                <w:color w:val="auto"/>
                <w:kern w:val="0"/>
                <w:sz w:val="18"/>
                <w:szCs w:val="18"/>
                <w:highlight w:val="none"/>
              </w:rPr>
              <w:fldChar w:fldCharType="begin"/>
            </w:r>
            <w:r>
              <w:rPr>
                <w:rFonts w:hint="default" w:ascii="Times New Roman" w:hAnsi="Times New Roman" w:eastAsia="宋体" w:cs="Times New Roman"/>
                <w:color w:val="auto"/>
                <w:kern w:val="0"/>
                <w:sz w:val="18"/>
                <w:szCs w:val="18"/>
                <w:highlight w:val="none"/>
              </w:rPr>
              <w:instrText xml:space="preserve"> eq \o\ac(□,</w:instrText>
            </w:r>
            <w:r>
              <w:rPr>
                <w:rFonts w:hint="default" w:ascii="Times New Roman" w:hAnsi="Times New Roman" w:eastAsia="宋体" w:cs="Times New Roman"/>
                <w:color w:val="auto"/>
                <w:kern w:val="0"/>
                <w:position w:val="1"/>
                <w:sz w:val="12"/>
                <w:szCs w:val="18"/>
                <w:highlight w:val="none"/>
              </w:rPr>
              <w:instrText xml:space="preserve">√</w:instrText>
            </w:r>
            <w:r>
              <w:rPr>
                <w:rFonts w:hint="default" w:ascii="Times New Roman" w:hAnsi="Times New Roman" w:eastAsia="宋体" w:cs="Times New Roman"/>
                <w:color w:val="auto"/>
                <w:kern w:val="0"/>
                <w:sz w:val="18"/>
                <w:szCs w:val="18"/>
                <w:highlight w:val="none"/>
              </w:rPr>
              <w:instrText xml:space="preserve">)</w:instrText>
            </w:r>
            <w:r>
              <w:rPr>
                <w:rFonts w:hint="default" w:ascii="Times New Roman" w:hAnsi="Times New Roman" w:eastAsia="宋体" w:cs="Times New Roman"/>
                <w:color w:val="auto"/>
                <w:kern w:val="0"/>
                <w:sz w:val="18"/>
                <w:szCs w:val="18"/>
                <w:highlight w:val="none"/>
              </w:rPr>
              <w:fldChar w:fldCharType="end"/>
            </w:r>
            <w:r>
              <w:rPr>
                <w:rFonts w:hint="default" w:ascii="Times New Roman" w:hAnsi="Times New Roman" w:eastAsia="宋体" w:cs="Times New Roman"/>
                <w:color w:val="auto"/>
                <w:kern w:val="0"/>
                <w:sz w:val="18"/>
                <w:szCs w:val="18"/>
                <w:highlight w:val="none"/>
              </w:rPr>
              <w:t>；不可以接受□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619" w:type="dxa"/>
            <w:gridSpan w:val="14"/>
            <w:tcBorders>
              <w:top w:val="single" w:color="auto" w:sz="12" w:space="0"/>
              <w:bottom w:val="single" w:color="auto" w:sz="12" w:space="0"/>
            </w:tcBorders>
            <w:shd w:val="clear" w:color="auto" w:fill="auto"/>
            <w:noWrap/>
            <w:vAlign w:val="center"/>
          </w:tcPr>
          <w:p>
            <w:pPr>
              <w:spacing w:line="240" w:lineRule="auto"/>
              <w:ind w:firstLine="360"/>
              <w:jc w:val="left"/>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注：</w:t>
            </w:r>
            <w:r>
              <w:rPr>
                <w:rFonts w:hint="eastAsia"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w:t>
            </w:r>
            <w:r>
              <w:rPr>
                <w:rFonts w:hint="eastAsia"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为勾选项，可打√；</w:t>
            </w:r>
            <w:r>
              <w:rPr>
                <w:rFonts w:hint="eastAsia"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w:t>
            </w:r>
            <w:r>
              <w:rPr>
                <w:rFonts w:hint="eastAsia"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为内容填写项；</w:t>
            </w:r>
            <w:r>
              <w:rPr>
                <w:rFonts w:hint="eastAsia"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备注</w:t>
            </w:r>
            <w:r>
              <w:rPr>
                <w:rFonts w:hint="eastAsia"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为其他补充内容。</w:t>
            </w:r>
          </w:p>
        </w:tc>
      </w:tr>
    </w:tbl>
    <w:p>
      <w:pPr>
        <w:ind w:firstLine="480"/>
        <w:rPr>
          <w:rFonts w:hint="default" w:ascii="Times New Roman" w:hAnsi="Times New Roman" w:eastAsia="宋体" w:cs="Times New Roman"/>
          <w:color w:val="auto"/>
          <w:highlight w:val="none"/>
        </w:rPr>
      </w:pPr>
    </w:p>
    <w:p>
      <w:pPr>
        <w:ind w:firstLine="480"/>
        <w:rPr>
          <w:rFonts w:hint="default" w:ascii="Times New Roman" w:hAnsi="Times New Roman" w:eastAsia="宋体" w:cs="Times New Roman"/>
          <w:color w:val="auto"/>
          <w:highlight w:val="none"/>
        </w:rPr>
      </w:pPr>
    </w:p>
    <w:p>
      <w:pPr>
        <w:ind w:firstLine="480"/>
        <w:rPr>
          <w:rFonts w:hint="default" w:ascii="Times New Roman" w:hAnsi="Times New Roman" w:eastAsia="宋体" w:cs="Times New Roman"/>
          <w:color w:val="auto"/>
          <w:highlight w:val="none"/>
        </w:rPr>
        <w:sectPr>
          <w:pgSz w:w="16783" w:h="11850" w:orient="landscape"/>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240" w:lineRule="auto"/>
        <w:ind w:firstLine="0" w:firstLineChars="0"/>
        <w:jc w:val="center"/>
        <w:rPr>
          <w:rFonts w:hint="default" w:ascii="Times New Roman" w:hAnsi="Times New Roman" w:eastAsia="宋体" w:cs="Times New Roman"/>
          <w:b/>
          <w:color w:val="auto"/>
          <w:spacing w:val="4"/>
          <w:sz w:val="21"/>
          <w:szCs w:val="21"/>
          <w:highlight w:val="none"/>
        </w:rPr>
      </w:pPr>
      <w:r>
        <w:rPr>
          <w:rFonts w:hint="default" w:ascii="Times New Roman" w:hAnsi="Times New Roman" w:eastAsia="宋体" w:cs="Times New Roman"/>
          <w:b/>
          <w:color w:val="auto"/>
          <w:spacing w:val="4"/>
          <w:sz w:val="21"/>
          <w:szCs w:val="21"/>
          <w:highlight w:val="none"/>
        </w:rPr>
        <w:t>附表3环境风险评价自查表</w:t>
      </w:r>
    </w:p>
    <w:tbl>
      <w:tblPr>
        <w:tblStyle w:val="45"/>
        <w:tblW w:w="935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1"/>
        <w:gridCol w:w="1536"/>
        <w:gridCol w:w="1052"/>
        <w:gridCol w:w="318"/>
        <w:gridCol w:w="346"/>
        <w:gridCol w:w="61"/>
        <w:gridCol w:w="508"/>
        <w:gridCol w:w="457"/>
        <w:gridCol w:w="246"/>
        <w:gridCol w:w="240"/>
        <w:gridCol w:w="205"/>
        <w:gridCol w:w="630"/>
        <w:gridCol w:w="51"/>
        <w:gridCol w:w="457"/>
        <w:gridCol w:w="107"/>
        <w:gridCol w:w="244"/>
        <w:gridCol w:w="227"/>
        <w:gridCol w:w="473"/>
        <w:gridCol w:w="638"/>
        <w:gridCol w:w="6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48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工作内容</w:t>
            </w:r>
          </w:p>
        </w:tc>
        <w:tc>
          <w:tcPr>
            <w:tcW w:w="6869" w:type="dxa"/>
            <w:gridSpan w:val="18"/>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风</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险</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调</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查</w:t>
            </w:r>
          </w:p>
        </w:tc>
        <w:tc>
          <w:tcPr>
            <w:tcW w:w="1536"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危险物质</w:t>
            </w:r>
          </w:p>
        </w:tc>
        <w:tc>
          <w:tcPr>
            <w:tcW w:w="1052"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725"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硝酸铵</w:t>
            </w:r>
          </w:p>
        </w:tc>
        <w:tc>
          <w:tcPr>
            <w:tcW w:w="965"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废机油</w:t>
            </w:r>
          </w:p>
        </w:tc>
        <w:tc>
          <w:tcPr>
            <w:tcW w:w="486"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835"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615"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944"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638"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609"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存在总量/t</w:t>
            </w:r>
          </w:p>
        </w:tc>
        <w:tc>
          <w:tcPr>
            <w:tcW w:w="725"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965"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w:t>
            </w:r>
            <w:r>
              <w:rPr>
                <w:rFonts w:hint="eastAsia" w:cs="Times New Roman"/>
                <w:color w:val="auto"/>
                <w:sz w:val="18"/>
                <w:szCs w:val="18"/>
                <w:highlight w:val="none"/>
                <w:lang w:val="en-US" w:eastAsia="zh-CN"/>
              </w:rPr>
              <w:t>012</w:t>
            </w:r>
          </w:p>
        </w:tc>
        <w:tc>
          <w:tcPr>
            <w:tcW w:w="486"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835"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615"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944"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638"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609"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环境敏感性</w:t>
            </w:r>
          </w:p>
        </w:tc>
        <w:tc>
          <w:tcPr>
            <w:tcW w:w="1052"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w:t>
            </w:r>
          </w:p>
        </w:tc>
        <w:tc>
          <w:tcPr>
            <w:tcW w:w="3011" w:type="dxa"/>
            <w:gridSpan w:val="9"/>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500m范围内人口数</w:t>
            </w:r>
            <w:r>
              <w:rPr>
                <w:rFonts w:hint="default" w:ascii="Times New Roman" w:hAnsi="Times New Roman" w:eastAsia="宋体" w:cs="Times New Roman"/>
                <w:color w:val="auto"/>
                <w:sz w:val="18"/>
                <w:szCs w:val="18"/>
                <w:highlight w:val="none"/>
                <w:u w:val="single"/>
              </w:rPr>
              <w:t>0</w:t>
            </w:r>
            <w:r>
              <w:rPr>
                <w:rFonts w:hint="default" w:ascii="Times New Roman" w:hAnsi="Times New Roman" w:eastAsia="宋体" w:cs="Times New Roman"/>
                <w:color w:val="auto"/>
                <w:sz w:val="18"/>
                <w:szCs w:val="18"/>
                <w:highlight w:val="none"/>
              </w:rPr>
              <w:t>人</w:t>
            </w:r>
          </w:p>
        </w:tc>
        <w:tc>
          <w:tcPr>
            <w:tcW w:w="2806" w:type="dxa"/>
            <w:gridSpan w:val="8"/>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5km范围内人口数</w:t>
            </w:r>
            <w:r>
              <w:rPr>
                <w:rFonts w:hint="eastAsia" w:cs="Times New Roman"/>
                <w:color w:val="auto"/>
                <w:sz w:val="18"/>
                <w:szCs w:val="18"/>
                <w:highlight w:val="none"/>
                <w:lang w:val="en-US" w:eastAsia="zh-CN"/>
              </w:rPr>
              <w:t>658</w:t>
            </w:r>
            <w:r>
              <w:rPr>
                <w:rFonts w:hint="default" w:ascii="Times New Roman" w:hAnsi="Times New Roman" w:eastAsia="宋体" w:cs="Times New Roman"/>
                <w:color w:val="auto"/>
                <w:sz w:val="18"/>
                <w:szCs w:val="18"/>
                <w:highlight w:val="none"/>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4570" w:type="dxa"/>
            <w:gridSpan w:val="1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每公里管段周边200m范围内人口数（最大）</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地表水</w:t>
            </w:r>
          </w:p>
        </w:tc>
        <w:tc>
          <w:tcPr>
            <w:tcW w:w="1690"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地表水功能敏感性</w:t>
            </w:r>
          </w:p>
        </w:tc>
        <w:tc>
          <w:tcPr>
            <w:tcW w:w="1321"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F1□</w:t>
            </w:r>
          </w:p>
        </w:tc>
        <w:tc>
          <w:tcPr>
            <w:tcW w:w="1559"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F2□</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F3□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690"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环境敏感目标分级</w:t>
            </w:r>
          </w:p>
        </w:tc>
        <w:tc>
          <w:tcPr>
            <w:tcW w:w="1321"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S1□</w:t>
            </w:r>
          </w:p>
        </w:tc>
        <w:tc>
          <w:tcPr>
            <w:tcW w:w="1559"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S2□</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地下水</w:t>
            </w:r>
          </w:p>
        </w:tc>
        <w:tc>
          <w:tcPr>
            <w:tcW w:w="1690"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地下水功能敏感性</w:t>
            </w:r>
          </w:p>
        </w:tc>
        <w:tc>
          <w:tcPr>
            <w:tcW w:w="1321"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G1□</w:t>
            </w:r>
          </w:p>
        </w:tc>
        <w:tc>
          <w:tcPr>
            <w:tcW w:w="1559"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G2□</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690"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包气带防污性能</w:t>
            </w:r>
          </w:p>
        </w:tc>
        <w:tc>
          <w:tcPr>
            <w:tcW w:w="1321"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D1□</w:t>
            </w:r>
          </w:p>
        </w:tc>
        <w:tc>
          <w:tcPr>
            <w:tcW w:w="1559"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D2□</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物质及工艺系统</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危险性</w:t>
            </w:r>
          </w:p>
        </w:tc>
        <w:tc>
          <w:tcPr>
            <w:tcW w:w="1052"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Q值</w:t>
            </w:r>
          </w:p>
        </w:tc>
        <w:tc>
          <w:tcPr>
            <w:tcW w:w="1690"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Q＜1</w:t>
            </w:r>
            <w:r>
              <w:rPr>
                <w:rFonts w:hint="default" w:ascii="Times New Roman" w:hAnsi="Times New Roman" w:eastAsia="宋体" w:cs="Times New Roman"/>
                <w:color w:val="auto"/>
                <w:sz w:val="18"/>
                <w:szCs w:val="18"/>
                <w:highlight w:val="none"/>
              </w:rPr>
              <w:sym w:font="Wingdings 2" w:char="0052"/>
            </w:r>
          </w:p>
        </w:tc>
        <w:tc>
          <w:tcPr>
            <w:tcW w:w="1321"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1≤Q＜10□</w:t>
            </w:r>
          </w:p>
        </w:tc>
        <w:tc>
          <w:tcPr>
            <w:tcW w:w="1559"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10≤Q＜100□</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Q＞100□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M值</w:t>
            </w:r>
          </w:p>
        </w:tc>
        <w:tc>
          <w:tcPr>
            <w:tcW w:w="1690"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M1□</w:t>
            </w:r>
          </w:p>
        </w:tc>
        <w:tc>
          <w:tcPr>
            <w:tcW w:w="1321"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M2□</w:t>
            </w:r>
          </w:p>
        </w:tc>
        <w:tc>
          <w:tcPr>
            <w:tcW w:w="1559"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M3□</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M4□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P值</w:t>
            </w:r>
          </w:p>
        </w:tc>
        <w:tc>
          <w:tcPr>
            <w:tcW w:w="1690"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P1□</w:t>
            </w:r>
          </w:p>
        </w:tc>
        <w:tc>
          <w:tcPr>
            <w:tcW w:w="1321"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P2□</w:t>
            </w:r>
          </w:p>
        </w:tc>
        <w:tc>
          <w:tcPr>
            <w:tcW w:w="1559"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P3□</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环境敏感</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程度</w:t>
            </w:r>
          </w:p>
        </w:tc>
        <w:tc>
          <w:tcPr>
            <w:tcW w:w="1052"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w:t>
            </w:r>
          </w:p>
        </w:tc>
        <w:tc>
          <w:tcPr>
            <w:tcW w:w="1936"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E1□</w:t>
            </w:r>
          </w:p>
        </w:tc>
        <w:tc>
          <w:tcPr>
            <w:tcW w:w="1934" w:type="dxa"/>
            <w:gridSpan w:val="7"/>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E2□</w:t>
            </w:r>
          </w:p>
        </w:tc>
        <w:tc>
          <w:tcPr>
            <w:tcW w:w="1947"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地表水</w:t>
            </w:r>
          </w:p>
        </w:tc>
        <w:tc>
          <w:tcPr>
            <w:tcW w:w="1936"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E1□</w:t>
            </w:r>
          </w:p>
        </w:tc>
        <w:tc>
          <w:tcPr>
            <w:tcW w:w="1934" w:type="dxa"/>
            <w:gridSpan w:val="7"/>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E2□</w:t>
            </w:r>
          </w:p>
        </w:tc>
        <w:tc>
          <w:tcPr>
            <w:tcW w:w="1947"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052"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地下水</w:t>
            </w:r>
          </w:p>
        </w:tc>
        <w:tc>
          <w:tcPr>
            <w:tcW w:w="1936"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E1□</w:t>
            </w:r>
          </w:p>
        </w:tc>
        <w:tc>
          <w:tcPr>
            <w:tcW w:w="1934" w:type="dxa"/>
            <w:gridSpan w:val="7"/>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E2□</w:t>
            </w:r>
          </w:p>
        </w:tc>
        <w:tc>
          <w:tcPr>
            <w:tcW w:w="1947"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环境风险</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潜势</w:t>
            </w:r>
          </w:p>
        </w:tc>
        <w:tc>
          <w:tcPr>
            <w:tcW w:w="1370"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Ⅳ</w:t>
            </w:r>
            <w:r>
              <w:rPr>
                <w:rFonts w:hint="default" w:ascii="Times New Roman" w:hAnsi="Times New Roman" w:eastAsia="宋体" w:cs="Times New Roman"/>
                <w:color w:val="auto"/>
                <w:sz w:val="18"/>
                <w:szCs w:val="18"/>
                <w:highlight w:val="none"/>
                <w:vertAlign w:val="superscript"/>
              </w:rPr>
              <w:t>+</w:t>
            </w:r>
            <w:r>
              <w:rPr>
                <w:rFonts w:hint="default" w:ascii="Times New Roman" w:hAnsi="Times New Roman" w:eastAsia="宋体" w:cs="Times New Roman"/>
                <w:color w:val="auto"/>
                <w:sz w:val="18"/>
                <w:szCs w:val="18"/>
                <w:highlight w:val="none"/>
              </w:rPr>
              <w:t>□</w:t>
            </w:r>
          </w:p>
        </w:tc>
        <w:tc>
          <w:tcPr>
            <w:tcW w:w="1372" w:type="dxa"/>
            <w:gridSpan w:val="4"/>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Ⅳ□</w:t>
            </w:r>
          </w:p>
        </w:tc>
        <w:tc>
          <w:tcPr>
            <w:tcW w:w="1372"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Ⅲ□</w:t>
            </w:r>
          </w:p>
        </w:tc>
        <w:tc>
          <w:tcPr>
            <w:tcW w:w="1508"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Ⅱ□</w:t>
            </w:r>
          </w:p>
        </w:tc>
        <w:tc>
          <w:tcPr>
            <w:tcW w:w="124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I</w:t>
            </w:r>
            <w:r>
              <w:rPr>
                <w:rFonts w:hint="default" w:ascii="Times New Roman" w:hAnsi="Times New Roman" w:eastAsia="宋体" w:cs="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评价等级</w:t>
            </w:r>
          </w:p>
        </w:tc>
        <w:tc>
          <w:tcPr>
            <w:tcW w:w="1716"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一级□</w:t>
            </w:r>
          </w:p>
        </w:tc>
        <w:tc>
          <w:tcPr>
            <w:tcW w:w="1717"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二级□</w:t>
            </w:r>
          </w:p>
        </w:tc>
        <w:tc>
          <w:tcPr>
            <w:tcW w:w="1716"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三级□</w:t>
            </w:r>
          </w:p>
        </w:tc>
        <w:tc>
          <w:tcPr>
            <w:tcW w:w="1720"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简单分析</w:t>
            </w:r>
            <w:r>
              <w:rPr>
                <w:rFonts w:hint="default" w:ascii="Times New Roman" w:hAnsi="Times New Roman" w:eastAsia="宋体" w:cs="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风</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险</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识</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别</w:t>
            </w:r>
          </w:p>
        </w:tc>
        <w:tc>
          <w:tcPr>
            <w:tcW w:w="1536"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物质危险性</w:t>
            </w:r>
          </w:p>
        </w:tc>
        <w:tc>
          <w:tcPr>
            <w:tcW w:w="3433" w:type="dxa"/>
            <w:gridSpan w:val="9"/>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有毒有害</w:t>
            </w:r>
            <w:r>
              <w:rPr>
                <w:rFonts w:hint="default" w:ascii="Times New Roman" w:hAnsi="Times New Roman" w:eastAsia="宋体" w:cs="Times New Roman"/>
                <w:color w:val="auto"/>
                <w:sz w:val="18"/>
                <w:szCs w:val="18"/>
                <w:highlight w:val="none"/>
              </w:rPr>
              <w:sym w:font="Wingdings 2" w:char="0052"/>
            </w:r>
          </w:p>
        </w:tc>
        <w:tc>
          <w:tcPr>
            <w:tcW w:w="3436" w:type="dxa"/>
            <w:gridSpan w:val="9"/>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易燃易爆</w:t>
            </w:r>
            <w:r>
              <w:rPr>
                <w:rFonts w:hint="default" w:ascii="Times New Roman" w:hAnsi="Times New Roman" w:eastAsia="宋体" w:cs="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环境风险</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类型</w:t>
            </w:r>
          </w:p>
        </w:tc>
        <w:tc>
          <w:tcPr>
            <w:tcW w:w="3433" w:type="dxa"/>
            <w:gridSpan w:val="9"/>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泄漏□</w:t>
            </w:r>
          </w:p>
        </w:tc>
        <w:tc>
          <w:tcPr>
            <w:tcW w:w="3436" w:type="dxa"/>
            <w:gridSpan w:val="9"/>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火灾、爆炸引发伴生/次生污染物排放</w:t>
            </w:r>
            <w:r>
              <w:rPr>
                <w:rFonts w:hint="default" w:ascii="Times New Roman" w:hAnsi="Times New Roman" w:eastAsia="宋体" w:cs="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影响途径</w:t>
            </w:r>
          </w:p>
        </w:tc>
        <w:tc>
          <w:tcPr>
            <w:tcW w:w="2285" w:type="dxa"/>
            <w:gridSpan w:val="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w:t>
            </w:r>
            <w:r>
              <w:rPr>
                <w:rFonts w:hint="default" w:ascii="Times New Roman" w:hAnsi="Times New Roman" w:eastAsia="宋体" w:cs="Times New Roman"/>
                <w:color w:val="auto"/>
                <w:sz w:val="18"/>
                <w:szCs w:val="18"/>
                <w:highlight w:val="none"/>
              </w:rPr>
              <w:sym w:font="Wingdings 2" w:char="0052"/>
            </w:r>
          </w:p>
        </w:tc>
        <w:tc>
          <w:tcPr>
            <w:tcW w:w="2286" w:type="dxa"/>
            <w:gridSpan w:val="7"/>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地表水□</w:t>
            </w:r>
          </w:p>
        </w:tc>
        <w:tc>
          <w:tcPr>
            <w:tcW w:w="2298"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地下水</w:t>
            </w:r>
            <w:r>
              <w:rPr>
                <w:rFonts w:hint="default" w:ascii="Times New Roman" w:hAnsi="Times New Roman" w:eastAsia="宋体" w:cs="Times New Roman"/>
                <w:color w:val="auto"/>
                <w:sz w:val="18"/>
                <w:szCs w:val="18"/>
                <w:highlight w:val="none"/>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事故情形分析</w:t>
            </w:r>
          </w:p>
        </w:tc>
        <w:tc>
          <w:tcPr>
            <w:tcW w:w="1716"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源强设定方法</w:t>
            </w:r>
          </w:p>
        </w:tc>
        <w:tc>
          <w:tcPr>
            <w:tcW w:w="1717"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计算法□</w:t>
            </w:r>
          </w:p>
        </w:tc>
        <w:tc>
          <w:tcPr>
            <w:tcW w:w="1716"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经验估算法□</w:t>
            </w:r>
          </w:p>
        </w:tc>
        <w:tc>
          <w:tcPr>
            <w:tcW w:w="1720"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其他估算法□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风险</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预测</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与</w:t>
            </w: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w:t>
            </w:r>
          </w:p>
        </w:tc>
        <w:tc>
          <w:tcPr>
            <w:tcW w:w="1536"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w:t>
            </w:r>
          </w:p>
        </w:tc>
        <w:tc>
          <w:tcPr>
            <w:tcW w:w="1716"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预测模型</w:t>
            </w:r>
          </w:p>
        </w:tc>
        <w:tc>
          <w:tcPr>
            <w:tcW w:w="1717"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SLAB□</w:t>
            </w:r>
          </w:p>
        </w:tc>
        <w:tc>
          <w:tcPr>
            <w:tcW w:w="1716" w:type="dxa"/>
            <w:gridSpan w:val="6"/>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AFTOX□</w:t>
            </w:r>
          </w:p>
        </w:tc>
        <w:tc>
          <w:tcPr>
            <w:tcW w:w="1720" w:type="dxa"/>
            <w:gridSpan w:val="3"/>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716" w:type="dxa"/>
            <w:gridSpan w:val="3"/>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预测结果</w:t>
            </w:r>
          </w:p>
        </w:tc>
        <w:tc>
          <w:tcPr>
            <w:tcW w:w="5153" w:type="dxa"/>
            <w:gridSpan w:val="1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大气毒性终点浓度-1最大影响范围m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716" w:type="dxa"/>
            <w:gridSpan w:val="3"/>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5153" w:type="dxa"/>
            <w:gridSpan w:val="15"/>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大气毒性终点浓度-2最大影响范围m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地表水</w:t>
            </w:r>
          </w:p>
        </w:tc>
        <w:tc>
          <w:tcPr>
            <w:tcW w:w="6869" w:type="dxa"/>
            <w:gridSpan w:val="18"/>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最近环境敏感目标，到达时间h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restart"/>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地下水</w:t>
            </w:r>
          </w:p>
        </w:tc>
        <w:tc>
          <w:tcPr>
            <w:tcW w:w="6869" w:type="dxa"/>
            <w:gridSpan w:val="18"/>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下游厂区边界到达时间d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1"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1536" w:type="dxa"/>
            <w:vMerge w:val="continue"/>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tc>
        <w:tc>
          <w:tcPr>
            <w:tcW w:w="6869" w:type="dxa"/>
            <w:gridSpan w:val="18"/>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最近环境敏感目标，到达时间d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重点风险防范措施</w:t>
            </w:r>
          </w:p>
        </w:tc>
        <w:tc>
          <w:tcPr>
            <w:tcW w:w="6869" w:type="dxa"/>
            <w:gridSpan w:val="18"/>
            <w:tcBorders>
              <w:tl2br w:val="nil"/>
              <w:tr2bl w:val="nil"/>
            </w:tcBorders>
            <w:shd w:val="clear" w:color="auto" w:fill="auto"/>
            <w:vAlign w:val="center"/>
          </w:tcPr>
          <w:p>
            <w:pPr>
              <w:pStyle w:val="104"/>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①炸药运输及装卸期间，工业场地严禁烟火，防治炸药遇到明火后发生事故；</w:t>
            </w:r>
          </w:p>
          <w:p>
            <w:pPr>
              <w:pStyle w:val="104"/>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②严禁作业人员穿化纤衣服；</w:t>
            </w:r>
          </w:p>
          <w:p>
            <w:pPr>
              <w:pStyle w:val="104"/>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③搬运和储存火工品必须符合有关规定并严禁撞击，摔打火工品；</w:t>
            </w:r>
          </w:p>
          <w:p>
            <w:pPr>
              <w:pStyle w:val="104"/>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④事故状态下，安排专员进行疏散通道，并进行安置；</w:t>
            </w:r>
          </w:p>
          <w:p>
            <w:pPr>
              <w:pStyle w:val="104"/>
              <w:jc w:val="left"/>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⑤炸药运输及装卸前，采用洒水车定期湿润地面，并安排洒水车在工业场地待命</w:t>
            </w:r>
            <w:r>
              <w:rPr>
                <w:rFonts w:hint="default" w:ascii="Times New Roman" w:hAnsi="Times New Roman" w:eastAsia="宋体" w:cs="Times New Roman"/>
                <w:bCs/>
                <w:color w:val="auto"/>
                <w:sz w:val="18"/>
                <w:szCs w:val="18"/>
                <w:highlight w:val="none"/>
              </w:rPr>
              <w:t>。</w:t>
            </w:r>
          </w:p>
          <w:p>
            <w:pPr>
              <w:pStyle w:val="104"/>
              <w:jc w:val="left"/>
              <w:rPr>
                <w:rFonts w:hint="default" w:ascii="Times New Roman" w:hAnsi="Times New Roman" w:eastAsia="宋体" w:cs="Times New Roman"/>
                <w:bCs/>
                <w:color w:val="auto"/>
                <w:sz w:val="18"/>
                <w:szCs w:val="18"/>
                <w:highlight w:val="none"/>
              </w:rPr>
            </w:pPr>
          </w:p>
          <w:p>
            <w:pPr>
              <w:pStyle w:val="104"/>
              <w:jc w:val="left"/>
              <w:rPr>
                <w:rFonts w:hint="default" w:ascii="Times New Roman" w:hAnsi="Times New Roman" w:eastAsia="宋体" w:cs="Times New Roman"/>
                <w:bCs/>
                <w:color w:val="auto"/>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87" w:type="dxa"/>
            <w:gridSpan w:val="2"/>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评价结论与建议</w:t>
            </w:r>
          </w:p>
        </w:tc>
        <w:tc>
          <w:tcPr>
            <w:tcW w:w="6869" w:type="dxa"/>
            <w:gridSpan w:val="18"/>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p>
          <w:p>
            <w:pPr>
              <w:pStyle w:val="104"/>
              <w:jc w:val="center"/>
              <w:rPr>
                <w:rFonts w:hint="default" w:ascii="Times New Roman" w:hAnsi="Times New Roman" w:eastAsia="宋体" w:cs="Times New Roman"/>
                <w:color w:val="auto"/>
                <w:sz w:val="18"/>
                <w:szCs w:val="18"/>
                <w:highlight w:val="none"/>
              </w:rPr>
            </w:pPr>
          </w:p>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通过采取相应的风险防范措施，拟建项目对周围的环境风险是可控的，环境风险水平是可防控的</w:t>
            </w:r>
          </w:p>
          <w:p>
            <w:pPr>
              <w:pStyle w:val="104"/>
              <w:jc w:val="center"/>
              <w:rPr>
                <w:rFonts w:hint="default" w:ascii="Times New Roman" w:hAnsi="Times New Roman" w:eastAsia="宋体" w:cs="Times New Roman"/>
                <w:color w:val="auto"/>
                <w:sz w:val="18"/>
                <w:szCs w:val="18"/>
                <w:highlight w:val="none"/>
              </w:rPr>
            </w:pPr>
          </w:p>
          <w:p>
            <w:pPr>
              <w:pStyle w:val="104"/>
              <w:jc w:val="center"/>
              <w:rPr>
                <w:rFonts w:hint="default" w:ascii="Times New Roman" w:hAnsi="Times New Roman" w:eastAsia="宋体" w:cs="Times New Roman"/>
                <w:color w:val="auto"/>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56" w:type="dxa"/>
            <w:gridSpan w:val="20"/>
            <w:tcBorders>
              <w:tl2br w:val="nil"/>
              <w:tr2bl w:val="nil"/>
            </w:tcBorders>
            <w:shd w:val="clear" w:color="auto" w:fill="auto"/>
            <w:vAlign w:val="center"/>
          </w:tcPr>
          <w:p>
            <w:pPr>
              <w:pStyle w:val="104"/>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注：</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为勾选项，</w:t>
            </w:r>
            <w:r>
              <w:rPr>
                <w:rFonts w:hint="eastAsia"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为填写项。</w:t>
            </w:r>
          </w:p>
        </w:tc>
      </w:tr>
    </w:tbl>
    <w:p>
      <w:pPr>
        <w:pStyle w:val="78"/>
        <w:ind w:firstLine="197" w:firstLineChars="81"/>
        <w:rPr>
          <w:rFonts w:hint="default" w:ascii="Times New Roman" w:hAnsi="Times New Roman" w:eastAsia="宋体" w:cs="Times New Roman"/>
          <w:color w:val="auto"/>
          <w:highlight w:val="none"/>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附表</w:t>
      </w:r>
      <w:r>
        <w:rPr>
          <w:rFonts w:hint="default" w:ascii="Times New Roman" w:hAnsi="Times New Roman" w:eastAsia="宋体"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rPr>
        <w:t>土壤预测表（</w:t>
      </w:r>
      <w:r>
        <w:rPr>
          <w:rFonts w:hint="eastAsia" w:cs="Times New Roman"/>
          <w:b/>
          <w:bCs/>
          <w:color w:val="auto"/>
          <w:sz w:val="21"/>
          <w:szCs w:val="21"/>
          <w:highlight w:val="none"/>
          <w:lang w:val="en-US" w:eastAsia="zh-CN"/>
        </w:rPr>
        <w:t>露天采场、</w:t>
      </w:r>
      <w:r>
        <w:rPr>
          <w:rFonts w:hint="default" w:ascii="Times New Roman" w:hAnsi="Times New Roman" w:eastAsia="宋体" w:cs="Times New Roman"/>
          <w:b/>
          <w:bCs/>
          <w:color w:val="auto"/>
          <w:sz w:val="21"/>
          <w:szCs w:val="21"/>
          <w:highlight w:val="none"/>
        </w:rPr>
        <w:t>平硐、风井场地及工业场地）</w:t>
      </w:r>
    </w:p>
    <w:tbl>
      <w:tblPr>
        <w:tblStyle w:val="45"/>
        <w:tblW w:w="9287"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85" w:type="dxa"/>
          <w:left w:w="108" w:type="dxa"/>
          <w:bottom w:w="85" w:type="dxa"/>
          <w:right w:w="108" w:type="dxa"/>
        </w:tblCellMar>
      </w:tblPr>
      <w:tblGrid>
        <w:gridCol w:w="575"/>
        <w:gridCol w:w="1669"/>
        <w:gridCol w:w="1413"/>
        <w:gridCol w:w="693"/>
        <w:gridCol w:w="623"/>
        <w:gridCol w:w="1384"/>
        <w:gridCol w:w="1339"/>
        <w:gridCol w:w="159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2244" w:type="dxa"/>
            <w:gridSpan w:val="2"/>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color w:val="auto"/>
                <w:sz w:val="18"/>
                <w:szCs w:val="18"/>
                <w:highlight w:val="none"/>
              </w:rPr>
              <w:t>工作内容</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lang w:eastAsia="zh-CN"/>
              </w:rPr>
            </w:pPr>
            <w:r>
              <w:rPr>
                <w:rFonts w:hint="default" w:ascii="Times New Roman" w:hAnsi="Times New Roman" w:eastAsia="宋体" w:cs="Times New Roman"/>
                <w:snapToGrid w:val="0"/>
                <w:color w:val="auto"/>
                <w:sz w:val="18"/>
                <w:szCs w:val="18"/>
                <w:highlight w:val="none"/>
              </w:rPr>
              <w:t>完成情况</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restart"/>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影响识别</w:t>
            </w: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影响类型</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污染影响型</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；生态影响型</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；两种兼有</w:t>
            </w:r>
            <w:r>
              <w:rPr>
                <w:rFonts w:hint="default" w:ascii="Times New Roman" w:hAnsi="Times New Roman" w:eastAsia="宋体" w:cs="Times New Roman"/>
                <w:snapToGrid w:val="0"/>
                <w:color w:val="auto"/>
                <w:sz w:val="18"/>
                <w:szCs w:val="18"/>
                <w:highlight w:val="none"/>
              </w:rPr>
              <w:sym w:font="Wingdings" w:char="00A8"/>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土地利用类型</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建设用地</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；农用地</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；未利用地</w:t>
            </w:r>
            <w:r>
              <w:rPr>
                <w:rFonts w:hint="default" w:ascii="Times New Roman" w:hAnsi="Times New Roman" w:eastAsia="宋体" w:cs="Times New Roman"/>
                <w:snapToGrid w:val="0"/>
                <w:color w:val="auto"/>
                <w:sz w:val="18"/>
                <w:szCs w:val="18"/>
                <w:highlight w:val="none"/>
              </w:rPr>
              <w:sym w:font="Wingdings" w:char="00A8"/>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土地利用类型图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占地规模</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vertAlign w:val="superscript"/>
              </w:rPr>
            </w:pPr>
            <w:r>
              <w:rPr>
                <w:rFonts w:hint="default" w:ascii="Times New Roman" w:hAnsi="Times New Roman" w:eastAsia="宋体" w:cs="Times New Roman"/>
                <w:snapToGrid w:val="0"/>
                <w:color w:val="auto"/>
                <w:sz w:val="18"/>
                <w:szCs w:val="18"/>
                <w:highlight w:val="none"/>
              </w:rPr>
              <w:t>（</w:t>
            </w:r>
            <w:r>
              <w:rPr>
                <w:rFonts w:hint="default" w:ascii="Times New Roman" w:hAnsi="Times New Roman" w:eastAsia="宋体" w:cs="Times New Roman"/>
                <w:snapToGrid w:val="0"/>
                <w:color w:val="auto"/>
                <w:sz w:val="18"/>
                <w:szCs w:val="18"/>
                <w:highlight w:val="none"/>
                <w:lang w:val="en-US" w:eastAsia="zh-CN"/>
              </w:rPr>
              <w:t>0.</w:t>
            </w:r>
            <w:r>
              <w:rPr>
                <w:rFonts w:hint="eastAsia" w:cs="Times New Roman"/>
                <w:snapToGrid w:val="0"/>
                <w:color w:val="auto"/>
                <w:sz w:val="18"/>
                <w:szCs w:val="18"/>
                <w:highlight w:val="none"/>
                <w:lang w:val="en-US" w:eastAsia="zh-CN"/>
              </w:rPr>
              <w:t>478</w:t>
            </w:r>
            <w:r>
              <w:rPr>
                <w:rFonts w:hint="default" w:ascii="Times New Roman" w:hAnsi="Times New Roman" w:eastAsia="宋体" w:cs="Times New Roman"/>
                <w:snapToGrid w:val="0"/>
                <w:color w:val="auto"/>
                <w:sz w:val="18"/>
                <w:szCs w:val="18"/>
                <w:highlight w:val="none"/>
              </w:rPr>
              <w:t>）</w:t>
            </w:r>
            <w:r>
              <w:rPr>
                <w:rFonts w:hint="default" w:ascii="Times New Roman" w:hAnsi="Times New Roman" w:eastAsia="宋体" w:cs="Times New Roman"/>
                <w:snapToGrid w:val="0"/>
                <w:color w:val="auto"/>
                <w:sz w:val="18"/>
                <w:szCs w:val="18"/>
                <w:highlight w:val="none"/>
                <w:lang w:val="en-US" w:eastAsia="zh-CN"/>
              </w:rPr>
              <w:t>k</w:t>
            </w:r>
            <w:r>
              <w:rPr>
                <w:rFonts w:hint="default" w:ascii="Times New Roman" w:hAnsi="Times New Roman" w:eastAsia="宋体" w:cs="Times New Roman"/>
                <w:snapToGrid w:val="0"/>
                <w:color w:val="auto"/>
                <w:sz w:val="18"/>
                <w:szCs w:val="18"/>
                <w:highlight w:val="none"/>
              </w:rPr>
              <w:t>m</w:t>
            </w:r>
            <w:r>
              <w:rPr>
                <w:rFonts w:hint="default" w:ascii="Times New Roman" w:hAnsi="Times New Roman" w:eastAsia="宋体" w:cs="Times New Roman"/>
                <w:snapToGrid w:val="0"/>
                <w:color w:val="auto"/>
                <w:sz w:val="18"/>
                <w:szCs w:val="18"/>
                <w:highlight w:val="none"/>
                <w:vertAlign w:val="superscript"/>
              </w:rPr>
              <w:t>2</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敏感目标</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影响途径</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大气沉降</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；地表漫流</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；垂直入渗</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；地下水</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；其他（）</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全部污染物</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特征因子</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所属土壤环境影响评价类型</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Ⅰ类</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；Ⅱ类</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；Ⅲ类</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；Ⅳ类</w:t>
            </w:r>
            <w:r>
              <w:rPr>
                <w:rFonts w:hint="default" w:ascii="Times New Roman" w:hAnsi="Times New Roman" w:eastAsia="宋体" w:cs="Times New Roman"/>
                <w:snapToGrid w:val="0"/>
                <w:color w:val="auto"/>
                <w:sz w:val="18"/>
                <w:szCs w:val="18"/>
                <w:highlight w:val="none"/>
              </w:rPr>
              <w:sym w:font="Wingdings" w:char="00A8"/>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敏感程度</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敏感</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；较敏感</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；不敏感</w:t>
            </w:r>
            <w:r>
              <w:rPr>
                <w:rFonts w:hint="default" w:ascii="Times New Roman" w:hAnsi="Times New Roman" w:eastAsia="宋体" w:cs="Times New Roman"/>
                <w:snapToGrid w:val="0"/>
                <w:color w:val="auto"/>
                <w:sz w:val="18"/>
                <w:szCs w:val="18"/>
                <w:highlight w:val="none"/>
              </w:rPr>
              <w:sym w:font="Wingdings" w:char="00A8"/>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2244" w:type="dxa"/>
            <w:gridSpan w:val="2"/>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评价工作等级</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一级</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；二级</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；三级</w:t>
            </w:r>
            <w:r>
              <w:rPr>
                <w:rFonts w:hint="default" w:ascii="Times New Roman" w:hAnsi="Times New Roman" w:eastAsia="宋体" w:cs="Times New Roman"/>
                <w:snapToGrid w:val="0"/>
                <w:color w:val="auto"/>
                <w:sz w:val="18"/>
                <w:szCs w:val="18"/>
                <w:highlight w:val="none"/>
              </w:rPr>
              <w:sym w:font="Wingdings" w:char="00FE"/>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restart"/>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现状调查内容</w:t>
            </w: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资料收集</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a）</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；b）</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；c）</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；d</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理化特性</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棕壤</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同附录C</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Merge w:val="restart"/>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现状监测点位</w:t>
            </w:r>
          </w:p>
        </w:tc>
        <w:tc>
          <w:tcPr>
            <w:tcW w:w="1413"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316" w:type="dxa"/>
            <w:gridSpan w:val="2"/>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占地范围内</w:t>
            </w:r>
          </w:p>
        </w:tc>
        <w:tc>
          <w:tcPr>
            <w:tcW w:w="1384"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占地范围外</w:t>
            </w:r>
          </w:p>
        </w:tc>
        <w:tc>
          <w:tcPr>
            <w:tcW w:w="133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深度</w:t>
            </w:r>
          </w:p>
        </w:tc>
        <w:tc>
          <w:tcPr>
            <w:tcW w:w="1591" w:type="dxa"/>
            <w:vMerge w:val="restart"/>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布点位置图</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413"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表层样点数</w:t>
            </w:r>
          </w:p>
        </w:tc>
        <w:tc>
          <w:tcPr>
            <w:tcW w:w="1316" w:type="dxa"/>
            <w:gridSpan w:val="2"/>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lang w:eastAsia="zh-CN"/>
              </w:rPr>
            </w:pPr>
            <w:r>
              <w:rPr>
                <w:rFonts w:hint="default" w:ascii="Times New Roman" w:hAnsi="Times New Roman" w:eastAsia="宋体" w:cs="Times New Roman"/>
                <w:snapToGrid w:val="0"/>
                <w:color w:val="auto"/>
                <w:sz w:val="18"/>
                <w:szCs w:val="18"/>
                <w:highlight w:val="none"/>
                <w:lang w:val="en-US" w:eastAsia="zh-CN"/>
              </w:rPr>
              <w:t>3</w:t>
            </w:r>
          </w:p>
        </w:tc>
        <w:tc>
          <w:tcPr>
            <w:tcW w:w="1384"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lang w:val="en-US" w:eastAsia="zh-CN"/>
              </w:rPr>
            </w:pPr>
            <w:r>
              <w:rPr>
                <w:rFonts w:hint="default" w:ascii="Times New Roman" w:hAnsi="Times New Roman" w:eastAsia="宋体" w:cs="Times New Roman"/>
                <w:snapToGrid w:val="0"/>
                <w:color w:val="auto"/>
                <w:sz w:val="18"/>
                <w:szCs w:val="18"/>
                <w:highlight w:val="none"/>
                <w:lang w:val="en-US" w:eastAsia="zh-CN"/>
              </w:rPr>
              <w:t>0</w:t>
            </w:r>
          </w:p>
        </w:tc>
        <w:tc>
          <w:tcPr>
            <w:tcW w:w="133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0.3m</w:t>
            </w:r>
          </w:p>
        </w:tc>
        <w:tc>
          <w:tcPr>
            <w:tcW w:w="1591"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413"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柱状样点数</w:t>
            </w:r>
          </w:p>
        </w:tc>
        <w:tc>
          <w:tcPr>
            <w:tcW w:w="1316" w:type="dxa"/>
            <w:gridSpan w:val="2"/>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384"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33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591"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现状监测因子</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砷、镉、六价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对二甲苯、邻二甲苯、硝基苯、苯胺、2-氯酚、苯并(a)蒽、苯并(a)芘、苯并[b]荧蒽、苯并[k]荧蒽、䓛、二苯并[a,h]蒽、茚并（1,2,3-c,d）芘、萘、pH、阳离子交换量、氧化还原电位、饱和导水率、土壤容重、孔隙度、全盐量</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restart"/>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现状评价</w:t>
            </w: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评价因子</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同现状监测因子</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评价标准</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GB15618</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；GB36600</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；表D.1</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；表D.2</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；其他（）</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现状评价结论</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各监测点各监测项目均满足GB36600-2018中二类地筛选值</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restart"/>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影响预测</w:t>
            </w: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预测因子</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eastAsia" w:ascii="Times New Roman" w:hAnsi="Times New Roman" w:eastAsia="宋体" w:cs="Times New Roman"/>
                <w:snapToGrid w:val="0"/>
                <w:color w:val="auto"/>
                <w:sz w:val="18"/>
                <w:szCs w:val="18"/>
                <w:highlight w:val="none"/>
                <w:lang w:val="en-US" w:eastAsia="zh-CN"/>
              </w:rPr>
            </w:pPr>
            <w:r>
              <w:rPr>
                <w:rFonts w:hint="eastAsia" w:cs="Times New Roman"/>
                <w:snapToGrid w:val="0"/>
                <w:color w:val="auto"/>
                <w:sz w:val="18"/>
                <w:szCs w:val="18"/>
                <w:highlight w:val="none"/>
                <w:lang w:val="en-US" w:eastAsia="zh-CN"/>
              </w:rPr>
              <w:t>锰</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预测方法</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附录E</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；附录F</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；其他（）</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预测分析内容</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影响范围（工业场地内及外扩</w:t>
            </w:r>
            <w:r>
              <w:rPr>
                <w:rFonts w:hint="eastAsia" w:cs="Times New Roman"/>
                <w:snapToGrid w:val="0"/>
                <w:color w:val="auto"/>
                <w:sz w:val="18"/>
                <w:szCs w:val="18"/>
                <w:highlight w:val="none"/>
                <w:lang w:val="en-US" w:eastAsia="zh-CN"/>
              </w:rPr>
              <w:t>50</w:t>
            </w:r>
            <w:r>
              <w:rPr>
                <w:rFonts w:hint="default" w:ascii="Times New Roman" w:hAnsi="Times New Roman" w:eastAsia="宋体" w:cs="Times New Roman"/>
                <w:snapToGrid w:val="0"/>
                <w:color w:val="auto"/>
                <w:sz w:val="18"/>
                <w:szCs w:val="18"/>
                <w:highlight w:val="none"/>
              </w:rPr>
              <w:t>m范围内）</w:t>
            </w:r>
          </w:p>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影响程度（较小））</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预测结论</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left"/>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达标结论：a）</w:t>
            </w:r>
            <w:r>
              <w:rPr>
                <w:rFonts w:hint="eastAsia" w:cs="Times New Roman"/>
                <w:snapToGrid w:val="0"/>
                <w:color w:val="auto"/>
                <w:sz w:val="18"/>
                <w:szCs w:val="18"/>
                <w:highlight w:val="none"/>
                <w:lang w:eastAsia="zh-CN"/>
              </w:rPr>
              <w:t>锰</w:t>
            </w:r>
            <w:r>
              <w:rPr>
                <w:rFonts w:hint="default" w:ascii="Times New Roman" w:hAnsi="Times New Roman" w:eastAsia="宋体" w:cs="Times New Roman"/>
                <w:snapToGrid w:val="0"/>
                <w:color w:val="auto"/>
                <w:sz w:val="18"/>
                <w:szCs w:val="18"/>
                <w:highlight w:val="none"/>
              </w:rPr>
              <w:t>主要影响第四系包气带在5.0m范围内，在2.0m以下地下水含水层受到影响较小，达到含水层中污染物较少，对地下水含水层造成影响较小。根据包气带调查，泄露对土壤环境会有影响较小，下渗至含水层影响地下水环境可能性较小，并且污染物在土壤中会受到微生物的分解，在污染影响一段时间后对周边土壤环境影响逐渐减小。</w:t>
            </w:r>
          </w:p>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不达标结论：a）</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；b）</w:t>
            </w:r>
            <w:r>
              <w:rPr>
                <w:rFonts w:hint="default" w:ascii="Times New Roman" w:hAnsi="Times New Roman" w:eastAsia="宋体" w:cs="Times New Roman"/>
                <w:snapToGrid w:val="0"/>
                <w:color w:val="auto"/>
                <w:sz w:val="18"/>
                <w:szCs w:val="18"/>
                <w:highlight w:val="none"/>
              </w:rPr>
              <w:sym w:font="Wingdings" w:char="00A8"/>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restart"/>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防治措施</w:t>
            </w: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防控措施</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土壤环境质量现状保障</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；源头控制</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；过程防控</w:t>
            </w:r>
            <w:r>
              <w:rPr>
                <w:rFonts w:hint="default" w:ascii="Times New Roman" w:hAnsi="Times New Roman" w:eastAsia="宋体" w:cs="Times New Roman"/>
                <w:snapToGrid w:val="0"/>
                <w:color w:val="auto"/>
                <w:sz w:val="18"/>
                <w:szCs w:val="18"/>
                <w:highlight w:val="none"/>
              </w:rPr>
              <w:sym w:font="Wingdings" w:char="00FE"/>
            </w:r>
            <w:r>
              <w:rPr>
                <w:rFonts w:hint="default" w:ascii="Times New Roman" w:hAnsi="Times New Roman" w:eastAsia="宋体" w:cs="Times New Roman"/>
                <w:snapToGrid w:val="0"/>
                <w:color w:val="auto"/>
                <w:sz w:val="18"/>
                <w:szCs w:val="18"/>
                <w:highlight w:val="none"/>
              </w:rPr>
              <w:t>；其他（）</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跟踪监测</w:t>
            </w:r>
          </w:p>
        </w:tc>
        <w:tc>
          <w:tcPr>
            <w:tcW w:w="2106" w:type="dxa"/>
            <w:gridSpan w:val="2"/>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监测点数：</w:t>
            </w:r>
            <w:r>
              <w:rPr>
                <w:rFonts w:hint="eastAsia" w:cs="Times New Roman"/>
                <w:snapToGrid w:val="0"/>
                <w:color w:val="auto"/>
                <w:sz w:val="18"/>
                <w:szCs w:val="18"/>
                <w:highlight w:val="none"/>
                <w:lang w:val="en-US" w:eastAsia="zh-CN"/>
              </w:rPr>
              <w:t>3</w:t>
            </w:r>
          </w:p>
        </w:tc>
        <w:tc>
          <w:tcPr>
            <w:tcW w:w="2007" w:type="dxa"/>
            <w:gridSpan w:val="2"/>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监测指标：GB36600-2018和GB15618-2018 中基本因子及pH。</w:t>
            </w:r>
          </w:p>
        </w:tc>
        <w:tc>
          <w:tcPr>
            <w:tcW w:w="133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监测频次：1 次</w:t>
            </w:r>
            <w:r>
              <w:rPr>
                <w:rFonts w:hint="eastAsia" w:cs="Times New Roman"/>
                <w:snapToGrid w:val="0"/>
                <w:color w:val="auto"/>
                <w:sz w:val="18"/>
                <w:szCs w:val="18"/>
                <w:highlight w:val="none"/>
                <w:lang w:val="en-US" w:eastAsia="zh-CN"/>
              </w:rPr>
              <w:t>/5年</w:t>
            </w:r>
          </w:p>
        </w:tc>
        <w:tc>
          <w:tcPr>
            <w:tcW w:w="1591" w:type="dxa"/>
            <w:vMerge w:val="restart"/>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575"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c>
          <w:tcPr>
            <w:tcW w:w="1669"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信息公开指标</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eastAsia" w:ascii="宋体" w:hAnsi="宋体" w:eastAsia="宋体"/>
                <w:color w:val="auto"/>
                <w:sz w:val="21"/>
                <w:szCs w:val="24"/>
              </w:rPr>
              <w:t>每次跟踪监测结果</w:t>
            </w:r>
          </w:p>
        </w:tc>
        <w:tc>
          <w:tcPr>
            <w:tcW w:w="1591" w:type="dxa"/>
            <w:vMerge w:val="continue"/>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2244" w:type="dxa"/>
            <w:gridSpan w:val="2"/>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评价结论</w:t>
            </w:r>
          </w:p>
        </w:tc>
        <w:tc>
          <w:tcPr>
            <w:tcW w:w="5452" w:type="dxa"/>
            <w:gridSpan w:val="5"/>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r>
              <w:rPr>
                <w:rFonts w:hint="eastAsia" w:ascii="宋体" w:hAnsi="宋体" w:eastAsia="宋体"/>
                <w:color w:val="auto"/>
                <w:sz w:val="21"/>
                <w:szCs w:val="24"/>
              </w:rPr>
              <w:t>本项目对评价范围内土壤环境影响较小。</w:t>
            </w:r>
          </w:p>
        </w:tc>
        <w:tc>
          <w:tcPr>
            <w:tcW w:w="1591" w:type="dxa"/>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ascii="Times New Roman" w:hAnsi="Times New Roman" w:eastAsia="宋体" w:cs="Times New Roman"/>
                <w:snapToGrid w:val="0"/>
                <w:color w:val="auto"/>
                <w:sz w:val="18"/>
                <w:szCs w:val="18"/>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85" w:type="dxa"/>
            <w:left w:w="108" w:type="dxa"/>
            <w:bottom w:w="85" w:type="dxa"/>
            <w:right w:w="108" w:type="dxa"/>
          </w:tblCellMar>
        </w:tblPrEx>
        <w:trPr>
          <w:trHeight w:val="0" w:hRule="atLeast"/>
          <w:tblHeader/>
          <w:jc w:val="center"/>
        </w:trPr>
        <w:tc>
          <w:tcPr>
            <w:tcW w:w="9287" w:type="dxa"/>
            <w:gridSpan w:val="8"/>
            <w:vAlign w:val="center"/>
          </w:tcPr>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注1：</w:t>
            </w:r>
            <w:r>
              <w:rPr>
                <w:rFonts w:hint="eastAsia"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sym w:font="Wingdings" w:char="00A8"/>
            </w:r>
            <w:r>
              <w:rPr>
                <w:rFonts w:hint="default" w:ascii="Times New Roman" w:hAnsi="Times New Roman" w:eastAsia="宋体" w:cs="Times New Roman"/>
                <w:snapToGrid w:val="0"/>
                <w:color w:val="auto"/>
                <w:sz w:val="18"/>
                <w:szCs w:val="18"/>
                <w:highlight w:val="none"/>
              </w:rPr>
              <w:t>为勾选项，可√；</w:t>
            </w:r>
            <w:r>
              <w:rPr>
                <w:rFonts w:hint="eastAsia"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w:t>
            </w:r>
            <w:r>
              <w:rPr>
                <w:rFonts w:hint="eastAsia"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为内容填写项；</w:t>
            </w:r>
            <w:r>
              <w:rPr>
                <w:rFonts w:hint="eastAsia"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备注</w:t>
            </w:r>
            <w:r>
              <w:rPr>
                <w:rFonts w:hint="eastAsia" w:cs="Times New Roman"/>
                <w:snapToGrid w:val="0"/>
                <w:color w:val="auto"/>
                <w:sz w:val="18"/>
                <w:szCs w:val="18"/>
                <w:highlight w:val="none"/>
                <w:lang w:eastAsia="zh-CN"/>
              </w:rPr>
              <w:t>”</w:t>
            </w:r>
            <w:r>
              <w:rPr>
                <w:rFonts w:hint="default" w:ascii="Times New Roman" w:hAnsi="Times New Roman" w:eastAsia="宋体" w:cs="Times New Roman"/>
                <w:snapToGrid w:val="0"/>
                <w:color w:val="auto"/>
                <w:sz w:val="18"/>
                <w:szCs w:val="18"/>
                <w:highlight w:val="none"/>
              </w:rPr>
              <w:t>为其他补充内容。</w:t>
            </w:r>
          </w:p>
          <w:p>
            <w:pPr>
              <w:pStyle w:val="78"/>
              <w:keepNext w:val="0"/>
              <w:keepLines w:val="0"/>
              <w:pageBreakBefore w:val="0"/>
              <w:widowControl w:val="0"/>
              <w:kinsoku/>
              <w:wordWrap/>
              <w:overflowPunct/>
              <w:topLinePunct w:val="0"/>
              <w:autoSpaceDE/>
              <w:autoSpaceDN/>
              <w:bidi w:val="0"/>
              <w:adjustRightInd w:val="0"/>
              <w:snapToGrid w:val="0"/>
              <w:spacing w:line="240" w:lineRule="atLeast"/>
              <w:ind w:firstLine="0" w:firstLineChars="0"/>
              <w:textAlignment w:val="auto"/>
              <w:rPr>
                <w:rFonts w:hint="default" w:ascii="Times New Roman" w:hAnsi="Times New Roman" w:eastAsia="宋体" w:cs="Times New Roman"/>
                <w:snapToGrid w:val="0"/>
                <w:color w:val="auto"/>
                <w:sz w:val="18"/>
                <w:szCs w:val="18"/>
                <w:highlight w:val="none"/>
              </w:rPr>
            </w:pPr>
            <w:r>
              <w:rPr>
                <w:rFonts w:hint="default" w:ascii="Times New Roman" w:hAnsi="Times New Roman" w:eastAsia="宋体" w:cs="Times New Roman"/>
                <w:snapToGrid w:val="0"/>
                <w:color w:val="auto"/>
                <w:sz w:val="18"/>
                <w:szCs w:val="18"/>
                <w:highlight w:val="none"/>
              </w:rPr>
              <w:t>注2：需要分别开展土壤环境影响评级工作，分别填写自查表</w:t>
            </w:r>
          </w:p>
        </w:tc>
      </w:tr>
    </w:tbl>
    <w:p>
      <w:pPr>
        <w:rPr>
          <w:rFonts w:hint="default" w:ascii="Times New Roman" w:hAnsi="Times New Roman" w:eastAsia="宋体" w:cs="Times New Roman"/>
          <w:color w:val="auto"/>
          <w:highlight w:val="none"/>
          <w:lang w:val="en-US" w:eastAsia="zh-CN"/>
        </w:rPr>
        <w:sectPr>
          <w:headerReference r:id="rId30" w:type="default"/>
          <w:footerReference r:id="rId31" w:type="default"/>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附表</w:t>
      </w:r>
      <w:r>
        <w:rPr>
          <w:rFonts w:hint="eastAsia" w:ascii="Times New Roman" w:hAnsi="Times New Roman" w:eastAsia="宋体" w:cs="Times New Roman"/>
          <w:b/>
          <w:bCs/>
          <w:color w:val="auto"/>
          <w:sz w:val="21"/>
          <w:szCs w:val="21"/>
          <w:highlight w:val="none"/>
          <w:lang w:val="en-US" w:eastAsia="zh-CN"/>
        </w:rPr>
        <w:t>5</w:t>
      </w:r>
      <w:r>
        <w:rPr>
          <w:rFonts w:hint="eastAsia" w:ascii="Times New Roman" w:hAnsi="Times New Roman" w:eastAsia="宋体" w:cs="Times New Roman"/>
          <w:b/>
          <w:bCs/>
          <w:color w:val="auto"/>
          <w:sz w:val="21"/>
          <w:szCs w:val="21"/>
          <w:highlight w:val="none"/>
        </w:rPr>
        <w:t>环境生态评价自查表</w:t>
      </w:r>
    </w:p>
    <w:tbl>
      <w:tblPr>
        <w:tblStyle w:val="45"/>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58"/>
        <w:gridCol w:w="1359"/>
        <w:gridCol w:w="3370"/>
        <w:gridCol w:w="332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6" w:hRule="atLeast"/>
        </w:trPr>
        <w:tc>
          <w:tcPr>
            <w:tcW w:w="1286"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工作内容</w:t>
            </w:r>
          </w:p>
        </w:tc>
        <w:tc>
          <w:tcPr>
            <w:tcW w:w="3713"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自查项目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62" w:hRule="atLeast"/>
        </w:trPr>
        <w:tc>
          <w:tcPr>
            <w:tcW w:w="53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生态影响识别</w:t>
            </w: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生态保护目标</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重要物种</w:t>
            </w:r>
            <w:r>
              <w:rPr>
                <w:color w:val="auto"/>
                <w:sz w:val="21"/>
                <w:szCs w:val="21"/>
              </w:rPr>
              <w:sym w:font="Wingdings 2" w:char="00A3"/>
            </w:r>
            <w:r>
              <w:rPr>
                <w:color w:val="auto"/>
                <w:sz w:val="21"/>
                <w:szCs w:val="21"/>
              </w:rPr>
              <w:t>；国家公园</w:t>
            </w:r>
            <w:r>
              <w:rPr>
                <w:color w:val="auto"/>
                <w:sz w:val="21"/>
                <w:szCs w:val="21"/>
              </w:rPr>
              <w:sym w:font="Wingdings 2" w:char="00A3"/>
            </w:r>
            <w:r>
              <w:rPr>
                <w:color w:val="auto"/>
                <w:sz w:val="21"/>
                <w:szCs w:val="21"/>
              </w:rPr>
              <w:t>；自然保护区</w:t>
            </w:r>
            <w:r>
              <w:rPr>
                <w:color w:val="auto"/>
                <w:sz w:val="21"/>
                <w:szCs w:val="21"/>
              </w:rPr>
              <w:sym w:font="Wingdings 2" w:char="00A3"/>
            </w:r>
            <w:r>
              <w:rPr>
                <w:color w:val="auto"/>
                <w:sz w:val="21"/>
                <w:szCs w:val="21"/>
              </w:rPr>
              <w:t>；自然公园</w:t>
            </w:r>
            <w:r>
              <w:rPr>
                <w:color w:val="auto"/>
                <w:sz w:val="21"/>
                <w:szCs w:val="21"/>
              </w:rPr>
              <w:sym w:font="Wingdings 2" w:char="00A3"/>
            </w:r>
            <w:r>
              <w:rPr>
                <w:color w:val="auto"/>
                <w:sz w:val="21"/>
                <w:szCs w:val="21"/>
              </w:rPr>
              <w:t>；世界自然遗产</w:t>
            </w:r>
            <w:r>
              <w:rPr>
                <w:color w:val="auto"/>
                <w:sz w:val="21"/>
                <w:szCs w:val="21"/>
              </w:rPr>
              <w:sym w:font="Wingdings 2" w:char="00A3"/>
            </w:r>
            <w:r>
              <w:rPr>
                <w:color w:val="auto"/>
                <w:sz w:val="21"/>
                <w:szCs w:val="21"/>
              </w:rPr>
              <w:t>；生态保护红线</w:t>
            </w:r>
            <w:r>
              <w:rPr>
                <w:color w:val="auto"/>
                <w:sz w:val="21"/>
                <w:szCs w:val="21"/>
              </w:rPr>
              <w:sym w:font="Wingdings 2" w:char="00A3"/>
            </w:r>
            <w:r>
              <w:rPr>
                <w:color w:val="auto"/>
                <w:sz w:val="21"/>
                <w:szCs w:val="21"/>
              </w:rPr>
              <w:t>；重要生境</w:t>
            </w:r>
            <w:r>
              <w:rPr>
                <w:color w:val="auto"/>
                <w:sz w:val="21"/>
                <w:szCs w:val="21"/>
              </w:rPr>
              <w:sym w:font="Wingdings 2" w:char="00A3"/>
            </w:r>
            <w:r>
              <w:rPr>
                <w:color w:val="auto"/>
                <w:sz w:val="21"/>
                <w:szCs w:val="21"/>
              </w:rPr>
              <w:t>；其他具有重要生态功能、对保护生物多样性具有重要意义的区域</w:t>
            </w:r>
            <w:r>
              <w:rPr>
                <w:color w:val="auto"/>
                <w:sz w:val="21"/>
                <w:szCs w:val="21"/>
              </w:rPr>
              <w:sym w:font="Wingdings 2" w:char="00A3"/>
            </w:r>
            <w:r>
              <w:rPr>
                <w:color w:val="auto"/>
                <w:sz w:val="21"/>
                <w:szCs w:val="21"/>
              </w:rPr>
              <w:t>；其他</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3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影响方式</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工程占用</w:t>
            </w:r>
            <w:r>
              <w:rPr>
                <w:color w:val="auto"/>
                <w:sz w:val="21"/>
                <w:szCs w:val="21"/>
              </w:rPr>
              <w:sym w:font="Wingdings 2" w:char="0052"/>
            </w:r>
            <w:r>
              <w:rPr>
                <w:color w:val="auto"/>
                <w:sz w:val="21"/>
                <w:szCs w:val="21"/>
              </w:rPr>
              <w:t>；施工活动干扰</w:t>
            </w:r>
            <w:r>
              <w:rPr>
                <w:color w:val="auto"/>
                <w:sz w:val="21"/>
                <w:szCs w:val="21"/>
              </w:rPr>
              <w:sym w:font="Wingdings 2" w:char="0052"/>
            </w:r>
            <w:r>
              <w:rPr>
                <w:color w:val="auto"/>
                <w:sz w:val="21"/>
                <w:szCs w:val="21"/>
              </w:rPr>
              <w:t>；改变环境条件</w:t>
            </w:r>
            <w:r>
              <w:rPr>
                <w:color w:val="auto"/>
                <w:sz w:val="21"/>
                <w:szCs w:val="21"/>
              </w:rPr>
              <w:sym w:font="Wingdings 2" w:char="00A3"/>
            </w:r>
            <w:r>
              <w:rPr>
                <w:color w:val="auto"/>
                <w:sz w:val="21"/>
                <w:szCs w:val="21"/>
              </w:rPr>
              <w:t>；其他</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28" w:hRule="atLeast"/>
        </w:trPr>
        <w:tc>
          <w:tcPr>
            <w:tcW w:w="53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评价因子</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beforeLines="0" w:afterLines="0" w:line="400" w:lineRule="exact"/>
              <w:ind w:firstLine="0" w:firstLineChars="0"/>
              <w:jc w:val="both"/>
              <w:textAlignment w:val="auto"/>
              <w:rPr>
                <w:rFonts w:hint="eastAsia" w:ascii="宋体" w:hAnsi="宋体" w:eastAsia="宋体"/>
                <w:color w:val="auto"/>
                <w:sz w:val="21"/>
                <w:szCs w:val="21"/>
              </w:rPr>
            </w:pPr>
            <w:r>
              <w:rPr>
                <w:rFonts w:hint="eastAsia" w:ascii="宋体" w:hAnsi="宋体" w:eastAsia="宋体"/>
                <w:color w:val="auto"/>
                <w:sz w:val="21"/>
                <w:szCs w:val="21"/>
              </w:rPr>
              <w:t>物种</w:t>
            </w:r>
            <w:r>
              <w:rPr>
                <w:rFonts w:hint="eastAsia" w:ascii="TimesNewRomanPSMT" w:hAnsi="TimesNewRomanPSMT" w:eastAsia="TimesNewRomanPSMT"/>
                <w:color w:val="auto"/>
                <w:sz w:val="21"/>
                <w:szCs w:val="21"/>
              </w:rPr>
              <w:t>□√</w:t>
            </w:r>
            <w:r>
              <w:rPr>
                <w:rFonts w:hint="eastAsia" w:ascii="宋体" w:hAnsi="宋体" w:eastAsia="宋体"/>
                <w:color w:val="auto"/>
                <w:sz w:val="21"/>
                <w:szCs w:val="21"/>
              </w:rPr>
              <w:t>（动物和植物）</w:t>
            </w:r>
          </w:p>
          <w:p>
            <w:pPr>
              <w:keepNext w:val="0"/>
              <w:keepLines w:val="0"/>
              <w:pageBreakBefore w:val="0"/>
              <w:widowControl w:val="0"/>
              <w:kinsoku/>
              <w:wordWrap/>
              <w:overflowPunct/>
              <w:topLinePunct w:val="0"/>
              <w:autoSpaceDE/>
              <w:autoSpaceDN/>
              <w:bidi w:val="0"/>
              <w:adjustRightInd w:val="0"/>
              <w:snapToGrid w:val="0"/>
              <w:spacing w:beforeLines="0" w:afterLines="0" w:line="400" w:lineRule="exact"/>
              <w:ind w:firstLine="0" w:firstLineChars="0"/>
              <w:jc w:val="both"/>
              <w:textAlignment w:val="auto"/>
              <w:rPr>
                <w:rFonts w:hint="eastAsia" w:ascii="宋体" w:hAnsi="宋体" w:eastAsia="宋体"/>
                <w:color w:val="auto"/>
                <w:sz w:val="21"/>
                <w:szCs w:val="21"/>
              </w:rPr>
            </w:pPr>
            <w:r>
              <w:rPr>
                <w:rFonts w:hint="eastAsia" w:ascii="宋体" w:hAnsi="宋体" w:eastAsia="宋体"/>
                <w:color w:val="auto"/>
                <w:sz w:val="21"/>
                <w:szCs w:val="21"/>
              </w:rPr>
              <w:t>生境</w:t>
            </w:r>
            <w:r>
              <w:rPr>
                <w:rFonts w:hint="eastAsia" w:ascii="TimesNewRomanPSMT" w:hAnsi="TimesNewRomanPSMT" w:eastAsia="TimesNewRomanPSMT"/>
                <w:color w:val="auto"/>
                <w:sz w:val="21"/>
                <w:szCs w:val="21"/>
              </w:rPr>
              <w:t>□√</w:t>
            </w:r>
            <w:r>
              <w:rPr>
                <w:rFonts w:hint="eastAsia" w:ascii="宋体" w:hAnsi="宋体" w:eastAsia="宋体"/>
                <w:color w:val="auto"/>
                <w:sz w:val="21"/>
                <w:szCs w:val="21"/>
              </w:rPr>
              <w:t>（生境破碎化）</w:t>
            </w:r>
          </w:p>
          <w:p>
            <w:pPr>
              <w:keepNext w:val="0"/>
              <w:keepLines w:val="0"/>
              <w:pageBreakBefore w:val="0"/>
              <w:widowControl w:val="0"/>
              <w:kinsoku/>
              <w:wordWrap/>
              <w:overflowPunct/>
              <w:topLinePunct w:val="0"/>
              <w:autoSpaceDE/>
              <w:autoSpaceDN/>
              <w:bidi w:val="0"/>
              <w:adjustRightInd w:val="0"/>
              <w:snapToGrid w:val="0"/>
              <w:spacing w:beforeLines="0" w:afterLines="0" w:line="400" w:lineRule="exact"/>
              <w:ind w:firstLine="0" w:firstLineChars="0"/>
              <w:jc w:val="both"/>
              <w:textAlignment w:val="auto"/>
              <w:rPr>
                <w:rFonts w:hint="eastAsia" w:ascii="宋体" w:hAnsi="宋体" w:eastAsia="宋体"/>
                <w:color w:val="auto"/>
                <w:sz w:val="21"/>
                <w:szCs w:val="21"/>
              </w:rPr>
            </w:pPr>
            <w:r>
              <w:rPr>
                <w:rFonts w:hint="eastAsia" w:ascii="宋体" w:hAnsi="宋体" w:eastAsia="宋体"/>
                <w:color w:val="auto"/>
                <w:sz w:val="21"/>
                <w:szCs w:val="21"/>
              </w:rPr>
              <w:t>生物群落</w:t>
            </w:r>
            <w:r>
              <w:rPr>
                <w:rFonts w:hint="eastAsia" w:ascii="TimesNewRomanPSMT" w:hAnsi="TimesNewRomanPSMT" w:eastAsia="TimesNewRomanPSMT"/>
                <w:color w:val="auto"/>
                <w:sz w:val="21"/>
                <w:szCs w:val="21"/>
              </w:rPr>
              <w:t>□√</w:t>
            </w:r>
            <w:r>
              <w:rPr>
                <w:rFonts w:hint="eastAsia" w:ascii="宋体" w:hAnsi="宋体" w:eastAsia="宋体"/>
                <w:color w:val="auto"/>
                <w:sz w:val="21"/>
                <w:szCs w:val="21"/>
              </w:rPr>
              <w:t>（植物群落）</w:t>
            </w:r>
          </w:p>
          <w:p>
            <w:pPr>
              <w:keepNext w:val="0"/>
              <w:keepLines w:val="0"/>
              <w:pageBreakBefore w:val="0"/>
              <w:widowControl w:val="0"/>
              <w:kinsoku/>
              <w:wordWrap/>
              <w:overflowPunct/>
              <w:topLinePunct w:val="0"/>
              <w:autoSpaceDE/>
              <w:autoSpaceDN/>
              <w:bidi w:val="0"/>
              <w:adjustRightInd w:val="0"/>
              <w:snapToGrid w:val="0"/>
              <w:spacing w:beforeLines="0" w:afterLines="0" w:line="400" w:lineRule="exact"/>
              <w:ind w:firstLine="0" w:firstLineChars="0"/>
              <w:jc w:val="both"/>
              <w:textAlignment w:val="auto"/>
              <w:rPr>
                <w:rFonts w:hint="eastAsia" w:ascii="宋体" w:hAnsi="宋体" w:eastAsia="宋体"/>
                <w:color w:val="auto"/>
                <w:sz w:val="21"/>
                <w:szCs w:val="21"/>
              </w:rPr>
            </w:pPr>
            <w:r>
              <w:rPr>
                <w:rFonts w:hint="eastAsia" w:ascii="宋体" w:hAnsi="宋体" w:eastAsia="宋体"/>
                <w:color w:val="auto"/>
                <w:sz w:val="21"/>
                <w:szCs w:val="21"/>
              </w:rPr>
              <w:t>生态系统</w:t>
            </w:r>
            <w:r>
              <w:rPr>
                <w:rFonts w:hint="eastAsia" w:ascii="TimesNewRomanPSMT" w:hAnsi="TimesNewRomanPSMT" w:eastAsia="TimesNewRomanPSMT"/>
                <w:color w:val="auto"/>
                <w:sz w:val="21"/>
                <w:szCs w:val="21"/>
              </w:rPr>
              <w:t>□√</w:t>
            </w:r>
            <w:r>
              <w:rPr>
                <w:rFonts w:hint="eastAsia" w:ascii="宋体" w:hAnsi="宋体" w:eastAsia="宋体"/>
                <w:color w:val="auto"/>
                <w:sz w:val="21"/>
                <w:szCs w:val="21"/>
              </w:rPr>
              <w:t>（森林生态系统、灌丛生态系统、草地生态系统）</w:t>
            </w:r>
          </w:p>
          <w:p>
            <w:pPr>
              <w:keepNext w:val="0"/>
              <w:keepLines w:val="0"/>
              <w:pageBreakBefore w:val="0"/>
              <w:widowControl w:val="0"/>
              <w:kinsoku/>
              <w:wordWrap/>
              <w:overflowPunct/>
              <w:topLinePunct w:val="0"/>
              <w:autoSpaceDE/>
              <w:autoSpaceDN/>
              <w:bidi w:val="0"/>
              <w:adjustRightInd w:val="0"/>
              <w:snapToGrid w:val="0"/>
              <w:spacing w:beforeLines="0" w:afterLines="0" w:line="400" w:lineRule="exact"/>
              <w:ind w:firstLine="0" w:firstLineChars="0"/>
              <w:jc w:val="both"/>
              <w:textAlignment w:val="auto"/>
              <w:rPr>
                <w:rFonts w:hint="eastAsia" w:ascii="宋体" w:hAnsi="宋体" w:eastAsia="宋体"/>
                <w:color w:val="auto"/>
                <w:sz w:val="21"/>
                <w:szCs w:val="21"/>
              </w:rPr>
            </w:pPr>
            <w:r>
              <w:rPr>
                <w:rFonts w:hint="eastAsia" w:ascii="宋体" w:hAnsi="宋体" w:eastAsia="宋体"/>
                <w:color w:val="auto"/>
                <w:sz w:val="21"/>
                <w:szCs w:val="21"/>
              </w:rPr>
              <w:t>生物多样性</w:t>
            </w:r>
            <w:r>
              <w:rPr>
                <w:rFonts w:hint="eastAsia" w:ascii="TimesNewRomanPSMT" w:hAnsi="TimesNewRomanPSMT" w:eastAsia="TimesNewRomanPSMT"/>
                <w:color w:val="auto"/>
                <w:sz w:val="21"/>
                <w:szCs w:val="21"/>
              </w:rPr>
              <w:t>□√</w:t>
            </w:r>
            <w:r>
              <w:rPr>
                <w:rFonts w:hint="eastAsia" w:ascii="宋体" w:hAnsi="宋体" w:eastAsia="宋体"/>
                <w:color w:val="auto"/>
                <w:sz w:val="21"/>
                <w:szCs w:val="21"/>
              </w:rPr>
              <w:t>（区域生物多样性保护）</w:t>
            </w:r>
          </w:p>
          <w:p>
            <w:pPr>
              <w:keepNext w:val="0"/>
              <w:keepLines w:val="0"/>
              <w:pageBreakBefore w:val="0"/>
              <w:widowControl w:val="0"/>
              <w:kinsoku/>
              <w:wordWrap/>
              <w:overflowPunct/>
              <w:topLinePunct w:val="0"/>
              <w:autoSpaceDE/>
              <w:autoSpaceDN/>
              <w:bidi w:val="0"/>
              <w:adjustRightInd w:val="0"/>
              <w:snapToGrid w:val="0"/>
              <w:spacing w:beforeLines="0" w:afterLines="0" w:line="400" w:lineRule="exact"/>
              <w:ind w:firstLine="0" w:firstLineChars="0"/>
              <w:jc w:val="both"/>
              <w:textAlignment w:val="auto"/>
              <w:rPr>
                <w:rFonts w:hint="eastAsia" w:ascii="宋体" w:hAnsi="宋体" w:eastAsia="宋体"/>
                <w:color w:val="auto"/>
                <w:sz w:val="21"/>
                <w:szCs w:val="21"/>
              </w:rPr>
            </w:pPr>
            <w:r>
              <w:rPr>
                <w:rFonts w:hint="eastAsia" w:ascii="宋体" w:hAnsi="宋体" w:eastAsia="宋体"/>
                <w:color w:val="auto"/>
                <w:sz w:val="21"/>
                <w:szCs w:val="21"/>
              </w:rPr>
              <w:t>生态敏感区</w:t>
            </w:r>
            <w:r>
              <w:rPr>
                <w:rFonts w:hint="eastAsia" w:ascii="TimesNewRomanPSMT" w:hAnsi="TimesNewRomanPSMT" w:eastAsia="TimesNewRomanPSMT"/>
                <w:color w:val="auto"/>
                <w:sz w:val="21"/>
                <w:szCs w:val="21"/>
              </w:rPr>
              <w:t>□</w:t>
            </w:r>
            <w:r>
              <w:rPr>
                <w:rFonts w:hint="eastAsia" w:ascii="宋体" w:hAnsi="宋体" w:eastAsia="宋体"/>
                <w:color w:val="auto"/>
                <w:sz w:val="21"/>
                <w:szCs w:val="21"/>
              </w:rPr>
              <w:t>（ ）</w:t>
            </w:r>
          </w:p>
          <w:p>
            <w:pPr>
              <w:keepNext w:val="0"/>
              <w:keepLines w:val="0"/>
              <w:pageBreakBefore w:val="0"/>
              <w:widowControl w:val="0"/>
              <w:kinsoku/>
              <w:wordWrap/>
              <w:overflowPunct/>
              <w:topLinePunct w:val="0"/>
              <w:autoSpaceDE/>
              <w:autoSpaceDN/>
              <w:bidi w:val="0"/>
              <w:adjustRightInd w:val="0"/>
              <w:snapToGrid w:val="0"/>
              <w:spacing w:beforeLines="0" w:afterLines="0" w:line="400" w:lineRule="exact"/>
              <w:ind w:firstLine="0" w:firstLineChars="0"/>
              <w:jc w:val="both"/>
              <w:textAlignment w:val="auto"/>
              <w:rPr>
                <w:rFonts w:hint="eastAsia" w:ascii="宋体" w:hAnsi="宋体" w:eastAsia="宋体"/>
                <w:color w:val="auto"/>
                <w:sz w:val="21"/>
                <w:szCs w:val="21"/>
              </w:rPr>
            </w:pPr>
            <w:r>
              <w:rPr>
                <w:rFonts w:hint="eastAsia" w:ascii="宋体" w:hAnsi="宋体" w:eastAsia="宋体"/>
                <w:color w:val="auto"/>
                <w:sz w:val="21"/>
                <w:szCs w:val="21"/>
              </w:rPr>
              <w:t>自然景观</w:t>
            </w:r>
            <w:r>
              <w:rPr>
                <w:rFonts w:hint="eastAsia" w:ascii="TimesNewRomanPSMT" w:hAnsi="TimesNewRomanPSMT" w:eastAsia="TimesNewRomanPSMT"/>
                <w:color w:val="auto"/>
                <w:sz w:val="21"/>
                <w:szCs w:val="21"/>
              </w:rPr>
              <w:t>□</w:t>
            </w:r>
            <w:r>
              <w:rPr>
                <w:rFonts w:hint="eastAsia" w:ascii="宋体" w:hAnsi="宋体" w:eastAsia="宋体"/>
                <w:color w:val="auto"/>
                <w:sz w:val="21"/>
                <w:szCs w:val="21"/>
              </w:rPr>
              <w:t>（ ）</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rFonts w:hint="eastAsia" w:ascii="宋体" w:hAnsi="宋体" w:eastAsia="宋体"/>
                <w:color w:val="auto"/>
                <w:sz w:val="21"/>
                <w:szCs w:val="21"/>
              </w:rPr>
              <w:t>自然遗迹</w:t>
            </w:r>
            <w:r>
              <w:rPr>
                <w:rFonts w:hint="eastAsia" w:ascii="TimesNewRomanPSMT" w:hAnsi="TimesNewRomanPSMT" w:eastAsia="TimesNewRomanPSMT"/>
                <w:color w:val="auto"/>
                <w:sz w:val="21"/>
                <w:szCs w:val="21"/>
              </w:rPr>
              <w:t>□</w:t>
            </w:r>
            <w:r>
              <w:rPr>
                <w:rFonts w:hint="eastAsia" w:ascii="宋体" w:hAnsi="宋体" w:eastAsia="宋体"/>
                <w:color w:val="auto"/>
                <w:sz w:val="21"/>
                <w:szCs w:val="21"/>
              </w:rPr>
              <w:t>（ ）</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其他</w:t>
            </w:r>
            <w:r>
              <w:rPr>
                <w:color w:val="auto"/>
                <w:sz w:val="21"/>
                <w:szCs w:val="21"/>
              </w:rPr>
              <w:sym w:font="Wingdings 2" w:char="00A3"/>
            </w:r>
            <w:r>
              <w:rPr>
                <w:color w:val="auto"/>
                <w:sz w:val="21"/>
                <w:szCs w:val="21"/>
              </w:rPr>
              <w:t>（</w:t>
            </w:r>
            <w:r>
              <w:rPr>
                <w:color w:val="auto"/>
                <w:sz w:val="21"/>
                <w:szCs w:val="21"/>
              </w:rPr>
              <w:tab/>
            </w:r>
            <w:r>
              <w:rPr>
                <w:color w:val="auto"/>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1286"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评价等级</w:t>
            </w:r>
          </w:p>
        </w:tc>
        <w:tc>
          <w:tcPr>
            <w:tcW w:w="1870" w:type="pct"/>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一级</w:t>
            </w:r>
            <w:r>
              <w:rPr>
                <w:color w:val="auto"/>
                <w:sz w:val="21"/>
                <w:szCs w:val="21"/>
              </w:rPr>
              <w:sym w:font="Wingdings 2" w:char="00A3"/>
            </w:r>
            <w:r>
              <w:rPr>
                <w:color w:val="auto"/>
                <w:sz w:val="21"/>
                <w:szCs w:val="21"/>
              </w:rPr>
              <w:tab/>
            </w:r>
            <w:r>
              <w:rPr>
                <w:color w:val="auto"/>
                <w:sz w:val="21"/>
                <w:szCs w:val="21"/>
              </w:rPr>
              <w:t>二级</w:t>
            </w:r>
            <w:r>
              <w:rPr>
                <w:color w:val="auto"/>
                <w:sz w:val="21"/>
                <w:szCs w:val="21"/>
              </w:rPr>
              <w:sym w:font="Wingdings 2" w:char="0052"/>
            </w:r>
            <w:r>
              <w:rPr>
                <w:color w:val="auto"/>
                <w:sz w:val="21"/>
                <w:szCs w:val="21"/>
              </w:rPr>
              <w:tab/>
            </w:r>
            <w:r>
              <w:rPr>
                <w:color w:val="auto"/>
                <w:sz w:val="21"/>
                <w:szCs w:val="21"/>
              </w:rPr>
              <w:t>三级</w:t>
            </w:r>
            <w:r>
              <w:rPr>
                <w:color w:val="auto"/>
                <w:sz w:val="21"/>
                <w:szCs w:val="21"/>
              </w:rPr>
              <w:sym w:font="Wingdings 2" w:char="00A3"/>
            </w:r>
          </w:p>
        </w:tc>
        <w:tc>
          <w:tcPr>
            <w:tcW w:w="1843" w:type="pct"/>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生态影响简单分析</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1286" w:type="pct"/>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评价范围</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陆域面积：（</w:t>
            </w:r>
            <w:r>
              <w:rPr>
                <w:rFonts w:hint="eastAsia"/>
                <w:color w:val="auto"/>
                <w:sz w:val="21"/>
                <w:szCs w:val="21"/>
              </w:rPr>
              <w:t>2.79</w:t>
            </w:r>
            <w:r>
              <w:rPr>
                <w:color w:val="auto"/>
                <w:sz w:val="21"/>
                <w:szCs w:val="21"/>
              </w:rPr>
              <w:t>）km</w:t>
            </w:r>
            <w:r>
              <w:rPr>
                <w:rFonts w:hint="eastAsia"/>
                <w:color w:val="auto"/>
                <w:sz w:val="21"/>
                <w:szCs w:val="21"/>
                <w:vertAlign w:val="superscript"/>
                <w:lang w:val="en-US" w:eastAsia="zh-CN"/>
              </w:rPr>
              <w:t>2</w:t>
            </w:r>
            <w:r>
              <w:rPr>
                <w:color w:val="auto"/>
                <w:sz w:val="21"/>
                <w:szCs w:val="21"/>
              </w:rPr>
              <w:t>；水域面积：（</w:t>
            </w:r>
            <w:r>
              <w:rPr>
                <w:rFonts w:hint="eastAsia"/>
                <w:color w:val="auto"/>
                <w:sz w:val="21"/>
                <w:szCs w:val="21"/>
                <w:lang w:val="en-US" w:eastAsia="zh-CN"/>
              </w:rPr>
              <w:t xml:space="preserve">     </w:t>
            </w:r>
            <w:r>
              <w:rPr>
                <w:color w:val="auto"/>
                <w:sz w:val="21"/>
                <w:szCs w:val="21"/>
              </w:rPr>
              <w:t>）km</w:t>
            </w:r>
            <w:r>
              <w:rPr>
                <w:color w:val="auto"/>
                <w:sz w:val="21"/>
                <w:szCs w:val="21"/>
                <w:vertAlign w:val="superscript"/>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30" w:hRule="atLeast"/>
        </w:trPr>
        <w:tc>
          <w:tcPr>
            <w:tcW w:w="53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生态现状调查与评价</w:t>
            </w: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调查方法</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资料收集</w:t>
            </w:r>
            <w:r>
              <w:rPr>
                <w:color w:val="auto"/>
                <w:sz w:val="21"/>
                <w:szCs w:val="21"/>
              </w:rPr>
              <w:sym w:font="Wingdings 2" w:char="0052"/>
            </w:r>
            <w:r>
              <w:rPr>
                <w:color w:val="auto"/>
                <w:sz w:val="21"/>
                <w:szCs w:val="21"/>
              </w:rPr>
              <w:t>；遥感调查</w:t>
            </w:r>
            <w:r>
              <w:rPr>
                <w:color w:val="auto"/>
                <w:sz w:val="21"/>
                <w:szCs w:val="21"/>
              </w:rPr>
              <w:sym w:font="Wingdings 2" w:char="0052"/>
            </w:r>
            <w:r>
              <w:rPr>
                <w:color w:val="auto"/>
                <w:sz w:val="21"/>
                <w:szCs w:val="21"/>
              </w:rPr>
              <w:t>；调查样方、样线</w:t>
            </w:r>
            <w:r>
              <w:rPr>
                <w:color w:val="auto"/>
                <w:sz w:val="21"/>
                <w:szCs w:val="21"/>
              </w:rPr>
              <w:sym w:font="Wingdings 2" w:char="0052"/>
            </w:r>
            <w:r>
              <w:rPr>
                <w:color w:val="auto"/>
                <w:sz w:val="21"/>
                <w:szCs w:val="21"/>
              </w:rPr>
              <w:t>；调查点位、断面</w:t>
            </w:r>
            <w:r>
              <w:rPr>
                <w:color w:val="auto"/>
                <w:sz w:val="21"/>
                <w:szCs w:val="21"/>
              </w:rPr>
              <w:sym w:font="Wingdings 2" w:char="00A3"/>
            </w:r>
            <w:r>
              <w:rPr>
                <w:color w:val="auto"/>
                <w:sz w:val="21"/>
                <w:szCs w:val="21"/>
              </w:rPr>
              <w:t>；专家和公众咨询法</w:t>
            </w:r>
            <w:r>
              <w:rPr>
                <w:color w:val="auto"/>
                <w:sz w:val="21"/>
                <w:szCs w:val="21"/>
              </w:rPr>
              <w:sym w:font="Wingdings 2" w:char="00A3"/>
            </w:r>
            <w:r>
              <w:rPr>
                <w:color w:val="auto"/>
                <w:sz w:val="21"/>
                <w:szCs w:val="21"/>
              </w:rPr>
              <w:t>；其他</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8" w:hRule="atLeast"/>
        </w:trPr>
        <w:tc>
          <w:tcPr>
            <w:tcW w:w="53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调查时间</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春季</w:t>
            </w:r>
            <w:r>
              <w:rPr>
                <w:color w:val="auto"/>
                <w:sz w:val="21"/>
                <w:szCs w:val="21"/>
              </w:rPr>
              <w:sym w:font="Wingdings 2" w:char="00A3"/>
            </w:r>
            <w:r>
              <w:rPr>
                <w:color w:val="auto"/>
                <w:sz w:val="21"/>
                <w:szCs w:val="21"/>
              </w:rPr>
              <w:t>；夏季</w:t>
            </w:r>
            <w:r>
              <w:rPr>
                <w:color w:val="auto"/>
                <w:sz w:val="21"/>
                <w:szCs w:val="21"/>
              </w:rPr>
              <w:sym w:font="Wingdings 2" w:char="0052"/>
            </w:r>
            <w:r>
              <w:rPr>
                <w:color w:val="auto"/>
                <w:sz w:val="21"/>
                <w:szCs w:val="21"/>
              </w:rPr>
              <w:t>；秋季</w:t>
            </w:r>
            <w:r>
              <w:rPr>
                <w:color w:val="auto"/>
                <w:sz w:val="21"/>
                <w:szCs w:val="21"/>
              </w:rPr>
              <w:sym w:font="Wingdings 2" w:char="00A3"/>
            </w:r>
            <w:r>
              <w:rPr>
                <w:color w:val="auto"/>
                <w:sz w:val="21"/>
                <w:szCs w:val="21"/>
              </w:rPr>
              <w:t>；冬季</w:t>
            </w:r>
            <w:r>
              <w:rPr>
                <w:color w:val="auto"/>
                <w:sz w:val="21"/>
                <w:szCs w:val="21"/>
              </w:rPr>
              <w:sym w:font="Wingdings 2" w:char="00A3"/>
            </w:r>
            <w:r>
              <w:rPr>
                <w:color w:val="auto"/>
                <w:sz w:val="21"/>
                <w:szCs w:val="21"/>
              </w:rPr>
              <w:t xml:space="preserve"> 丰水期</w:t>
            </w:r>
            <w:r>
              <w:rPr>
                <w:color w:val="auto"/>
                <w:sz w:val="21"/>
                <w:szCs w:val="21"/>
              </w:rPr>
              <w:sym w:font="Wingdings 2" w:char="00A3"/>
            </w:r>
            <w:r>
              <w:rPr>
                <w:color w:val="auto"/>
                <w:sz w:val="21"/>
                <w:szCs w:val="21"/>
              </w:rPr>
              <w:t>；枯水期</w:t>
            </w:r>
            <w:r>
              <w:rPr>
                <w:color w:val="auto"/>
                <w:sz w:val="21"/>
                <w:szCs w:val="21"/>
              </w:rPr>
              <w:sym w:font="Wingdings 2" w:char="00A3"/>
            </w:r>
            <w:r>
              <w:rPr>
                <w:color w:val="auto"/>
                <w:sz w:val="21"/>
                <w:szCs w:val="21"/>
              </w:rPr>
              <w:t>；平水期</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1" w:hRule="atLeast"/>
        </w:trPr>
        <w:tc>
          <w:tcPr>
            <w:tcW w:w="53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所在区域的生态问题</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水土流失</w:t>
            </w:r>
            <w:r>
              <w:rPr>
                <w:color w:val="auto"/>
                <w:sz w:val="21"/>
                <w:szCs w:val="21"/>
              </w:rPr>
              <w:sym w:font="Wingdings 2" w:char="00A3"/>
            </w:r>
            <w:r>
              <w:rPr>
                <w:color w:val="auto"/>
                <w:sz w:val="21"/>
                <w:szCs w:val="21"/>
              </w:rPr>
              <w:t>；沙漠化</w:t>
            </w:r>
            <w:r>
              <w:rPr>
                <w:color w:val="auto"/>
                <w:sz w:val="21"/>
                <w:szCs w:val="21"/>
              </w:rPr>
              <w:sym w:font="Wingdings 2" w:char="00A3"/>
            </w:r>
            <w:r>
              <w:rPr>
                <w:color w:val="auto"/>
                <w:sz w:val="21"/>
                <w:szCs w:val="21"/>
              </w:rPr>
              <w:t>；石漠化</w:t>
            </w:r>
            <w:r>
              <w:rPr>
                <w:color w:val="auto"/>
                <w:sz w:val="21"/>
                <w:szCs w:val="21"/>
              </w:rPr>
              <w:sym w:font="Wingdings 2" w:char="00A3"/>
            </w:r>
            <w:r>
              <w:rPr>
                <w:color w:val="auto"/>
                <w:sz w:val="21"/>
                <w:szCs w:val="21"/>
              </w:rPr>
              <w:t>；盐渍化</w:t>
            </w:r>
            <w:r>
              <w:rPr>
                <w:color w:val="auto"/>
                <w:sz w:val="21"/>
                <w:szCs w:val="21"/>
              </w:rPr>
              <w:sym w:font="Wingdings 2" w:char="00A3"/>
            </w:r>
            <w:r>
              <w:rPr>
                <w:color w:val="auto"/>
                <w:sz w:val="21"/>
                <w:szCs w:val="21"/>
              </w:rPr>
              <w:t>；生物入侵</w:t>
            </w:r>
            <w:r>
              <w:rPr>
                <w:color w:val="auto"/>
                <w:sz w:val="21"/>
                <w:szCs w:val="21"/>
              </w:rPr>
              <w:sym w:font="Wingdings 2" w:char="00A3"/>
            </w:r>
            <w:r>
              <w:rPr>
                <w:color w:val="auto"/>
                <w:sz w:val="21"/>
                <w:szCs w:val="21"/>
              </w:rPr>
              <w:t>；污染危害</w:t>
            </w:r>
            <w:r>
              <w:rPr>
                <w:color w:val="auto"/>
                <w:sz w:val="21"/>
                <w:szCs w:val="21"/>
              </w:rPr>
              <w:sym w:font="Wingdings 2" w:char="00A3"/>
            </w:r>
            <w:r>
              <w:rPr>
                <w:color w:val="auto"/>
                <w:sz w:val="21"/>
                <w:szCs w:val="21"/>
              </w:rPr>
              <w:t>；其他</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atLeast"/>
        </w:trPr>
        <w:tc>
          <w:tcPr>
            <w:tcW w:w="53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评价内容</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植被/植物群落</w:t>
            </w:r>
            <w:r>
              <w:rPr>
                <w:color w:val="auto"/>
                <w:sz w:val="21"/>
                <w:szCs w:val="21"/>
              </w:rPr>
              <w:sym w:font="Wingdings 2" w:char="0052"/>
            </w:r>
            <w:r>
              <w:rPr>
                <w:color w:val="auto"/>
                <w:sz w:val="21"/>
                <w:szCs w:val="21"/>
              </w:rPr>
              <w:t>；土地利用</w:t>
            </w:r>
            <w:r>
              <w:rPr>
                <w:color w:val="auto"/>
                <w:sz w:val="21"/>
                <w:szCs w:val="21"/>
              </w:rPr>
              <w:sym w:font="Wingdings 2" w:char="0052"/>
            </w:r>
            <w:r>
              <w:rPr>
                <w:color w:val="auto"/>
                <w:sz w:val="21"/>
                <w:szCs w:val="21"/>
              </w:rPr>
              <w:t>；生态系统</w:t>
            </w:r>
            <w:r>
              <w:rPr>
                <w:color w:val="auto"/>
                <w:sz w:val="21"/>
                <w:szCs w:val="21"/>
              </w:rPr>
              <w:sym w:font="Wingdings 2" w:char="0052"/>
            </w:r>
            <w:r>
              <w:rPr>
                <w:color w:val="auto"/>
                <w:sz w:val="21"/>
                <w:szCs w:val="21"/>
              </w:rPr>
              <w:t>；生物多样性</w:t>
            </w:r>
            <w:r>
              <w:rPr>
                <w:color w:val="auto"/>
                <w:sz w:val="21"/>
                <w:szCs w:val="21"/>
              </w:rPr>
              <w:sym w:font="Wingdings 2" w:char="0052"/>
            </w:r>
            <w:r>
              <w:rPr>
                <w:color w:val="auto"/>
                <w:sz w:val="21"/>
                <w:szCs w:val="21"/>
              </w:rPr>
              <w:t>；重要物种</w:t>
            </w:r>
            <w:r>
              <w:rPr>
                <w:color w:val="auto"/>
                <w:sz w:val="21"/>
                <w:szCs w:val="21"/>
              </w:rPr>
              <w:sym w:font="Wingdings 2" w:char="00A3"/>
            </w:r>
            <w:r>
              <w:rPr>
                <w:color w:val="auto"/>
                <w:sz w:val="21"/>
                <w:szCs w:val="21"/>
              </w:rPr>
              <w:t>；生态敏感区</w:t>
            </w:r>
            <w:r>
              <w:rPr>
                <w:color w:val="auto"/>
                <w:sz w:val="21"/>
                <w:szCs w:val="21"/>
              </w:rPr>
              <w:sym w:font="Wingdings 2" w:char="0052"/>
            </w:r>
            <w:r>
              <w:rPr>
                <w:color w:val="auto"/>
                <w:sz w:val="21"/>
                <w:szCs w:val="21"/>
              </w:rPr>
              <w:t>；其他</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53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生态影响预测与评价</w:t>
            </w: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评价方法</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定性</w:t>
            </w:r>
            <w:r>
              <w:rPr>
                <w:color w:val="auto"/>
                <w:sz w:val="21"/>
                <w:szCs w:val="21"/>
              </w:rPr>
              <w:sym w:font="Wingdings 2" w:char="00A3"/>
            </w:r>
            <w:r>
              <w:rPr>
                <w:color w:val="auto"/>
                <w:sz w:val="21"/>
                <w:szCs w:val="21"/>
              </w:rPr>
              <w:t>；定性和定量</w:t>
            </w:r>
            <w:r>
              <w:rPr>
                <w:color w:val="auto"/>
                <w:sz w:val="21"/>
                <w:szCs w:val="21"/>
              </w:rPr>
              <w:sym w:font="Wingdings 2" w:char="0052"/>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27" w:hRule="atLeast"/>
        </w:trPr>
        <w:tc>
          <w:tcPr>
            <w:tcW w:w="53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评价内容</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植被/植物群落</w:t>
            </w:r>
            <w:r>
              <w:rPr>
                <w:color w:val="auto"/>
                <w:sz w:val="21"/>
                <w:szCs w:val="21"/>
              </w:rPr>
              <w:sym w:font="Wingdings 2" w:char="0052"/>
            </w:r>
            <w:r>
              <w:rPr>
                <w:color w:val="auto"/>
                <w:sz w:val="21"/>
                <w:szCs w:val="21"/>
              </w:rPr>
              <w:t>；土地利用</w:t>
            </w:r>
            <w:r>
              <w:rPr>
                <w:color w:val="auto"/>
                <w:sz w:val="21"/>
                <w:szCs w:val="21"/>
              </w:rPr>
              <w:sym w:font="Wingdings 2" w:char="0052"/>
            </w:r>
            <w:r>
              <w:rPr>
                <w:color w:val="auto"/>
                <w:sz w:val="21"/>
                <w:szCs w:val="21"/>
              </w:rPr>
              <w:t>；生态系统</w:t>
            </w:r>
            <w:r>
              <w:rPr>
                <w:color w:val="auto"/>
                <w:sz w:val="21"/>
                <w:szCs w:val="21"/>
              </w:rPr>
              <w:sym w:font="Wingdings 2" w:char="0052"/>
            </w:r>
            <w:r>
              <w:rPr>
                <w:color w:val="auto"/>
                <w:sz w:val="21"/>
                <w:szCs w:val="21"/>
              </w:rPr>
              <w:t>；生物多样性</w:t>
            </w:r>
            <w:r>
              <w:rPr>
                <w:color w:val="auto"/>
                <w:sz w:val="21"/>
                <w:szCs w:val="21"/>
              </w:rPr>
              <w:sym w:font="Wingdings 2" w:char="0052"/>
            </w:r>
            <w:r>
              <w:rPr>
                <w:color w:val="auto"/>
                <w:sz w:val="21"/>
                <w:szCs w:val="21"/>
              </w:rPr>
              <w:t>；重要物种</w:t>
            </w:r>
            <w:r>
              <w:rPr>
                <w:color w:val="auto"/>
                <w:sz w:val="21"/>
                <w:szCs w:val="21"/>
              </w:rPr>
              <w:sym w:font="Wingdings 2" w:char="00A3"/>
            </w:r>
            <w:r>
              <w:rPr>
                <w:color w:val="auto"/>
                <w:sz w:val="21"/>
                <w:szCs w:val="21"/>
              </w:rPr>
              <w:t>；生态敏感区</w:t>
            </w:r>
            <w:r>
              <w:rPr>
                <w:color w:val="auto"/>
                <w:sz w:val="21"/>
                <w:szCs w:val="21"/>
              </w:rPr>
              <w:sym w:font="Wingdings 2" w:char="0052"/>
            </w:r>
            <w:r>
              <w:rPr>
                <w:color w:val="auto"/>
                <w:sz w:val="21"/>
                <w:szCs w:val="21"/>
              </w:rPr>
              <w:t>；生物入侵风险</w:t>
            </w:r>
            <w:r>
              <w:rPr>
                <w:color w:val="auto"/>
                <w:sz w:val="21"/>
                <w:szCs w:val="21"/>
              </w:rPr>
              <w:sym w:font="Wingdings 2" w:char="00A3"/>
            </w:r>
            <w:r>
              <w:rPr>
                <w:color w:val="auto"/>
                <w:sz w:val="21"/>
                <w:szCs w:val="21"/>
              </w:rPr>
              <w:t>；其他</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532" w:type="pct"/>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生态保护对策措施</w:t>
            </w: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对策措施</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避让</w:t>
            </w:r>
            <w:r>
              <w:rPr>
                <w:color w:val="auto"/>
                <w:sz w:val="21"/>
                <w:szCs w:val="21"/>
              </w:rPr>
              <w:sym w:font="Wingdings 2" w:char="00A3"/>
            </w:r>
            <w:r>
              <w:rPr>
                <w:color w:val="auto"/>
                <w:sz w:val="21"/>
                <w:szCs w:val="21"/>
              </w:rPr>
              <w:t>；减缓</w:t>
            </w:r>
            <w:r>
              <w:rPr>
                <w:color w:val="auto"/>
                <w:sz w:val="21"/>
                <w:szCs w:val="21"/>
              </w:rPr>
              <w:sym w:font="Wingdings 2" w:char="0052"/>
            </w:r>
            <w:r>
              <w:rPr>
                <w:color w:val="auto"/>
                <w:sz w:val="21"/>
                <w:szCs w:val="21"/>
              </w:rPr>
              <w:t>；生态修复</w:t>
            </w:r>
            <w:r>
              <w:rPr>
                <w:color w:val="auto"/>
                <w:sz w:val="21"/>
                <w:szCs w:val="21"/>
              </w:rPr>
              <w:sym w:font="Wingdings 2" w:char="0052"/>
            </w:r>
            <w:r>
              <w:rPr>
                <w:color w:val="auto"/>
                <w:sz w:val="21"/>
                <w:szCs w:val="21"/>
              </w:rPr>
              <w:t>；生态补偿</w:t>
            </w:r>
            <w:r>
              <w:rPr>
                <w:color w:val="auto"/>
                <w:sz w:val="21"/>
                <w:szCs w:val="21"/>
              </w:rPr>
              <w:sym w:font="Wingdings 2" w:char="00A3"/>
            </w:r>
            <w:r>
              <w:rPr>
                <w:color w:val="auto"/>
                <w:sz w:val="21"/>
                <w:szCs w:val="21"/>
              </w:rPr>
              <w:t>；科研</w:t>
            </w:r>
            <w:r>
              <w:rPr>
                <w:color w:val="auto"/>
                <w:sz w:val="21"/>
                <w:szCs w:val="21"/>
              </w:rPr>
              <w:sym w:font="Wingdings 2" w:char="00A3"/>
            </w:r>
            <w:r>
              <w:rPr>
                <w:color w:val="auto"/>
                <w:sz w:val="21"/>
                <w:szCs w:val="21"/>
              </w:rPr>
              <w:t>；其他</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trPr>
        <w:tc>
          <w:tcPr>
            <w:tcW w:w="53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生态监测计划</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全生命周期</w:t>
            </w:r>
            <w:r>
              <w:rPr>
                <w:color w:val="auto"/>
                <w:sz w:val="21"/>
                <w:szCs w:val="21"/>
              </w:rPr>
              <w:sym w:font="Wingdings 2" w:char="0052"/>
            </w:r>
            <w:r>
              <w:rPr>
                <w:color w:val="auto"/>
                <w:sz w:val="21"/>
                <w:szCs w:val="21"/>
              </w:rPr>
              <w:t>；长期跟踪</w:t>
            </w:r>
            <w:r>
              <w:rPr>
                <w:color w:val="auto"/>
                <w:sz w:val="21"/>
                <w:szCs w:val="21"/>
              </w:rPr>
              <w:sym w:font="Wingdings 2" w:char="0052"/>
            </w:r>
            <w:r>
              <w:rPr>
                <w:color w:val="auto"/>
                <w:sz w:val="21"/>
                <w:szCs w:val="21"/>
              </w:rPr>
              <w:t>；常规</w:t>
            </w:r>
            <w:r>
              <w:rPr>
                <w:color w:val="auto"/>
                <w:sz w:val="21"/>
                <w:szCs w:val="21"/>
              </w:rPr>
              <w:sym w:font="Wingdings 2" w:char="00A3"/>
            </w:r>
            <w:r>
              <w:rPr>
                <w:color w:val="auto"/>
                <w:sz w:val="21"/>
                <w:szCs w:val="21"/>
              </w:rPr>
              <w:t>；无</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532" w:type="pct"/>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环境管理</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环境监理</w:t>
            </w:r>
            <w:r>
              <w:rPr>
                <w:color w:val="auto"/>
                <w:sz w:val="21"/>
                <w:szCs w:val="21"/>
              </w:rPr>
              <w:sym w:font="Wingdings 2" w:char="0052"/>
            </w:r>
            <w:r>
              <w:rPr>
                <w:color w:val="auto"/>
                <w:sz w:val="21"/>
                <w:szCs w:val="21"/>
              </w:rPr>
              <w:t>；环境影响后评价</w:t>
            </w:r>
            <w:r>
              <w:rPr>
                <w:color w:val="auto"/>
                <w:sz w:val="21"/>
                <w:szCs w:val="21"/>
              </w:rPr>
              <w:sym w:font="Wingdings 2" w:char="00A3"/>
            </w:r>
            <w:r>
              <w:rPr>
                <w:color w:val="auto"/>
                <w:sz w:val="21"/>
                <w:szCs w:val="21"/>
              </w:rPr>
              <w:t>；其他</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4" w:hRule="atLeast"/>
        </w:trPr>
        <w:tc>
          <w:tcPr>
            <w:tcW w:w="532"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评价结论</w:t>
            </w:r>
          </w:p>
        </w:tc>
        <w:tc>
          <w:tcPr>
            <w:tcW w:w="75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color w:val="auto"/>
                <w:sz w:val="21"/>
                <w:szCs w:val="21"/>
              </w:rPr>
            </w:pPr>
            <w:r>
              <w:rPr>
                <w:color w:val="auto"/>
                <w:sz w:val="21"/>
                <w:szCs w:val="21"/>
              </w:rPr>
              <w:t>生态影响</w:t>
            </w:r>
          </w:p>
        </w:tc>
        <w:tc>
          <w:tcPr>
            <w:tcW w:w="3713" w:type="pct"/>
            <w:gridSpan w:val="2"/>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可行</w:t>
            </w:r>
            <w:r>
              <w:rPr>
                <w:color w:val="auto"/>
                <w:sz w:val="21"/>
                <w:szCs w:val="21"/>
              </w:rPr>
              <w:sym w:font="Wingdings 2" w:char="0052"/>
            </w:r>
            <w:r>
              <w:rPr>
                <w:color w:val="auto"/>
                <w:sz w:val="21"/>
                <w:szCs w:val="21"/>
              </w:rPr>
              <w:t>；不可行</w:t>
            </w:r>
            <w:r>
              <w:rPr>
                <w:color w:val="auto"/>
                <w:sz w:val="21"/>
                <w:szCs w:val="21"/>
              </w:rPr>
              <w:sym w:font="Wingdings 2" w:char="00A3"/>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6" w:hRule="atLeast"/>
        </w:trPr>
        <w:tc>
          <w:tcPr>
            <w:tcW w:w="5000" w:type="pct"/>
            <w:gridSpan w:val="4"/>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both"/>
              <w:textAlignment w:val="auto"/>
              <w:rPr>
                <w:color w:val="auto"/>
                <w:sz w:val="21"/>
                <w:szCs w:val="21"/>
              </w:rPr>
            </w:pPr>
            <w:r>
              <w:rPr>
                <w:color w:val="auto"/>
                <w:sz w:val="21"/>
                <w:szCs w:val="21"/>
              </w:rPr>
              <w:t xml:space="preserve">注： </w:t>
            </w:r>
            <w:r>
              <w:rPr>
                <w:rFonts w:hint="eastAsia"/>
                <w:color w:val="auto"/>
                <w:sz w:val="21"/>
                <w:szCs w:val="21"/>
                <w:lang w:eastAsia="zh-CN"/>
              </w:rPr>
              <w:t>“</w:t>
            </w:r>
            <w:r>
              <w:rPr>
                <w:color w:val="auto"/>
                <w:sz w:val="21"/>
                <w:szCs w:val="21"/>
              </w:rPr>
              <w:t>□</w:t>
            </w:r>
            <w:r>
              <w:rPr>
                <w:rFonts w:hint="eastAsia"/>
                <w:color w:val="auto"/>
                <w:sz w:val="21"/>
                <w:szCs w:val="21"/>
                <w:lang w:eastAsia="zh-CN"/>
              </w:rPr>
              <w:t>”</w:t>
            </w:r>
            <w:r>
              <w:rPr>
                <w:color w:val="auto"/>
                <w:sz w:val="21"/>
                <w:szCs w:val="21"/>
              </w:rPr>
              <w:t xml:space="preserve"> 为勾选项 ，可√ ；</w:t>
            </w:r>
            <w:r>
              <w:rPr>
                <w:rFonts w:hint="eastAsia"/>
                <w:color w:val="auto"/>
                <w:sz w:val="21"/>
                <w:szCs w:val="21"/>
                <w:lang w:eastAsia="zh-CN"/>
              </w:rPr>
              <w:t>“</w:t>
            </w:r>
            <w:r>
              <w:rPr>
                <w:color w:val="auto"/>
                <w:sz w:val="21"/>
                <w:szCs w:val="21"/>
              </w:rPr>
              <w:t>（</w:t>
            </w:r>
            <w:r>
              <w:rPr>
                <w:color w:val="auto"/>
                <w:sz w:val="21"/>
                <w:szCs w:val="21"/>
              </w:rPr>
              <w:tab/>
            </w:r>
            <w:r>
              <w:rPr>
                <w:color w:val="auto"/>
                <w:sz w:val="21"/>
                <w:szCs w:val="21"/>
              </w:rPr>
              <w:t>）</w:t>
            </w:r>
            <w:r>
              <w:rPr>
                <w:rFonts w:hint="eastAsia"/>
                <w:color w:val="auto"/>
                <w:sz w:val="21"/>
                <w:szCs w:val="21"/>
                <w:lang w:eastAsia="zh-CN"/>
              </w:rPr>
              <w:t>”</w:t>
            </w:r>
            <w:r>
              <w:rPr>
                <w:color w:val="auto"/>
                <w:sz w:val="21"/>
                <w:szCs w:val="21"/>
              </w:rPr>
              <w:t xml:space="preserve"> 为内容填写项。</w:t>
            </w:r>
          </w:p>
        </w:tc>
      </w:tr>
    </w:tbl>
    <w:p>
      <w:pPr>
        <w:spacing w:line="240" w:lineRule="auto"/>
        <w:ind w:firstLine="0" w:firstLineChars="0"/>
        <w:jc w:val="both"/>
        <w:rPr>
          <w:rFonts w:hint="default" w:ascii="Times New Roman" w:hAnsi="Times New Roman" w:eastAsia="宋体" w:cs="Times New Roman"/>
          <w:b/>
          <w:bCs/>
          <w:color w:val="auto"/>
          <w:sz w:val="21"/>
          <w:szCs w:val="21"/>
          <w:highlight w:val="none"/>
          <w:lang w:val="en-US" w:eastAsia="zh-CN"/>
        </w:rPr>
      </w:pPr>
    </w:p>
    <w:p>
      <w:pPr>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39"/>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line="240" w:lineRule="auto"/>
        <w:ind w:leftChars="0" w:right="0" w:rightChars="0"/>
        <w:jc w:val="center"/>
        <w:textAlignment w:val="auto"/>
        <w:rPr>
          <w:rFonts w:hint="default" w:ascii="Times New Roman" w:hAnsi="Times New Roman" w:cs="Times New Roman"/>
          <w:b/>
          <w:snapToGrid w:val="0"/>
          <w:color w:val="auto"/>
          <w:lang w:val="en-US"/>
        </w:rPr>
      </w:pPr>
      <w:r>
        <w:rPr>
          <w:rFonts w:hint="eastAsia" w:ascii="Times New Roman" w:hAnsi="Times New Roman" w:eastAsia="宋体" w:cs="Times New Roman"/>
          <w:b/>
          <w:color w:val="auto"/>
          <w:kern w:val="0"/>
          <w:sz w:val="24"/>
          <w:szCs w:val="20"/>
          <w:lang w:val="en-US" w:eastAsia="zh-CN" w:bidi="ar"/>
        </w:rPr>
        <w:t>表6</w:t>
      </w:r>
      <w:r>
        <w:rPr>
          <w:rFonts w:hint="default" w:ascii="Times New Roman" w:hAnsi="Times New Roman" w:eastAsia="宋体" w:cs="Times New Roman"/>
          <w:b/>
          <w:color w:val="auto"/>
          <w:kern w:val="0"/>
          <w:sz w:val="24"/>
          <w:szCs w:val="20"/>
          <w:lang w:val="en-US" w:eastAsia="zh-CN" w:bidi="ar"/>
        </w:rPr>
        <w:t xml:space="preserve"> </w:t>
      </w:r>
      <w:r>
        <w:rPr>
          <w:rFonts w:hint="eastAsia" w:ascii="Times New Roman" w:hAnsi="Times New Roman" w:eastAsia="宋体" w:cs="Times New Roman"/>
          <w:b/>
          <w:snapToGrid w:val="0"/>
          <w:color w:val="auto"/>
          <w:kern w:val="0"/>
          <w:sz w:val="24"/>
          <w:szCs w:val="20"/>
          <w:lang w:val="en-US" w:eastAsia="zh-CN" w:bidi="ar"/>
        </w:rPr>
        <w:t>声环境影响评价自查表</w:t>
      </w:r>
    </w:p>
    <w:tbl>
      <w:tblPr>
        <w:tblStyle w:val="45"/>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892"/>
        <w:gridCol w:w="2228"/>
        <w:gridCol w:w="1451"/>
        <w:gridCol w:w="365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31"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工作内容</w:t>
            </w:r>
          </w:p>
        </w:tc>
        <w:tc>
          <w:tcPr>
            <w:tcW w:w="3468" w:type="pct"/>
            <w:gridSpan w:val="2"/>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自查项目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评价等级范围</w:t>
            </w: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评价等级</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一级</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二级</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三级</w:t>
            </w:r>
            <w:r>
              <w:rPr>
                <w:rFonts w:hint="default" w:ascii="Times New Roman" w:hAnsi="Times New Roman" w:cs="Times New Roman"/>
                <w:color w:val="auto"/>
                <w:sz w:val="21"/>
                <w:szCs w:val="21"/>
              </w:rPr>
              <w:sym w:font="Wingdings 2" w:char="00A3"/>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评价范围</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200m</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大于200m</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小于200m</w:t>
            </w:r>
            <w:r>
              <w:rPr>
                <w:rFonts w:hint="default" w:ascii="Times New Roman" w:hAnsi="Times New Roman" w:cs="Times New Roman"/>
                <w:color w:val="auto"/>
                <w:sz w:val="21"/>
                <w:szCs w:val="21"/>
              </w:rPr>
              <w:sym w:font="Wingdings 2" w:char="00A3"/>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评价因子</w:t>
            </w: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评价因子</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等效连续A声级</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最大A声级</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计权等效连续感觉噪声级</w:t>
            </w:r>
            <w:r>
              <w:rPr>
                <w:rFonts w:hint="default" w:ascii="Times New Roman" w:hAnsi="Times New Roman"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评价标准</w:t>
            </w: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评价标准</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国家标准</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地方标准</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国外标准</w:t>
            </w:r>
            <w:r>
              <w:rPr>
                <w:rFonts w:hint="default" w:ascii="Times New Roman" w:hAnsi="Times New Roman"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现状评价</w:t>
            </w: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环境功能区</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0类区</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1类区</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2类区</w:t>
            </w:r>
            <w:r>
              <w:rPr>
                <w:rFonts w:hint="default" w:ascii="Times New Roman" w:hAnsi="Times New Roman" w:cs="Times New Roman"/>
                <w:color w:val="auto"/>
                <w:sz w:val="21"/>
                <w:szCs w:val="21"/>
              </w:rPr>
              <w:sym w:font="Wingdings 2" w:char="00A3"/>
            </w:r>
            <w:r>
              <w:rPr>
                <w:rFonts w:hint="default" w:ascii="Times New Roman" w:hAnsi="Times New Roman" w:eastAsia="宋体" w:cs="Times New Roman"/>
                <w:i w:val="0"/>
                <w:iCs w:val="0"/>
                <w:color w:val="auto"/>
                <w:kern w:val="0"/>
                <w:sz w:val="21"/>
                <w:szCs w:val="21"/>
                <w:u w:val="none"/>
                <w:lang w:val="en-US" w:eastAsia="zh-CN" w:bidi="ar"/>
              </w:rPr>
              <w:t xml:space="preserve">   3类区</w:t>
            </w:r>
            <w:r>
              <w:rPr>
                <w:rFonts w:hint="default" w:ascii="Times New Roman" w:hAnsi="Times New Roman" w:cs="Times New Roman"/>
                <w:color w:val="auto"/>
                <w:sz w:val="21"/>
                <w:szCs w:val="21"/>
              </w:rPr>
              <w:sym w:font="Wingdings 2" w:char="00A3"/>
            </w:r>
            <w:r>
              <w:rPr>
                <w:rFonts w:hint="default" w:ascii="Times New Roman" w:hAnsi="Times New Roman" w:eastAsia="宋体" w:cs="Times New Roman"/>
                <w:i w:val="0"/>
                <w:iCs w:val="0"/>
                <w:color w:val="auto"/>
                <w:kern w:val="0"/>
                <w:sz w:val="21"/>
                <w:szCs w:val="21"/>
                <w:u w:val="none"/>
                <w:lang w:val="en-US" w:eastAsia="zh-CN" w:bidi="ar"/>
              </w:rPr>
              <w:t xml:space="preserve">   4a类区</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4b类区</w:t>
            </w:r>
            <w:r>
              <w:rPr>
                <w:rFonts w:hint="default" w:ascii="Times New Roman" w:hAnsi="Times New Roman"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评价年度</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初期</w:t>
            </w:r>
            <w:r>
              <w:rPr>
                <w:rFonts w:hint="default" w:ascii="Times New Roman" w:hAnsi="Times New Roman" w:cs="Times New Roman"/>
                <w:color w:val="auto"/>
                <w:sz w:val="21"/>
                <w:szCs w:val="21"/>
              </w:rPr>
              <w:sym w:font="Wingdings 2" w:char="00A3"/>
            </w:r>
            <w:r>
              <w:rPr>
                <w:rFonts w:hint="default" w:ascii="Times New Roman" w:hAnsi="Times New Roman" w:eastAsia="宋体" w:cs="Times New Roman"/>
                <w:i w:val="0"/>
                <w:iCs w:val="0"/>
                <w:color w:val="auto"/>
                <w:kern w:val="0"/>
                <w:sz w:val="21"/>
                <w:szCs w:val="21"/>
                <w:u w:val="none"/>
                <w:lang w:val="en-US" w:eastAsia="zh-CN" w:bidi="ar"/>
              </w:rPr>
              <w:t xml:space="preserve">    近期</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中期</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远期</w:t>
            </w:r>
            <w:r>
              <w:rPr>
                <w:rFonts w:hint="default" w:ascii="Times New Roman" w:hAnsi="Times New Roman"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现状调查方法</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现场实测</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现场实测加模型计算法</w:t>
            </w:r>
            <w:r>
              <w:rPr>
                <w:rFonts w:hint="default" w:ascii="Times New Roman" w:hAnsi="Times New Roman" w:cs="Times New Roman"/>
                <w:color w:val="auto"/>
                <w:sz w:val="21"/>
                <w:szCs w:val="21"/>
              </w:rPr>
              <w:sym w:font="Wingdings 2" w:char="00A3"/>
            </w:r>
            <w:r>
              <w:rPr>
                <w:rFonts w:hint="default" w:ascii="Times New Roman" w:hAnsi="Times New Roman" w:eastAsia="宋体" w:cs="Times New Roman"/>
                <w:i w:val="0"/>
                <w:iCs w:val="0"/>
                <w:color w:val="auto"/>
                <w:kern w:val="0"/>
                <w:sz w:val="21"/>
                <w:szCs w:val="21"/>
                <w:u w:val="none"/>
                <w:lang w:val="en-US" w:eastAsia="zh-CN" w:bidi="ar"/>
              </w:rPr>
              <w:t>收集资料</w:t>
            </w:r>
            <w:r>
              <w:rPr>
                <w:rFonts w:hint="default" w:ascii="Times New Roman" w:hAnsi="Times New Roman" w:cs="Times New Roman"/>
                <w:color w:val="auto"/>
                <w:sz w:val="21"/>
                <w:szCs w:val="21"/>
              </w:rPr>
              <w:sym w:font="Wingdings 2" w:char="00A3"/>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现状评价</w:t>
            </w:r>
          </w:p>
        </w:tc>
        <w:tc>
          <w:tcPr>
            <w:tcW w:w="972"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达标百分比</w:t>
            </w:r>
          </w:p>
        </w:tc>
        <w:tc>
          <w:tcPr>
            <w:tcW w:w="2495"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噪声源调查</w:t>
            </w: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噪声源调查方法</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现场实测</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eastAsia="宋体" w:cs="Times New Roman"/>
                <w:i w:val="0"/>
                <w:iCs w:val="0"/>
                <w:color w:val="auto"/>
                <w:kern w:val="0"/>
                <w:sz w:val="21"/>
                <w:szCs w:val="21"/>
                <w:u w:val="none"/>
                <w:lang w:val="en-US" w:eastAsia="zh-CN" w:bidi="ar"/>
              </w:rPr>
              <w:t xml:space="preserve"> </w:t>
            </w:r>
            <w:r>
              <w:rPr>
                <w:rFonts w:hint="default" w:ascii="Times New Roman" w:hAnsi="Times New Roman" w:eastAsia="宋体" w:cs="Times New Roman"/>
                <w:i w:val="0"/>
                <w:iCs w:val="0"/>
                <w:color w:val="auto"/>
                <w:kern w:val="0"/>
                <w:sz w:val="21"/>
                <w:szCs w:val="21"/>
                <w:u w:val="none"/>
                <w:lang w:val="en-US" w:eastAsia="zh-CN" w:bidi="ar"/>
              </w:rPr>
              <w:t xml:space="preserve">   已有资料</w:t>
            </w:r>
            <w:r>
              <w:rPr>
                <w:rFonts w:hint="default" w:ascii="Times New Roman" w:hAnsi="Times New Roman" w:cs="Times New Roman"/>
                <w:color w:val="auto"/>
                <w:sz w:val="21"/>
                <w:szCs w:val="21"/>
              </w:rPr>
              <w:sym w:font="Wingdings 2" w:char="00A3"/>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eastAsia="宋体" w:cs="Times New Roman"/>
                <w:i w:val="0"/>
                <w:iCs w:val="0"/>
                <w:color w:val="auto"/>
                <w:kern w:val="0"/>
                <w:sz w:val="21"/>
                <w:szCs w:val="21"/>
                <w:u w:val="none"/>
                <w:lang w:val="en-US" w:eastAsia="zh-CN" w:bidi="ar"/>
              </w:rPr>
              <w:t xml:space="preserve"> </w:t>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eastAsia="宋体" w:cs="Times New Roman"/>
                <w:i w:val="0"/>
                <w:iCs w:val="0"/>
                <w:color w:val="auto"/>
                <w:kern w:val="0"/>
                <w:sz w:val="21"/>
                <w:szCs w:val="21"/>
                <w:u w:val="none"/>
                <w:lang w:val="en-US" w:eastAsia="zh-CN" w:bidi="ar"/>
              </w:rPr>
              <w:t xml:space="preserve"> </w:t>
            </w:r>
            <w:r>
              <w:rPr>
                <w:rFonts w:hint="default" w:ascii="Times New Roman" w:hAnsi="Times New Roman" w:eastAsia="宋体" w:cs="Times New Roman"/>
                <w:i w:val="0"/>
                <w:iCs w:val="0"/>
                <w:color w:val="auto"/>
                <w:kern w:val="0"/>
                <w:sz w:val="21"/>
                <w:szCs w:val="21"/>
                <w:u w:val="none"/>
                <w:lang w:val="en-US" w:eastAsia="zh-CN" w:bidi="ar"/>
              </w:rPr>
              <w:t xml:space="preserve"> 研究成果</w:t>
            </w:r>
            <w:r>
              <w:rPr>
                <w:rFonts w:hint="default" w:ascii="Times New Roman" w:hAnsi="Times New Roman"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restar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声环境影响预测与评价</w:t>
            </w: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预测模型</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导则推荐模型</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eastAsia="宋体" w:cs="Times New Roman"/>
                <w:i w:val="0"/>
                <w:iCs w:val="0"/>
                <w:color w:val="auto"/>
                <w:kern w:val="0"/>
                <w:sz w:val="21"/>
                <w:szCs w:val="21"/>
                <w:u w:val="none"/>
                <w:lang w:val="en-US" w:eastAsia="zh-CN" w:bidi="ar"/>
              </w:rPr>
              <w:t xml:space="preserve">   </w:t>
            </w:r>
            <w:r>
              <w:rPr>
                <w:rFonts w:hint="default" w:ascii="Times New Roman" w:hAnsi="Times New Roman" w:eastAsia="宋体" w:cs="Times New Roman"/>
                <w:i w:val="0"/>
                <w:iCs w:val="0"/>
                <w:color w:val="auto"/>
                <w:kern w:val="0"/>
                <w:sz w:val="21"/>
                <w:szCs w:val="21"/>
                <w:u w:val="none"/>
                <w:lang w:val="en-US" w:eastAsia="zh-CN" w:bidi="ar"/>
              </w:rPr>
              <w:t xml:space="preserve">  其他</w:t>
            </w:r>
            <w:r>
              <w:rPr>
                <w:rFonts w:hint="default" w:ascii="Times New Roman" w:hAnsi="Times New Roman"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预测范围</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200m</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大于200m</w:t>
            </w:r>
            <w:r>
              <w:rPr>
                <w:rFonts w:hint="default" w:ascii="Times New Roman" w:hAnsi="Times New Roman" w:cs="Times New Roman"/>
                <w:color w:val="auto"/>
                <w:sz w:val="21"/>
                <w:szCs w:val="21"/>
              </w:rPr>
              <w:t>□</w:t>
            </w:r>
            <w:r>
              <w:rPr>
                <w:rFonts w:hint="default" w:ascii="Times New Roman" w:hAnsi="Times New Roman" w:eastAsia="宋体" w:cs="Times New Roman"/>
                <w:i w:val="0"/>
                <w:iCs w:val="0"/>
                <w:color w:val="auto"/>
                <w:kern w:val="0"/>
                <w:sz w:val="21"/>
                <w:szCs w:val="21"/>
                <w:u w:val="none"/>
                <w:lang w:val="en-US" w:eastAsia="zh-CN" w:bidi="ar"/>
              </w:rPr>
              <w:t xml:space="preserve">     小于200m</w:t>
            </w:r>
            <w:r>
              <w:rPr>
                <w:rFonts w:hint="default" w:ascii="Times New Roman" w:hAnsi="Times New Roman" w:cs="Times New Roman"/>
                <w:color w:val="auto"/>
                <w:sz w:val="21"/>
                <w:szCs w:val="21"/>
              </w:rPr>
              <w:sym w:font="Wingdings 2" w:char="00A3"/>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预测因子</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等效连续A声级</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最大A声级  计权等效连续感觉噪声级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厂界噪声贡献值</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达标</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eastAsia="宋体" w:cs="Times New Roman"/>
                <w:i w:val="0"/>
                <w:iCs w:val="0"/>
                <w:color w:val="auto"/>
                <w:kern w:val="0"/>
                <w:sz w:val="21"/>
                <w:szCs w:val="21"/>
                <w:u w:val="none"/>
                <w:lang w:val="en-US" w:eastAsia="zh-CN" w:bidi="ar"/>
              </w:rPr>
              <w:t xml:space="preserve">        </w:t>
            </w:r>
            <w:r>
              <w:rPr>
                <w:rFonts w:hint="default" w:ascii="Times New Roman" w:hAnsi="Times New Roman" w:eastAsia="宋体" w:cs="Times New Roman"/>
                <w:i w:val="0"/>
                <w:iCs w:val="0"/>
                <w:color w:val="auto"/>
                <w:kern w:val="0"/>
                <w:sz w:val="21"/>
                <w:szCs w:val="21"/>
                <w:u w:val="none"/>
                <w:lang w:val="en-US" w:eastAsia="zh-CN" w:bidi="ar"/>
              </w:rPr>
              <w:t>不达标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声环境保护目标处噪声值</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达标</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w:t>
            </w:r>
            <w:r>
              <w:rPr>
                <w:rFonts w:hint="eastAsia" w:ascii="Times New Roman" w:hAnsi="Times New Roman" w:eastAsia="宋体" w:cs="Times New Roman"/>
                <w:i w:val="0"/>
                <w:iCs w:val="0"/>
                <w:color w:val="auto"/>
                <w:kern w:val="0"/>
                <w:sz w:val="21"/>
                <w:szCs w:val="21"/>
                <w:u w:val="none"/>
                <w:lang w:val="en-US" w:eastAsia="zh-CN" w:bidi="ar"/>
              </w:rPr>
              <w:t xml:space="preserve">       </w:t>
            </w:r>
            <w:r>
              <w:rPr>
                <w:rFonts w:hint="default" w:ascii="Times New Roman" w:hAnsi="Times New Roman" w:eastAsia="宋体" w:cs="Times New Roman"/>
                <w:i w:val="0"/>
                <w:iCs w:val="0"/>
                <w:color w:val="auto"/>
                <w:kern w:val="0"/>
                <w:sz w:val="21"/>
                <w:szCs w:val="21"/>
                <w:u w:val="none"/>
                <w:lang w:val="en-US" w:eastAsia="zh-CN" w:bidi="ar"/>
              </w:rPr>
              <w:t xml:space="preserve">  不达标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restart"/>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环境监测计划</w:t>
            </w: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排放监测</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厂界监测</w:t>
            </w:r>
            <w:r>
              <w:rPr>
                <w:rFonts w:hint="default" w:ascii="Times New Roman" w:hAnsi="Times New Roman" w:cs="Times New Roman"/>
                <w:color w:val="auto"/>
                <w:sz w:val="21"/>
                <w:szCs w:val="21"/>
                <w:vertAlign w:val="baseline"/>
              </w:rPr>
              <w:sym w:font="Wingdings 2" w:char="00A3"/>
            </w:r>
            <w:r>
              <w:rPr>
                <w:rFonts w:hint="default" w:ascii="Times New Roman" w:hAnsi="Times New Roman" w:eastAsia="宋体" w:cs="Times New Roman"/>
                <w:i w:val="0"/>
                <w:iCs w:val="0"/>
                <w:color w:val="auto"/>
                <w:kern w:val="0"/>
                <w:sz w:val="21"/>
                <w:szCs w:val="21"/>
                <w:u w:val="none"/>
                <w:lang w:val="en-US" w:eastAsia="zh-CN" w:bidi="ar"/>
              </w:rPr>
              <w:t>固定位置监测</w:t>
            </w:r>
            <w:r>
              <w:rPr>
                <w:rFonts w:hint="default" w:ascii="Times New Roman" w:hAnsi="Times New Roman" w:cs="Times New Roman"/>
                <w:color w:val="auto"/>
                <w:sz w:val="21"/>
                <w:szCs w:val="21"/>
              </w:rPr>
              <w:sym w:font="Wingdings 2" w:char="00A3"/>
            </w:r>
            <w:r>
              <w:rPr>
                <w:rFonts w:hint="default" w:ascii="Times New Roman" w:hAnsi="Times New Roman" w:eastAsia="宋体" w:cs="Times New Roman"/>
                <w:i w:val="0"/>
                <w:iCs w:val="0"/>
                <w:color w:val="auto"/>
                <w:kern w:val="0"/>
                <w:sz w:val="21"/>
                <w:szCs w:val="21"/>
                <w:u w:val="none"/>
                <w:lang w:val="en-US" w:eastAsia="zh-CN" w:bidi="ar"/>
              </w:rPr>
              <w:t>自动监测</w:t>
            </w:r>
            <w:r>
              <w:rPr>
                <w:rFonts w:hint="default" w:ascii="Times New Roman" w:hAnsi="Times New Roman" w:cs="Times New Roman"/>
                <w:color w:val="auto"/>
                <w:sz w:val="21"/>
                <w:szCs w:val="21"/>
              </w:rPr>
              <w:sym w:font="Wingdings 2" w:char="00A3"/>
            </w:r>
            <w:r>
              <w:rPr>
                <w:rFonts w:hint="default" w:ascii="Times New Roman" w:hAnsi="Times New Roman" w:eastAsia="宋体" w:cs="Times New Roman"/>
                <w:i w:val="0"/>
                <w:iCs w:val="0"/>
                <w:color w:val="auto"/>
                <w:kern w:val="0"/>
                <w:sz w:val="21"/>
                <w:szCs w:val="21"/>
                <w:u w:val="none"/>
                <w:lang w:val="en-US" w:eastAsia="zh-CN" w:bidi="ar"/>
              </w:rPr>
              <w:t>手动监测</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无监测</w:t>
            </w:r>
            <w:r>
              <w:rPr>
                <w:rFonts w:hint="default" w:ascii="Times New Roman" w:hAnsi="Times New Roman" w:cs="Times New Roman"/>
                <w:color w:val="auto"/>
                <w:sz w:val="21"/>
                <w:szCs w:val="21"/>
              </w:rPr>
              <w:sym w:font="Wingdings 2" w:char="00A3"/>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vMerge w:val="continue"/>
            <w:tcBorders>
              <w:tl2br w:val="nil"/>
              <w:tr2bl w:val="nil"/>
            </w:tcBorders>
            <w:noWrap/>
            <w:vAlign w:val="center"/>
          </w:tcPr>
          <w:p>
            <w:pPr>
              <w:keepNext w:val="0"/>
              <w:keepLines w:val="0"/>
              <w:pageBreakBefore w:val="0"/>
              <w:kinsoku/>
              <w:wordWrap/>
              <w:overflowPunct/>
              <w:topLinePunct w:val="0"/>
              <w:autoSpaceDE/>
              <w:autoSpaceDN/>
              <w:bidi w:val="0"/>
              <w:adjustRightInd w:val="0"/>
              <w:snapToGrid w:val="0"/>
              <w:spacing w:line="400" w:lineRule="exact"/>
              <w:ind w:firstLine="0" w:firstLineChars="0"/>
              <w:jc w:val="center"/>
              <w:rPr>
                <w:rFonts w:hint="default" w:ascii="Times New Roman" w:hAnsi="Times New Roman" w:eastAsia="宋体" w:cs="Times New Roman"/>
                <w:i w:val="0"/>
                <w:iCs w:val="0"/>
                <w:color w:val="auto"/>
                <w:sz w:val="21"/>
                <w:szCs w:val="21"/>
                <w:u w:val="none"/>
              </w:rPr>
            </w:pP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声环境保护目标处噪声监测</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监测因子</w:t>
            </w:r>
            <w:r>
              <w:rPr>
                <w:rFonts w:hint="eastAsia" w:ascii="Times New Roman" w:hAnsi="Times New Roman" w:eastAsia="宋体" w:cs="Times New Roman"/>
                <w:i w:val="0"/>
                <w:iCs w:val="0"/>
                <w:color w:val="auto"/>
                <w:kern w:val="0"/>
                <w:sz w:val="21"/>
                <w:szCs w:val="21"/>
                <w:u w:val="none"/>
                <w:lang w:val="en-US" w:eastAsia="zh-CN" w:bidi="ar"/>
              </w:rPr>
              <w:t>（等效连续A声级）</w:t>
            </w:r>
            <w:r>
              <w:rPr>
                <w:rFonts w:hint="default" w:ascii="Times New Roman" w:hAnsi="Times New Roman" w:eastAsia="宋体" w:cs="Times New Roman"/>
                <w:i w:val="0"/>
                <w:iCs w:val="0"/>
                <w:color w:val="auto"/>
                <w:kern w:val="0"/>
                <w:sz w:val="21"/>
                <w:szCs w:val="21"/>
                <w:u w:val="none"/>
                <w:lang w:val="en-US" w:eastAsia="zh-CN" w:bidi="ar"/>
              </w:rPr>
              <w:t>监测点位数</w:t>
            </w:r>
            <w:r>
              <w:rPr>
                <w:rFonts w:hint="eastAsia" w:ascii="Times New Roman" w:hAnsi="Times New Roman" w:eastAsia="宋体"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无监测</w:t>
            </w:r>
            <w:r>
              <w:rPr>
                <w:rFonts w:hint="default" w:ascii="Times New Roman" w:hAnsi="Times New Roman" w:cs="Times New Roman"/>
                <w:color w:val="auto"/>
                <w:sz w:val="21"/>
                <w:szCs w:val="21"/>
              </w:rPr>
              <w:sym w:font="Wingdings 2" w:char="00A3"/>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92"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评价结论</w:t>
            </w:r>
          </w:p>
        </w:tc>
        <w:tc>
          <w:tcPr>
            <w:tcW w:w="938" w:type="pct"/>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环境影响</w:t>
            </w:r>
          </w:p>
        </w:tc>
        <w:tc>
          <w:tcPr>
            <w:tcW w:w="3468" w:type="pct"/>
            <w:gridSpan w:val="2"/>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可行</w:t>
            </w:r>
            <w:r>
              <w:rPr>
                <w:rFonts w:hint="default" w:ascii="Times New Roman" w:hAnsi="Times New Roman" w:cs="Times New Roman"/>
                <w:color w:val="auto"/>
                <w:sz w:val="21"/>
                <w:szCs w:val="21"/>
              </w:rPr>
              <w:sym w:font="Wingdings 2" w:char="0052"/>
            </w:r>
            <w:r>
              <w:rPr>
                <w:rFonts w:hint="default" w:ascii="Times New Roman" w:hAnsi="Times New Roman" w:eastAsia="宋体" w:cs="Times New Roman"/>
                <w:i w:val="0"/>
                <w:iCs w:val="0"/>
                <w:color w:val="auto"/>
                <w:kern w:val="0"/>
                <w:sz w:val="21"/>
                <w:szCs w:val="21"/>
                <w:u w:val="none"/>
                <w:lang w:val="en-US" w:eastAsia="zh-CN" w:bidi="ar"/>
              </w:rPr>
              <w:t xml:space="preserve">  不可行</w:t>
            </w:r>
            <w:r>
              <w:rPr>
                <w:rFonts w:hint="default" w:ascii="Times New Roman" w:hAnsi="Times New Roman"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noWrap/>
            <w:vAlign w:val="center"/>
          </w:tcPr>
          <w:p>
            <w:pPr>
              <w:keepNext w:val="0"/>
              <w:keepLines w:val="0"/>
              <w:pageBreakBefore w:val="0"/>
              <w:widowControl/>
              <w:suppressLineNumbers w:val="0"/>
              <w:kinsoku/>
              <w:wordWrap/>
              <w:overflowPunct/>
              <w:topLinePunct w:val="0"/>
              <w:autoSpaceDE/>
              <w:autoSpaceDN/>
              <w:bidi w:val="0"/>
              <w:adjustRightInd w:val="0"/>
              <w:snapToGrid w:val="0"/>
              <w:spacing w:line="400" w:lineRule="exact"/>
              <w:ind w:firstLine="0" w:firstLineChars="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注：</w:t>
            </w:r>
            <w:r>
              <w:rPr>
                <w:rFonts w:hint="eastAsia" w:cs="Times New Roman"/>
                <w:i w:val="0"/>
                <w:iCs w:val="0"/>
                <w:color w:val="auto"/>
                <w:kern w:val="0"/>
                <w:sz w:val="21"/>
                <w:szCs w:val="21"/>
                <w:u w:val="none"/>
                <w:lang w:val="en-US" w:eastAsia="zh-CN" w:bidi="ar"/>
              </w:rPr>
              <w:t>“</w:t>
            </w:r>
            <w:r>
              <w:rPr>
                <w:rFonts w:hint="default" w:ascii="Times New Roman" w:hAnsi="Times New Roman" w:cs="Times New Roman"/>
                <w:color w:val="auto"/>
                <w:sz w:val="21"/>
                <w:szCs w:val="21"/>
              </w:rPr>
              <w:t>□</w:t>
            </w:r>
            <w:r>
              <w:rPr>
                <w:rFonts w:hint="eastAsia" w:cs="Times New Roman"/>
                <w:i w:val="0"/>
                <w:iCs w:val="0"/>
                <w:color w:val="auto"/>
                <w:kern w:val="0"/>
                <w:sz w:val="21"/>
                <w:szCs w:val="21"/>
                <w:u w:val="none"/>
                <w:lang w:val="en-US" w:eastAsia="zh-CN" w:bidi="ar"/>
              </w:rPr>
              <w:t>”</w:t>
            </w:r>
            <w:r>
              <w:rPr>
                <w:rFonts w:hint="eastAsia" w:ascii="Times New Roman" w:hAnsi="Times New Roman" w:eastAsia="宋体" w:cs="Times New Roman"/>
                <w:i w:val="0"/>
                <w:iCs w:val="0"/>
                <w:color w:val="auto"/>
                <w:kern w:val="0"/>
                <w:sz w:val="21"/>
                <w:szCs w:val="21"/>
                <w:u w:val="none"/>
                <w:lang w:val="en-US" w:eastAsia="zh-CN" w:bidi="ar"/>
              </w:rPr>
              <w:t>为勾选项，可√；</w:t>
            </w:r>
            <w:r>
              <w:rPr>
                <w:rFonts w:hint="eastAsia" w:cs="Times New Roman"/>
                <w:i w:val="0"/>
                <w:iCs w:val="0"/>
                <w:color w:val="auto"/>
                <w:kern w:val="0"/>
                <w:sz w:val="21"/>
                <w:szCs w:val="21"/>
                <w:u w:val="none"/>
                <w:lang w:val="en-US" w:eastAsia="zh-CN" w:bidi="ar"/>
              </w:rPr>
              <w:t>“</w:t>
            </w:r>
            <w:r>
              <w:rPr>
                <w:rFonts w:hint="eastAsia" w:ascii="Times New Roman" w:hAnsi="Times New Roman" w:eastAsia="宋体" w:cs="Times New Roman"/>
                <w:i w:val="0"/>
                <w:iCs w:val="0"/>
                <w:color w:val="auto"/>
                <w:kern w:val="0"/>
                <w:sz w:val="21"/>
                <w:szCs w:val="21"/>
                <w:u w:val="none"/>
                <w:lang w:val="en-US" w:eastAsia="zh-CN" w:bidi="ar"/>
              </w:rPr>
              <w:t>（）</w:t>
            </w:r>
            <w:r>
              <w:rPr>
                <w:rFonts w:hint="eastAsia" w:cs="Times New Roman"/>
                <w:i w:val="0"/>
                <w:iCs w:val="0"/>
                <w:color w:val="auto"/>
                <w:kern w:val="0"/>
                <w:sz w:val="21"/>
                <w:szCs w:val="21"/>
                <w:u w:val="none"/>
                <w:lang w:val="en-US" w:eastAsia="zh-CN" w:bidi="ar"/>
              </w:rPr>
              <w:t>”</w:t>
            </w:r>
            <w:r>
              <w:rPr>
                <w:rFonts w:hint="eastAsia" w:ascii="Times New Roman" w:hAnsi="Times New Roman" w:eastAsia="宋体" w:cs="Times New Roman"/>
                <w:i w:val="0"/>
                <w:iCs w:val="0"/>
                <w:color w:val="auto"/>
                <w:kern w:val="0"/>
                <w:sz w:val="21"/>
                <w:szCs w:val="21"/>
                <w:u w:val="none"/>
                <w:lang w:val="en-US" w:eastAsia="zh-CN" w:bidi="ar"/>
              </w:rPr>
              <w:t>为内容填写项。</w:t>
            </w:r>
          </w:p>
        </w:tc>
      </w:tr>
    </w:tbl>
    <w:p>
      <w:pPr>
        <w:rPr>
          <w:color w:val="auto"/>
        </w:rPr>
      </w:pPr>
    </w:p>
    <w:p>
      <w:pPr>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73" w:name="_Toc25618"/>
      <w:bookmarkStart w:id="874" w:name="_Toc26245"/>
      <w:bookmarkStart w:id="875" w:name="_Toc10707"/>
      <w:r>
        <w:rPr>
          <w:rFonts w:hint="default" w:ascii="Times New Roman" w:hAnsi="Times New Roman" w:eastAsia="宋体" w:cs="Times New Roman"/>
          <w:color w:val="auto"/>
          <w:highlight w:val="none"/>
          <w:lang w:val="en-US" w:eastAsia="zh-CN"/>
        </w:rPr>
        <w:t>附件1委托书</w:t>
      </w:r>
      <w:bookmarkEnd w:id="873"/>
      <w:bookmarkEnd w:id="874"/>
      <w:bookmarkEnd w:id="875"/>
    </w:p>
    <w:p>
      <w:pPr>
        <w:rPr>
          <w:color w:val="auto"/>
          <w:highlight w:val="none"/>
        </w:rPr>
      </w:pPr>
      <w:r>
        <w:rPr>
          <w:color w:val="auto"/>
        </w:rPr>
        <w:drawing>
          <wp:inline distT="0" distB="0" distL="114300" distR="114300">
            <wp:extent cx="5614670" cy="7942580"/>
            <wp:effectExtent l="0" t="0" r="5080" b="1270"/>
            <wp:docPr id="4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4"/>
                    <pic:cNvPicPr>
                      <a:picLocks noChangeAspect="1"/>
                    </pic:cNvPicPr>
                  </pic:nvPicPr>
                  <pic:blipFill>
                    <a:blip r:embed="rId238"/>
                    <a:stretch>
                      <a:fillRect/>
                    </a:stretch>
                  </pic:blipFill>
                  <pic:spPr>
                    <a:xfrm>
                      <a:off x="0" y="0"/>
                      <a:ext cx="5614670" cy="7942580"/>
                    </a:xfrm>
                    <a:prstGeom prst="rect">
                      <a:avLst/>
                    </a:prstGeom>
                    <a:noFill/>
                    <a:ln>
                      <a:noFill/>
                    </a:ln>
                  </pic:spPr>
                </pic:pic>
              </a:graphicData>
            </a:graphic>
          </wp:inline>
        </w:drawing>
      </w:r>
    </w:p>
    <w:p>
      <w:pPr>
        <w:rPr>
          <w:rFonts w:hint="default" w:ascii="Times New Roman" w:hAnsi="Times New Roman" w:eastAsia="宋体" w:cs="Times New Roman"/>
          <w:color w:val="auto"/>
          <w:highlight w:val="none"/>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76" w:name="_Toc21313"/>
      <w:bookmarkStart w:id="877" w:name="_Toc9154"/>
      <w:bookmarkStart w:id="878" w:name="_Toc29832"/>
      <w:r>
        <w:rPr>
          <w:rFonts w:hint="default" w:ascii="Times New Roman" w:hAnsi="Times New Roman" w:eastAsia="宋体" w:cs="Times New Roman"/>
          <w:color w:val="auto"/>
          <w:highlight w:val="none"/>
          <w:lang w:val="en-US" w:eastAsia="zh-CN"/>
        </w:rPr>
        <w:t>附件2采矿权延续期限补正通知书及采矿证许可证</w:t>
      </w:r>
      <w:bookmarkEnd w:id="876"/>
      <w:bookmarkEnd w:id="877"/>
      <w:bookmarkEnd w:id="878"/>
    </w:p>
    <w:p>
      <w:pPr>
        <w:pStyle w:val="2"/>
        <w:ind w:left="0" w:leftChars="0" w:firstLine="0" w:firstLineChars="0"/>
        <w:rPr>
          <w:rFonts w:hint="default" w:ascii="Times New Roman" w:hAnsi="Times New Roman" w:eastAsia="宋体" w:cs="Times New Roman"/>
          <w:color w:val="auto"/>
          <w:highlight w:val="none"/>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highlight w:val="none"/>
          <w:lang w:val="en-US" w:eastAsia="zh-CN"/>
        </w:rPr>
        <w:drawing>
          <wp:inline distT="0" distB="0" distL="114300" distR="114300">
            <wp:extent cx="5728970" cy="7421880"/>
            <wp:effectExtent l="0" t="0" r="5080" b="7620"/>
            <wp:docPr id="104" name="图片 104" descr="1-采矿证及采矿权延续限期补正通知书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采矿证及采矿权延续限期补正通知书_页面_1"/>
                    <pic:cNvPicPr>
                      <a:picLocks noChangeAspect="1"/>
                    </pic:cNvPicPr>
                  </pic:nvPicPr>
                  <pic:blipFill>
                    <a:blip r:embed="rId239"/>
                    <a:srcRect r="-122" b="8616"/>
                    <a:stretch>
                      <a:fillRect/>
                    </a:stretch>
                  </pic:blipFill>
                  <pic:spPr>
                    <a:xfrm>
                      <a:off x="0" y="0"/>
                      <a:ext cx="5728970" cy="74218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7321550"/>
            <wp:effectExtent l="0" t="0" r="12065" b="12700"/>
            <wp:docPr id="94" name="图片 94" descr="1-采矿证及采矿权延续限期补正通知书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采矿证及采矿权延续限期补正通知书_页面_2"/>
                    <pic:cNvPicPr>
                      <a:picLocks noChangeAspect="1"/>
                    </pic:cNvPicPr>
                  </pic:nvPicPr>
                  <pic:blipFill>
                    <a:blip r:embed="rId240"/>
                    <a:srcRect b="9851"/>
                    <a:stretch>
                      <a:fillRect/>
                    </a:stretch>
                  </pic:blipFill>
                  <pic:spPr>
                    <a:xfrm>
                      <a:off x="0" y="0"/>
                      <a:ext cx="5721985" cy="7321550"/>
                    </a:xfrm>
                    <a:prstGeom prst="rect">
                      <a:avLst/>
                    </a:prstGeom>
                  </pic:spPr>
                </pic:pic>
              </a:graphicData>
            </a:graphic>
          </wp:inline>
        </w:drawing>
      </w:r>
    </w:p>
    <w:p>
      <w:pPr>
        <w:ind w:left="0" w:leftChars="0" w:firstLine="0" w:firstLineChars="0"/>
        <w:jc w:val="center"/>
        <w:rPr>
          <w:rFonts w:hint="default" w:ascii="Times New Roman" w:hAnsi="Times New Roman" w:eastAsia="宋体" w:cs="Times New Roman"/>
          <w:color w:val="auto"/>
          <w:highlight w:val="none"/>
          <w:lang w:val="en-US" w:eastAsia="zh-CN"/>
        </w:rPr>
        <w:sectPr>
          <w:pgSz w:w="16783" w:h="11850" w:orient="landscape"/>
          <w:pgMar w:top="1418" w:right="158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highlight w:val="none"/>
          <w:lang w:val="en-US" w:eastAsia="zh-CN"/>
        </w:rPr>
        <w:drawing>
          <wp:inline distT="0" distB="0" distL="114300" distR="114300">
            <wp:extent cx="7470775" cy="5564505"/>
            <wp:effectExtent l="0" t="0" r="15875" b="17145"/>
            <wp:docPr id="172" name="图片 172" descr="采矿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采矿许可证"/>
                    <pic:cNvPicPr>
                      <a:picLocks noChangeAspect="1"/>
                    </pic:cNvPicPr>
                  </pic:nvPicPr>
                  <pic:blipFill>
                    <a:blip r:embed="rId241"/>
                    <a:stretch>
                      <a:fillRect/>
                    </a:stretch>
                  </pic:blipFill>
                  <pic:spPr>
                    <a:xfrm>
                      <a:off x="0" y="0"/>
                      <a:ext cx="7470775" cy="5564505"/>
                    </a:xfrm>
                    <a:prstGeom prst="rect">
                      <a:avLst/>
                    </a:prstGeom>
                  </pic:spPr>
                </pic:pic>
              </a:graphicData>
            </a:graphic>
          </wp:inline>
        </w:drawing>
      </w: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79" w:name="_Toc7068"/>
      <w:bookmarkStart w:id="880" w:name="_Toc4001"/>
      <w:bookmarkStart w:id="881" w:name="_Toc30629"/>
      <w:r>
        <w:rPr>
          <w:rFonts w:hint="default" w:ascii="Times New Roman" w:hAnsi="Times New Roman" w:eastAsia="宋体" w:cs="Times New Roman"/>
          <w:color w:val="auto"/>
          <w:highlight w:val="none"/>
          <w:lang w:val="en-US" w:eastAsia="zh-CN"/>
        </w:rPr>
        <w:t>附件3矿山地质环境治理恢复验收合格证</w:t>
      </w:r>
      <w:bookmarkEnd w:id="879"/>
      <w:bookmarkEnd w:id="880"/>
      <w:bookmarkEnd w:id="881"/>
    </w:p>
    <w:p>
      <w:pPr>
        <w:pStyle w:val="2"/>
        <w:ind w:left="0" w:leftChars="0" w:firstLine="0" w:firstLineChars="0"/>
        <w:rPr>
          <w:rFonts w:hint="default" w:ascii="Times New Roman" w:hAnsi="Times New Roman" w:eastAsia="宋体" w:cs="Times New Roman"/>
          <w:color w:val="auto"/>
          <w:highlight w:val="none"/>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highlight w:val="none"/>
          <w:lang w:val="en-US" w:eastAsia="zh-CN"/>
        </w:rPr>
        <w:drawing>
          <wp:inline distT="0" distB="0" distL="114300" distR="114300">
            <wp:extent cx="5965190" cy="7697470"/>
            <wp:effectExtent l="0" t="0" r="16510" b="17780"/>
            <wp:docPr id="111" name="图片 111" descr="14-验收合格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4-验收合格证"/>
                    <pic:cNvPicPr>
                      <a:picLocks noChangeAspect="1"/>
                    </pic:cNvPicPr>
                  </pic:nvPicPr>
                  <pic:blipFill>
                    <a:blip r:embed="rId242"/>
                    <a:srcRect r="1977" b="10890"/>
                    <a:stretch>
                      <a:fillRect/>
                    </a:stretch>
                  </pic:blipFill>
                  <pic:spPr>
                    <a:xfrm>
                      <a:off x="0" y="0"/>
                      <a:ext cx="5965190" cy="7697470"/>
                    </a:xfrm>
                    <a:prstGeom prst="rect">
                      <a:avLst/>
                    </a:prstGeom>
                  </pic:spPr>
                </pic:pic>
              </a:graphicData>
            </a:graphic>
          </wp:inline>
        </w:drawing>
      </w: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82" w:name="_Toc22946"/>
      <w:bookmarkStart w:id="883" w:name="_Toc26142"/>
      <w:bookmarkStart w:id="884" w:name="_Toc6787"/>
      <w:r>
        <w:rPr>
          <w:rFonts w:hint="default" w:ascii="Times New Roman" w:hAnsi="Times New Roman" w:eastAsia="宋体" w:cs="Times New Roman"/>
          <w:color w:val="auto"/>
          <w:highlight w:val="none"/>
          <w:lang w:val="en-US" w:eastAsia="zh-CN"/>
        </w:rPr>
        <w:t>附件4</w:t>
      </w:r>
      <w:r>
        <w:rPr>
          <w:rFonts w:hint="default" w:ascii="Times New Roman" w:hAnsi="Times New Roman" w:eastAsia="宋体" w:cs="Times New Roman"/>
          <w:color w:val="auto"/>
          <w:highlight w:val="none"/>
        </w:rPr>
        <w:t>储量核实报告</w:t>
      </w:r>
      <w:r>
        <w:rPr>
          <w:rFonts w:hint="default" w:ascii="Times New Roman" w:hAnsi="Times New Roman" w:eastAsia="宋体" w:cs="Times New Roman"/>
          <w:color w:val="auto"/>
          <w:highlight w:val="none"/>
          <w:lang w:val="en-US" w:eastAsia="zh-CN"/>
        </w:rPr>
        <w:t>备案评审证明及评审意见书</w:t>
      </w:r>
      <w:bookmarkEnd w:id="882"/>
      <w:bookmarkEnd w:id="883"/>
      <w:bookmarkEnd w:id="884"/>
    </w:p>
    <w:p>
      <w:pPr>
        <w:ind w:left="0" w:leftChars="0" w:firstLine="0" w:firstLineChars="0"/>
        <w:rPr>
          <w:rFonts w:hint="default" w:ascii="Times New Roman" w:hAnsi="Times New Roman" w:eastAsia="宋体" w:cs="Times New Roman"/>
          <w:color w:val="auto"/>
          <w:highlight w:val="none"/>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highlight w:val="none"/>
          <w:lang w:val="en-US" w:eastAsia="zh-CN"/>
        </w:rPr>
        <w:drawing>
          <wp:inline distT="0" distB="0" distL="114300" distR="114300">
            <wp:extent cx="5962650" cy="7729220"/>
            <wp:effectExtent l="0" t="0" r="0" b="5080"/>
            <wp:docPr id="157" name="图片 157" descr="资源储量核实报告评审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资源储量核实报告评审备案证明"/>
                    <pic:cNvPicPr>
                      <a:picLocks noChangeAspect="1"/>
                    </pic:cNvPicPr>
                  </pic:nvPicPr>
                  <pic:blipFill>
                    <a:blip r:embed="rId243"/>
                    <a:srcRect r="200" b="8574"/>
                    <a:stretch>
                      <a:fillRect/>
                    </a:stretch>
                  </pic:blipFill>
                  <pic:spPr>
                    <a:xfrm>
                      <a:off x="0" y="0"/>
                      <a:ext cx="5962650" cy="772922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56" name="图片 156" descr="资源储量核实报告评审意见书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资源储量核实报告评审意见书2 (1)"/>
                    <pic:cNvPicPr>
                      <a:picLocks noChangeAspect="1"/>
                    </pic:cNvPicPr>
                  </pic:nvPicPr>
                  <pic:blipFill>
                    <a:blip r:embed="rId244"/>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55" name="图片 155" descr="资源储量核实报告评审意见书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资源储量核实报告评审意见书2 (2)"/>
                    <pic:cNvPicPr>
                      <a:picLocks noChangeAspect="1"/>
                    </pic:cNvPicPr>
                  </pic:nvPicPr>
                  <pic:blipFill>
                    <a:blip r:embed="rId245"/>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54" name="图片 154" descr="资源储量核实报告评审意见书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资源储量核实报告评审意见书3"/>
                    <pic:cNvPicPr>
                      <a:picLocks noChangeAspect="1"/>
                    </pic:cNvPicPr>
                  </pic:nvPicPr>
                  <pic:blipFill>
                    <a:blip r:embed="rId246"/>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53" name="图片 153" descr="资源储量核实报告评审意见书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资源储量核实报告评审意见书4"/>
                    <pic:cNvPicPr>
                      <a:picLocks noChangeAspect="1"/>
                    </pic:cNvPicPr>
                  </pic:nvPicPr>
                  <pic:blipFill>
                    <a:blip r:embed="rId247"/>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52" name="图片 152" descr="资源储量核实报告评审意见书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资源储量核实报告评审意见书5"/>
                    <pic:cNvPicPr>
                      <a:picLocks noChangeAspect="1"/>
                    </pic:cNvPicPr>
                  </pic:nvPicPr>
                  <pic:blipFill>
                    <a:blip r:embed="rId248"/>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51" name="图片 151" descr="资源储量核实报告评审意见书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资源储量核实报告评审意见书6"/>
                    <pic:cNvPicPr>
                      <a:picLocks noChangeAspect="1"/>
                    </pic:cNvPicPr>
                  </pic:nvPicPr>
                  <pic:blipFill>
                    <a:blip r:embed="rId249"/>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50" name="图片 150" descr="资源储量核实报告评审意见书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资源储量核实报告评审意见书7"/>
                    <pic:cNvPicPr>
                      <a:picLocks noChangeAspect="1"/>
                    </pic:cNvPicPr>
                  </pic:nvPicPr>
                  <pic:blipFill>
                    <a:blip r:embed="rId250"/>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49" name="图片 149" descr="资源储量核实报告评审意见书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资源储量核实报告评审意见书8"/>
                    <pic:cNvPicPr>
                      <a:picLocks noChangeAspect="1"/>
                    </pic:cNvPicPr>
                  </pic:nvPicPr>
                  <pic:blipFill>
                    <a:blip r:embed="rId251"/>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48" name="图片 148" descr="资源储量核实报告评审意见书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资源储量核实报告评审意见书9"/>
                    <pic:cNvPicPr>
                      <a:picLocks noChangeAspect="1"/>
                    </pic:cNvPicPr>
                  </pic:nvPicPr>
                  <pic:blipFill>
                    <a:blip r:embed="rId252"/>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47" name="图片 147" descr="资源储量核实报告评审意见书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资源储量核实报告评审意见书10"/>
                    <pic:cNvPicPr>
                      <a:picLocks noChangeAspect="1"/>
                    </pic:cNvPicPr>
                  </pic:nvPicPr>
                  <pic:blipFill>
                    <a:blip r:embed="rId253"/>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41" name="图片 141" descr="资源储量核实报告评审意见书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资源储量核实报告评审意见书11"/>
                    <pic:cNvPicPr>
                      <a:picLocks noChangeAspect="1"/>
                    </pic:cNvPicPr>
                  </pic:nvPicPr>
                  <pic:blipFill>
                    <a:blip r:embed="rId254"/>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37" name="图片 137" descr="资源储量核实报告评审意见书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资源储量核实报告评审意见书12"/>
                    <pic:cNvPicPr>
                      <a:picLocks noChangeAspect="1"/>
                    </pic:cNvPicPr>
                  </pic:nvPicPr>
                  <pic:blipFill>
                    <a:blip r:embed="rId255"/>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36" name="图片 136" descr="资源储量核实报告评审意见书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资源储量核实报告评审意见书13"/>
                    <pic:cNvPicPr>
                      <a:picLocks noChangeAspect="1"/>
                    </pic:cNvPicPr>
                  </pic:nvPicPr>
                  <pic:blipFill>
                    <a:blip r:embed="rId256"/>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28" name="图片 128" descr="资源储量核实报告评审意见书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资源储量核实报告评审意见书14"/>
                    <pic:cNvPicPr>
                      <a:picLocks noChangeAspect="1"/>
                    </pic:cNvPicPr>
                  </pic:nvPicPr>
                  <pic:blipFill>
                    <a:blip r:embed="rId257"/>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27" name="图片 127" descr="资源储量核实报告评审意见书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资源储量核实报告评审意见书15"/>
                    <pic:cNvPicPr>
                      <a:picLocks noChangeAspect="1"/>
                    </pic:cNvPicPr>
                  </pic:nvPicPr>
                  <pic:blipFill>
                    <a:blip r:embed="rId258"/>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25" name="图片 125" descr="资源储量核实报告评审意见书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资源储量核实报告评审意见书16"/>
                    <pic:cNvPicPr>
                      <a:picLocks noChangeAspect="1"/>
                    </pic:cNvPicPr>
                  </pic:nvPicPr>
                  <pic:blipFill>
                    <a:blip r:embed="rId259"/>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24" name="图片 124" descr="资源储量核实报告评审意见书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资源储量核实报告评审意见书17"/>
                    <pic:cNvPicPr>
                      <a:picLocks noChangeAspect="1"/>
                    </pic:cNvPicPr>
                  </pic:nvPicPr>
                  <pic:blipFill>
                    <a:blip r:embed="rId260"/>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23" name="图片 123" descr="资源储量核实报告评审意见书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资源储量核实报告评审意见书18"/>
                    <pic:cNvPicPr>
                      <a:picLocks noChangeAspect="1"/>
                    </pic:cNvPicPr>
                  </pic:nvPicPr>
                  <pic:blipFill>
                    <a:blip r:embed="rId261"/>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22" name="图片 122" descr="资源储量核实报告评审意见书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资源储量核实报告评审意见书20"/>
                    <pic:cNvPicPr>
                      <a:picLocks noChangeAspect="1"/>
                    </pic:cNvPicPr>
                  </pic:nvPicPr>
                  <pic:blipFill>
                    <a:blip r:embed="rId262"/>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21" name="图片 121" descr="资源储量核实报告评审意见书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资源储量核实报告评审意见书21"/>
                    <pic:cNvPicPr>
                      <a:picLocks noChangeAspect="1"/>
                    </pic:cNvPicPr>
                  </pic:nvPicPr>
                  <pic:blipFill>
                    <a:blip r:embed="rId263"/>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20" name="图片 120" descr="资源储量核实报告评审意见书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资源储量核实报告评审意见书22"/>
                    <pic:cNvPicPr>
                      <a:picLocks noChangeAspect="1"/>
                    </pic:cNvPicPr>
                  </pic:nvPicPr>
                  <pic:blipFill>
                    <a:blip r:embed="rId264"/>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19" name="图片 119" descr="资源储量核实报告评审意见书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资源储量核实报告评审意见书23"/>
                    <pic:cNvPicPr>
                      <a:picLocks noChangeAspect="1"/>
                    </pic:cNvPicPr>
                  </pic:nvPicPr>
                  <pic:blipFill>
                    <a:blip r:embed="rId265"/>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18" name="图片 118" descr="资源储量核实报告评审意见书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资源储量核实报告评审意见书24"/>
                    <pic:cNvPicPr>
                      <a:picLocks noChangeAspect="1"/>
                    </pic:cNvPicPr>
                  </pic:nvPicPr>
                  <pic:blipFill>
                    <a:blip r:embed="rId266"/>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17" name="图片 117" descr="资源储量核实报告评审意见书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资源储量核实报告评审意见书25"/>
                    <pic:cNvPicPr>
                      <a:picLocks noChangeAspect="1"/>
                    </pic:cNvPicPr>
                  </pic:nvPicPr>
                  <pic:blipFill>
                    <a:blip r:embed="rId267"/>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16" name="图片 116" descr="资源储量核实报告评审意见书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资源储量核实报告评审意见书26"/>
                    <pic:cNvPicPr>
                      <a:picLocks noChangeAspect="1"/>
                    </pic:cNvPicPr>
                  </pic:nvPicPr>
                  <pic:blipFill>
                    <a:blip r:embed="rId268"/>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13" name="图片 113" descr="资源储量核实报告评审意见书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资源储量核实报告评审意见书27"/>
                    <pic:cNvPicPr>
                      <a:picLocks noChangeAspect="1"/>
                    </pic:cNvPicPr>
                  </pic:nvPicPr>
                  <pic:blipFill>
                    <a:blip r:embed="rId269"/>
                    <a:stretch>
                      <a:fillRect/>
                    </a:stretch>
                  </pic:blipFill>
                  <pic:spPr>
                    <a:xfrm>
                      <a:off x="0" y="0"/>
                      <a:ext cx="5721350" cy="809498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350" cy="8094980"/>
            <wp:effectExtent l="0" t="0" r="12700" b="1270"/>
            <wp:docPr id="112" name="图片 112" descr="资源储量核实报告评审意见书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资源储量核实报告评审意见书28"/>
                    <pic:cNvPicPr>
                      <a:picLocks noChangeAspect="1"/>
                    </pic:cNvPicPr>
                  </pic:nvPicPr>
                  <pic:blipFill>
                    <a:blip r:embed="rId270"/>
                    <a:stretch>
                      <a:fillRect/>
                    </a:stretch>
                  </pic:blipFill>
                  <pic:spPr>
                    <a:xfrm>
                      <a:off x="0" y="0"/>
                      <a:ext cx="5721350" cy="8094980"/>
                    </a:xfrm>
                    <a:prstGeom prst="rect">
                      <a:avLst/>
                    </a:prstGeom>
                  </pic:spPr>
                </pic:pic>
              </a:graphicData>
            </a:graphic>
          </wp:inline>
        </w:drawing>
      </w: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85" w:name="_Toc2271"/>
      <w:bookmarkStart w:id="886" w:name="_Toc24314"/>
      <w:bookmarkStart w:id="887" w:name="_Toc22875"/>
      <w:r>
        <w:rPr>
          <w:rFonts w:hint="default" w:ascii="Times New Roman" w:hAnsi="Times New Roman" w:eastAsia="宋体" w:cs="Times New Roman"/>
          <w:color w:val="auto"/>
          <w:highlight w:val="none"/>
          <w:lang w:val="en-US" w:eastAsia="zh-CN"/>
        </w:rPr>
        <w:t>附件5开发利用方案审查意见书</w:t>
      </w:r>
      <w:bookmarkEnd w:id="885"/>
      <w:bookmarkEnd w:id="886"/>
      <w:bookmarkEnd w:id="887"/>
    </w:p>
    <w:p>
      <w:pPr>
        <w:pStyle w:val="2"/>
        <w:ind w:left="0" w:leftChars="0" w:firstLine="0" w:firstLineChars="0"/>
        <w:rPr>
          <w:rFonts w:hint="default" w:ascii="Times New Roman" w:hAnsi="Times New Roman" w:eastAsia="宋体" w:cs="Times New Roman"/>
          <w:color w:val="auto"/>
          <w:highlight w:val="none"/>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highlight w:val="none"/>
          <w:lang w:val="en-US" w:eastAsia="zh-CN"/>
        </w:rPr>
        <w:drawing>
          <wp:inline distT="0" distB="0" distL="114300" distR="114300">
            <wp:extent cx="5738495" cy="7584440"/>
            <wp:effectExtent l="0" t="0" r="14605" b="16510"/>
            <wp:docPr id="171" name="图片 171" descr="岫岩苏子沟镇大何家堡村钾长石矿开发利用方案审查意见书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岫岩苏子沟镇大何家堡村钾长石矿开发利用方案审查意见书_页面_01"/>
                    <pic:cNvPicPr>
                      <a:picLocks noChangeAspect="1"/>
                    </pic:cNvPicPr>
                  </pic:nvPicPr>
                  <pic:blipFill>
                    <a:blip r:embed="rId271"/>
                    <a:srcRect r="-289" b="6270"/>
                    <a:stretch>
                      <a:fillRect/>
                    </a:stretch>
                  </pic:blipFill>
                  <pic:spPr>
                    <a:xfrm>
                      <a:off x="0" y="0"/>
                      <a:ext cx="5738495" cy="758444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9" name="图片 169" descr="岫岩苏子沟镇大何家堡村钾长石矿开发利用方案审查意见书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岫岩苏子沟镇大何家堡村钾长石矿开发利用方案审查意见书_页面_02"/>
                    <pic:cNvPicPr>
                      <a:picLocks noChangeAspect="1"/>
                    </pic:cNvPicPr>
                  </pic:nvPicPr>
                  <pic:blipFill>
                    <a:blip r:embed="rId272"/>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8" name="图片 168" descr="岫岩苏子沟镇大何家堡村钾长石矿开发利用方案审查意见书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岫岩苏子沟镇大何家堡村钾长石矿开发利用方案审查意见书_页面_03"/>
                    <pic:cNvPicPr>
                      <a:picLocks noChangeAspect="1"/>
                    </pic:cNvPicPr>
                  </pic:nvPicPr>
                  <pic:blipFill>
                    <a:blip r:embed="rId273"/>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7" name="图片 167" descr="岫岩苏子沟镇大何家堡村钾长石矿开发利用方案审查意见书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岫岩苏子沟镇大何家堡村钾长石矿开发利用方案审查意见书_页面_04"/>
                    <pic:cNvPicPr>
                      <a:picLocks noChangeAspect="1"/>
                    </pic:cNvPicPr>
                  </pic:nvPicPr>
                  <pic:blipFill>
                    <a:blip r:embed="rId274"/>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6" name="图片 166" descr="岫岩苏子沟镇大何家堡村钾长石矿开发利用方案审查意见书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岫岩苏子沟镇大何家堡村钾长石矿开发利用方案审查意见书_页面_05"/>
                    <pic:cNvPicPr>
                      <a:picLocks noChangeAspect="1"/>
                    </pic:cNvPicPr>
                  </pic:nvPicPr>
                  <pic:blipFill>
                    <a:blip r:embed="rId275"/>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5" name="图片 165" descr="岫岩苏子沟镇大何家堡村钾长石矿开发利用方案审查意见书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岫岩苏子沟镇大何家堡村钾长石矿开发利用方案审查意见书_页面_06"/>
                    <pic:cNvPicPr>
                      <a:picLocks noChangeAspect="1"/>
                    </pic:cNvPicPr>
                  </pic:nvPicPr>
                  <pic:blipFill>
                    <a:blip r:embed="rId276"/>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4" name="图片 164" descr="岫岩苏子沟镇大何家堡村钾长石矿开发利用方案审查意见书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岫岩苏子沟镇大何家堡村钾长石矿开发利用方案审查意见书_页面_07"/>
                    <pic:cNvPicPr>
                      <a:picLocks noChangeAspect="1"/>
                    </pic:cNvPicPr>
                  </pic:nvPicPr>
                  <pic:blipFill>
                    <a:blip r:embed="rId277"/>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2" name="图片 162" descr="岫岩苏子沟镇大何家堡村钾长石矿开发利用方案审查意见书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岫岩苏子沟镇大何家堡村钾长石矿开发利用方案审查意见书_页面_08"/>
                    <pic:cNvPicPr>
                      <a:picLocks noChangeAspect="1"/>
                    </pic:cNvPicPr>
                  </pic:nvPicPr>
                  <pic:blipFill>
                    <a:blip r:embed="rId278"/>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1" name="图片 161" descr="岫岩苏子沟镇大何家堡村钾长石矿开发利用方案审查意见书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岫岩苏子沟镇大何家堡村钾长石矿开发利用方案审查意见书_页面_09"/>
                    <pic:cNvPicPr>
                      <a:picLocks noChangeAspect="1"/>
                    </pic:cNvPicPr>
                  </pic:nvPicPr>
                  <pic:blipFill>
                    <a:blip r:embed="rId279"/>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60" name="图片 160" descr="岫岩苏子沟镇大何家堡村钾长石矿开发利用方案审查意见书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岫岩苏子沟镇大何家堡村钾长石矿开发利用方案审查意见书_页面_10"/>
                    <pic:cNvPicPr>
                      <a:picLocks noChangeAspect="1"/>
                    </pic:cNvPicPr>
                  </pic:nvPicPr>
                  <pic:blipFill>
                    <a:blip r:embed="rId280"/>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59" name="图片 159" descr="岫岩苏子沟镇大何家堡村钾长石矿开发利用方案审查意见书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岫岩苏子沟镇大何家堡村钾长石矿开发利用方案审查意见书_页面_11"/>
                    <pic:cNvPicPr>
                      <a:picLocks noChangeAspect="1"/>
                    </pic:cNvPicPr>
                  </pic:nvPicPr>
                  <pic:blipFill>
                    <a:blip r:embed="rId281"/>
                    <a:stretch>
                      <a:fillRect/>
                    </a:stretch>
                  </pic:blipFill>
                  <pic:spPr>
                    <a:xfrm>
                      <a:off x="0" y="0"/>
                      <a:ext cx="5721985" cy="809180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1985" cy="8091805"/>
            <wp:effectExtent l="0" t="0" r="12065" b="4445"/>
            <wp:docPr id="158" name="图片 158" descr="岫岩苏子沟镇大何家堡村钾长石矿开发利用方案审查意见书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岫岩苏子沟镇大何家堡村钾长石矿开发利用方案审查意见书_页面_12"/>
                    <pic:cNvPicPr>
                      <a:picLocks noChangeAspect="1"/>
                    </pic:cNvPicPr>
                  </pic:nvPicPr>
                  <pic:blipFill>
                    <a:blip r:embed="rId282"/>
                    <a:stretch>
                      <a:fillRect/>
                    </a:stretch>
                  </pic:blipFill>
                  <pic:spPr>
                    <a:xfrm>
                      <a:off x="0" y="0"/>
                      <a:ext cx="5721985" cy="8091805"/>
                    </a:xfrm>
                    <a:prstGeom prst="rect">
                      <a:avLst/>
                    </a:prstGeom>
                  </pic:spPr>
                </pic:pic>
              </a:graphicData>
            </a:graphic>
          </wp:inline>
        </w:drawing>
      </w: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88" w:name="_Toc6514"/>
      <w:bookmarkStart w:id="889" w:name="_Toc32658"/>
      <w:bookmarkStart w:id="890" w:name="_Toc25690"/>
      <w:r>
        <w:rPr>
          <w:rFonts w:hint="default" w:ascii="Times New Roman" w:hAnsi="Times New Roman" w:eastAsia="宋体" w:cs="Times New Roman"/>
          <w:color w:val="auto"/>
          <w:highlight w:val="none"/>
          <w:lang w:val="en-US" w:eastAsia="zh-CN"/>
        </w:rPr>
        <w:t>附件</w:t>
      </w:r>
      <w:r>
        <w:rPr>
          <w:rFonts w:hint="eastAsia" w:eastAsia="宋体" w:cs="Times New Roman"/>
          <w:color w:val="auto"/>
          <w:highlight w:val="none"/>
          <w:lang w:val="en-US" w:eastAsia="zh-CN"/>
        </w:rPr>
        <w:t>6</w:t>
      </w:r>
      <w:r>
        <w:rPr>
          <w:rFonts w:hint="default" w:ascii="Times New Roman" w:hAnsi="Times New Roman" w:eastAsia="宋体" w:cs="Times New Roman"/>
          <w:color w:val="auto"/>
          <w:highlight w:val="none"/>
          <w:lang w:val="en-US" w:eastAsia="zh-CN"/>
        </w:rPr>
        <w:t>原有环评批复</w:t>
      </w:r>
      <w:bookmarkEnd w:id="888"/>
      <w:bookmarkEnd w:id="889"/>
      <w:bookmarkEnd w:id="890"/>
    </w:p>
    <w:p>
      <w:pPr>
        <w:pStyle w:val="2"/>
        <w:ind w:left="0" w:leftChars="0" w:firstLine="0" w:firstLineChars="0"/>
        <w:rPr>
          <w:rFonts w:hint="default" w:ascii="Times New Roman" w:hAnsi="Times New Roman" w:eastAsia="宋体" w:cs="Times New Roman"/>
          <w:color w:val="auto"/>
          <w:highlight w:val="none"/>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auto"/>
          <w:highlight w:val="none"/>
          <w:lang w:val="en-US" w:eastAsia="zh-CN"/>
        </w:rPr>
        <w:drawing>
          <wp:inline distT="0" distB="0" distL="114300" distR="114300">
            <wp:extent cx="5708015" cy="7706360"/>
            <wp:effectExtent l="0" t="0" r="6985" b="8890"/>
            <wp:docPr id="53" name="图片 53" descr="环评批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环评批_页面_1"/>
                    <pic:cNvPicPr>
                      <a:picLocks noChangeAspect="1"/>
                    </pic:cNvPicPr>
                  </pic:nvPicPr>
                  <pic:blipFill>
                    <a:blip r:embed="rId283"/>
                    <a:srcRect t="6300"/>
                    <a:stretch>
                      <a:fillRect/>
                    </a:stretch>
                  </pic:blipFill>
                  <pic:spPr>
                    <a:xfrm>
                      <a:off x="0" y="0"/>
                      <a:ext cx="5708015" cy="770636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699760" cy="7839075"/>
            <wp:effectExtent l="0" t="0" r="15240" b="9525"/>
            <wp:docPr id="52" name="图片 52" descr="环评批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环评批_页面_2"/>
                    <pic:cNvPicPr>
                      <a:picLocks noChangeAspect="1"/>
                    </pic:cNvPicPr>
                  </pic:nvPicPr>
                  <pic:blipFill>
                    <a:blip r:embed="rId284"/>
                    <a:stretch>
                      <a:fillRect/>
                    </a:stretch>
                  </pic:blipFill>
                  <pic:spPr>
                    <a:xfrm>
                      <a:off x="0" y="0"/>
                      <a:ext cx="5699760" cy="7839075"/>
                    </a:xfrm>
                    <a:prstGeom prst="rect">
                      <a:avLst/>
                    </a:prstGeom>
                  </pic:spPr>
                </pic:pic>
              </a:graphicData>
            </a:graphic>
          </wp:inline>
        </w:drawing>
      </w: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91" w:name="_Toc4147"/>
      <w:bookmarkStart w:id="892" w:name="_Toc5521"/>
      <w:bookmarkStart w:id="893" w:name="_Toc14436"/>
      <w:r>
        <w:rPr>
          <w:rFonts w:hint="default" w:ascii="Times New Roman" w:hAnsi="Times New Roman" w:eastAsia="宋体" w:cs="Times New Roman"/>
          <w:color w:val="auto"/>
          <w:highlight w:val="none"/>
          <w:lang w:val="en-US" w:eastAsia="zh-CN"/>
        </w:rPr>
        <w:t>附件</w:t>
      </w:r>
      <w:r>
        <w:rPr>
          <w:rFonts w:hint="eastAsia" w:eastAsia="宋体" w:cs="Times New Roman"/>
          <w:color w:val="auto"/>
          <w:highlight w:val="none"/>
          <w:lang w:val="en-US" w:eastAsia="zh-CN"/>
        </w:rPr>
        <w:t>7环境检测</w:t>
      </w:r>
      <w:r>
        <w:rPr>
          <w:rFonts w:hint="default" w:ascii="Times New Roman" w:hAnsi="Times New Roman" w:eastAsia="宋体" w:cs="Times New Roman"/>
          <w:color w:val="auto"/>
          <w:highlight w:val="none"/>
          <w:lang w:val="en-US" w:eastAsia="zh-CN"/>
        </w:rPr>
        <w:t>报告</w:t>
      </w:r>
      <w:bookmarkEnd w:id="891"/>
      <w:bookmarkEnd w:id="892"/>
      <w:bookmarkEnd w:id="893"/>
    </w:p>
    <w:p>
      <w:pPr>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66" name="图片 266" descr="扫描_2022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扫描_20220920"/>
                    <pic:cNvPicPr>
                      <a:picLocks noChangeAspect="1"/>
                    </pic:cNvPicPr>
                  </pic:nvPicPr>
                  <pic:blipFill>
                    <a:blip r:embed="rId285"/>
                    <a:stretch>
                      <a:fillRect/>
                    </a:stretch>
                  </pic:blipFill>
                  <pic:spPr>
                    <a:xfrm>
                      <a:off x="0" y="0"/>
                      <a:ext cx="5720715" cy="7865110"/>
                    </a:xfrm>
                    <a:prstGeom prst="rect">
                      <a:avLst/>
                    </a:prstGeom>
                  </pic:spPr>
                </pic:pic>
              </a:graphicData>
            </a:graphic>
          </wp:inline>
        </w:drawing>
      </w:r>
    </w:p>
    <w:p>
      <w:pPr>
        <w:ind w:left="0" w:leftChars="0" w:firstLine="0" w:firstLineChars="0"/>
        <w:rPr>
          <w:rFonts w:hint="default"/>
          <w:color w:val="auto"/>
          <w:lang w:val="en-US" w:eastAsia="zh-CN"/>
        </w:rPr>
      </w:pPr>
      <w:r>
        <w:rPr>
          <w:rFonts w:hint="default" w:ascii="Times New Roman" w:hAnsi="Times New Roman" w:eastAsia="宋体" w:cs="Times New Roman"/>
          <w:color w:val="auto"/>
          <w:highlight w:val="none"/>
          <w:lang w:val="en-US" w:eastAsia="zh-CN"/>
        </w:rPr>
        <w:drawing>
          <wp:inline distT="0" distB="0" distL="114300" distR="114300">
            <wp:extent cx="5833110" cy="8020685"/>
            <wp:effectExtent l="0" t="0" r="15240" b="18415"/>
            <wp:docPr id="265" name="图片 265" descr="扫描_202209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扫描_20220920 (2)"/>
                    <pic:cNvPicPr>
                      <a:picLocks noChangeAspect="1"/>
                    </pic:cNvPicPr>
                  </pic:nvPicPr>
                  <pic:blipFill>
                    <a:blip r:embed="rId286"/>
                    <a:stretch>
                      <a:fillRect/>
                    </a:stretch>
                  </pic:blipFill>
                  <pic:spPr>
                    <a:xfrm>
                      <a:off x="0" y="0"/>
                      <a:ext cx="5833110" cy="8020685"/>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64" name="图片 264" descr="扫描_2022092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扫描_20220920 (3)"/>
                    <pic:cNvPicPr>
                      <a:picLocks noChangeAspect="1"/>
                    </pic:cNvPicPr>
                  </pic:nvPicPr>
                  <pic:blipFill>
                    <a:blip r:embed="rId287"/>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63" name="图片 263" descr="扫描_2022092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扫描_20220920 (4)"/>
                    <pic:cNvPicPr>
                      <a:picLocks noChangeAspect="1"/>
                    </pic:cNvPicPr>
                  </pic:nvPicPr>
                  <pic:blipFill>
                    <a:blip r:embed="rId288"/>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62" name="图片 262" descr="扫描_20220920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扫描_20220920 (5)"/>
                    <pic:cNvPicPr>
                      <a:picLocks noChangeAspect="1"/>
                    </pic:cNvPicPr>
                  </pic:nvPicPr>
                  <pic:blipFill>
                    <a:blip r:embed="rId289"/>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61" name="图片 261" descr="扫描_20220920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扫描_20220920 (6)"/>
                    <pic:cNvPicPr>
                      <a:picLocks noChangeAspect="1"/>
                    </pic:cNvPicPr>
                  </pic:nvPicPr>
                  <pic:blipFill>
                    <a:blip r:embed="rId290"/>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60" name="图片 260" descr="扫描_20220920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扫描_20220920 (7)"/>
                    <pic:cNvPicPr>
                      <a:picLocks noChangeAspect="1"/>
                    </pic:cNvPicPr>
                  </pic:nvPicPr>
                  <pic:blipFill>
                    <a:blip r:embed="rId291"/>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59" name="图片 259" descr="扫描_20220920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扫描_20220920 (8)"/>
                    <pic:cNvPicPr>
                      <a:picLocks noChangeAspect="1"/>
                    </pic:cNvPicPr>
                  </pic:nvPicPr>
                  <pic:blipFill>
                    <a:blip r:embed="rId292"/>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58" name="图片 258" descr="扫描_20220920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扫描_20220920 (9)"/>
                    <pic:cNvPicPr>
                      <a:picLocks noChangeAspect="1"/>
                    </pic:cNvPicPr>
                  </pic:nvPicPr>
                  <pic:blipFill>
                    <a:blip r:embed="rId293"/>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57" name="图片 257" descr="扫描_202209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扫描_20220920 (10)"/>
                    <pic:cNvPicPr>
                      <a:picLocks noChangeAspect="1"/>
                    </pic:cNvPicPr>
                  </pic:nvPicPr>
                  <pic:blipFill>
                    <a:blip r:embed="rId294"/>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56" name="图片 256" descr="扫描_2022092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扫描_20220920 (11)"/>
                    <pic:cNvPicPr>
                      <a:picLocks noChangeAspect="1"/>
                    </pic:cNvPicPr>
                  </pic:nvPicPr>
                  <pic:blipFill>
                    <a:blip r:embed="rId295"/>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55" name="图片 255" descr="扫描_20220920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扫描_20220920 (12)"/>
                    <pic:cNvPicPr>
                      <a:picLocks noChangeAspect="1"/>
                    </pic:cNvPicPr>
                  </pic:nvPicPr>
                  <pic:blipFill>
                    <a:blip r:embed="rId296"/>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50" name="图片 250" descr="扫描_20220920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扫描_20220920 (13)"/>
                    <pic:cNvPicPr>
                      <a:picLocks noChangeAspect="1"/>
                    </pic:cNvPicPr>
                  </pic:nvPicPr>
                  <pic:blipFill>
                    <a:blip r:embed="rId297"/>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42" name="图片 242" descr="扫描_20220920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扫描_20220920 (14)"/>
                    <pic:cNvPicPr>
                      <a:picLocks noChangeAspect="1"/>
                    </pic:cNvPicPr>
                  </pic:nvPicPr>
                  <pic:blipFill>
                    <a:blip r:embed="rId298"/>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241" name="图片 241" descr="扫描_20220920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扫描_20220920 (15)"/>
                    <pic:cNvPicPr>
                      <a:picLocks noChangeAspect="1"/>
                    </pic:cNvPicPr>
                  </pic:nvPicPr>
                  <pic:blipFill>
                    <a:blip r:embed="rId299"/>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101" name="图片 101" descr="扫描_20220920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扫描_20220920 (16)"/>
                    <pic:cNvPicPr>
                      <a:picLocks noChangeAspect="1"/>
                    </pic:cNvPicPr>
                  </pic:nvPicPr>
                  <pic:blipFill>
                    <a:blip r:embed="rId300"/>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99" name="图片 99" descr="扫描_20220920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扫描_20220920 (17)"/>
                    <pic:cNvPicPr>
                      <a:picLocks noChangeAspect="1"/>
                    </pic:cNvPicPr>
                  </pic:nvPicPr>
                  <pic:blipFill>
                    <a:blip r:embed="rId301"/>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95" name="图片 95" descr="扫描_20220920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扫描_20220920 (18)"/>
                    <pic:cNvPicPr>
                      <a:picLocks noChangeAspect="1"/>
                    </pic:cNvPicPr>
                  </pic:nvPicPr>
                  <pic:blipFill>
                    <a:blip r:embed="rId302"/>
                    <a:stretch>
                      <a:fillRect/>
                    </a:stretch>
                  </pic:blipFill>
                  <pic:spPr>
                    <a:xfrm>
                      <a:off x="0" y="0"/>
                      <a:ext cx="5720715" cy="7865110"/>
                    </a:xfrm>
                    <a:prstGeom prst="rect">
                      <a:avLst/>
                    </a:prstGeom>
                  </pic:spPr>
                </pic:pic>
              </a:graphicData>
            </a:graphic>
          </wp:inline>
        </w:drawing>
      </w:r>
      <w:r>
        <w:rPr>
          <w:rFonts w:hint="default" w:ascii="Times New Roman" w:hAnsi="Times New Roman" w:eastAsia="宋体" w:cs="Times New Roman"/>
          <w:color w:val="auto"/>
          <w:highlight w:val="none"/>
          <w:lang w:val="en-US" w:eastAsia="zh-CN"/>
        </w:rPr>
        <w:drawing>
          <wp:inline distT="0" distB="0" distL="114300" distR="114300">
            <wp:extent cx="5720715" cy="7865110"/>
            <wp:effectExtent l="0" t="0" r="13335" b="2540"/>
            <wp:docPr id="74" name="图片 74" descr="扫描_20220920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扫描_20220920 (19)"/>
                    <pic:cNvPicPr>
                      <a:picLocks noChangeAspect="1"/>
                    </pic:cNvPicPr>
                  </pic:nvPicPr>
                  <pic:blipFill>
                    <a:blip r:embed="rId303"/>
                    <a:stretch>
                      <a:fillRect/>
                    </a:stretch>
                  </pic:blipFill>
                  <pic:spPr>
                    <a:xfrm>
                      <a:off x="0" y="0"/>
                      <a:ext cx="5720715" cy="7865110"/>
                    </a:xfrm>
                    <a:prstGeom prst="rect">
                      <a:avLst/>
                    </a:prstGeom>
                  </pic:spPr>
                </pic:pic>
              </a:graphicData>
            </a:graphic>
          </wp:inline>
        </w:drawing>
      </w:r>
    </w:p>
    <w:p>
      <w:pPr>
        <w:rPr>
          <w:rFonts w:hint="default"/>
          <w:color w:val="auto"/>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94" w:name="_Toc19027"/>
      <w:r>
        <w:rPr>
          <w:rFonts w:hint="default" w:ascii="Times New Roman" w:hAnsi="Times New Roman" w:eastAsia="宋体" w:cs="Times New Roman"/>
          <w:color w:val="auto"/>
          <w:highlight w:val="none"/>
          <w:lang w:val="en-US" w:eastAsia="zh-CN"/>
        </w:rPr>
        <w:t>附件</w:t>
      </w:r>
      <w:r>
        <w:rPr>
          <w:rFonts w:hint="eastAsia" w:eastAsia="宋体" w:cs="Times New Roman"/>
          <w:color w:val="auto"/>
          <w:highlight w:val="none"/>
          <w:lang w:val="en-US" w:eastAsia="zh-CN"/>
        </w:rPr>
        <w:t>8</w:t>
      </w:r>
      <w:r>
        <w:rPr>
          <w:rFonts w:hint="eastAsia" w:ascii="Times New Roman" w:hAnsi="Times New Roman" w:eastAsia="宋体" w:cs="Times New Roman"/>
          <w:color w:val="auto"/>
          <w:highlight w:val="none"/>
          <w:lang w:val="en-US" w:eastAsia="zh-CN"/>
        </w:rPr>
        <w:t>《岫岩满族自治县苏子沟镇大何家堡村钾矿山地质环境保护与土地复垦方案》评审意见</w:t>
      </w:r>
      <w:bookmarkEnd w:id="894"/>
    </w:p>
    <w:p>
      <w:pPr>
        <w:pStyle w:val="37"/>
        <w:ind w:left="0" w:leftChars="0" w:firstLine="0" w:firstLineChars="0"/>
        <w:jc w:val="center"/>
        <w:rPr>
          <w:rFonts w:hint="default"/>
          <w:color w:val="auto"/>
          <w:lang w:val="en-US" w:eastAsia="zh-CN"/>
        </w:rPr>
      </w:pPr>
      <w:r>
        <w:rPr>
          <w:rFonts w:hint="default"/>
          <w:color w:val="auto"/>
          <w:lang w:val="en-US" w:eastAsia="zh-CN"/>
        </w:rPr>
        <w:drawing>
          <wp:inline distT="0" distB="0" distL="114300" distR="114300">
            <wp:extent cx="7517130" cy="5316220"/>
            <wp:effectExtent l="0" t="0" r="17780" b="7620"/>
            <wp:docPr id="78" name="图片 78" descr="二合一评审意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二合一评审意见_页面_1"/>
                    <pic:cNvPicPr>
                      <a:picLocks noChangeAspect="1"/>
                    </pic:cNvPicPr>
                  </pic:nvPicPr>
                  <pic:blipFill>
                    <a:blip r:embed="rId304"/>
                    <a:stretch>
                      <a:fillRect/>
                    </a:stretch>
                  </pic:blipFill>
                  <pic:spPr>
                    <a:xfrm rot="16200000">
                      <a:off x="0" y="0"/>
                      <a:ext cx="7517130" cy="5316220"/>
                    </a:xfrm>
                    <a:prstGeom prst="rect">
                      <a:avLst/>
                    </a:prstGeom>
                  </pic:spPr>
                </pic:pic>
              </a:graphicData>
            </a:graphic>
          </wp:inline>
        </w:drawing>
      </w:r>
    </w:p>
    <w:p>
      <w:pPr>
        <w:pStyle w:val="37"/>
        <w:ind w:left="0" w:leftChars="0" w:firstLine="0" w:firstLineChars="0"/>
        <w:rPr>
          <w:rFonts w:hint="default"/>
          <w:color w:val="auto"/>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8451850" cy="5977255"/>
            <wp:effectExtent l="0" t="0" r="4445" b="6350"/>
            <wp:docPr id="65" name="图片 65" descr="二合一评审意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二合一评审意见_页面_2"/>
                    <pic:cNvPicPr>
                      <a:picLocks noChangeAspect="1"/>
                    </pic:cNvPicPr>
                  </pic:nvPicPr>
                  <pic:blipFill>
                    <a:blip r:embed="rId305"/>
                    <a:stretch>
                      <a:fillRect/>
                    </a:stretch>
                  </pic:blipFill>
                  <pic:spPr>
                    <a:xfrm rot="16200000">
                      <a:off x="0" y="0"/>
                      <a:ext cx="8451850" cy="5977255"/>
                    </a:xfrm>
                    <a:prstGeom prst="rect">
                      <a:avLst/>
                    </a:prstGeom>
                  </pic:spPr>
                </pic:pic>
              </a:graphicData>
            </a:graphic>
          </wp:inline>
        </w:drawing>
      </w:r>
    </w:p>
    <w:p>
      <w:pPr>
        <w:pStyle w:val="37"/>
        <w:ind w:left="0" w:leftChars="0" w:firstLine="0" w:firstLineChars="0"/>
        <w:jc w:val="center"/>
        <w:rPr>
          <w:rFonts w:hint="default"/>
          <w:color w:val="auto"/>
          <w:lang w:val="en-US" w:eastAsia="zh-CN"/>
        </w:rPr>
        <w:sectPr>
          <w:pgSz w:w="16783" w:h="11850" w:orient="landscape"/>
          <w:pgMar w:top="1418" w:right="158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7919085" cy="5600065"/>
            <wp:effectExtent l="0" t="0" r="5715" b="635"/>
            <wp:docPr id="16" name="图片 16" descr="二合一评审意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二合一评审意见_页面_3"/>
                    <pic:cNvPicPr>
                      <a:picLocks noChangeAspect="1"/>
                    </pic:cNvPicPr>
                  </pic:nvPicPr>
                  <pic:blipFill>
                    <a:blip r:embed="rId306"/>
                    <a:stretch>
                      <a:fillRect/>
                    </a:stretch>
                  </pic:blipFill>
                  <pic:spPr>
                    <a:xfrm>
                      <a:off x="0" y="0"/>
                      <a:ext cx="7919085" cy="5600065"/>
                    </a:xfrm>
                    <a:prstGeom prst="rect">
                      <a:avLst/>
                    </a:prstGeom>
                  </pic:spPr>
                </pic:pic>
              </a:graphicData>
            </a:graphic>
          </wp:inline>
        </w:drawing>
      </w: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95" w:name="_Toc28042"/>
      <w:r>
        <w:rPr>
          <w:rFonts w:hint="default" w:ascii="Times New Roman" w:hAnsi="Times New Roman" w:eastAsia="宋体" w:cs="Times New Roman"/>
          <w:color w:val="auto"/>
          <w:highlight w:val="none"/>
          <w:lang w:val="en-US" w:eastAsia="zh-CN"/>
        </w:rPr>
        <w:t>附件</w:t>
      </w:r>
      <w:r>
        <w:rPr>
          <w:rFonts w:hint="eastAsia" w:eastAsia="宋体" w:cs="Times New Roman"/>
          <w:color w:val="auto"/>
          <w:highlight w:val="none"/>
          <w:lang w:val="en-US" w:eastAsia="zh-CN"/>
        </w:rPr>
        <w:t>9</w:t>
      </w:r>
      <w:r>
        <w:rPr>
          <w:rFonts w:hint="eastAsia" w:ascii="Times New Roman" w:hAnsi="Times New Roman" w:eastAsia="宋体" w:cs="Times New Roman"/>
          <w:color w:val="auto"/>
          <w:highlight w:val="none"/>
          <w:lang w:val="en-US" w:eastAsia="zh-CN"/>
        </w:rPr>
        <w:t>关于鞍山市申请调整部分生态公益林的批复</w:t>
      </w:r>
      <w:bookmarkEnd w:id="895"/>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color w:val="auto"/>
          <w:lang w:val="en-US" w:eastAsia="zh-CN"/>
        </w:rPr>
        <w:sectPr>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5308600" cy="7508240"/>
            <wp:effectExtent l="0" t="0" r="6350" b="16510"/>
            <wp:docPr id="85" name="图片 85" descr="附件_页面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附件_页面_33"/>
                    <pic:cNvPicPr>
                      <a:picLocks noChangeAspect="1"/>
                    </pic:cNvPicPr>
                  </pic:nvPicPr>
                  <pic:blipFill>
                    <a:blip r:embed="rId307"/>
                    <a:stretch>
                      <a:fillRect/>
                    </a:stretch>
                  </pic:blipFill>
                  <pic:spPr>
                    <a:xfrm>
                      <a:off x="0" y="0"/>
                      <a:ext cx="5308600" cy="7508240"/>
                    </a:xfrm>
                    <a:prstGeom prst="rect">
                      <a:avLst/>
                    </a:prstGeom>
                  </pic:spPr>
                </pic:pic>
              </a:graphicData>
            </a:graphic>
          </wp:inline>
        </w:drawing>
      </w:r>
      <w:r>
        <w:rPr>
          <w:rFonts w:hint="default"/>
          <w:color w:val="auto"/>
          <w:lang w:val="en-US" w:eastAsia="zh-CN"/>
        </w:rPr>
        <w:drawing>
          <wp:inline distT="0" distB="0" distL="114300" distR="114300">
            <wp:extent cx="5721350" cy="8091805"/>
            <wp:effectExtent l="0" t="0" r="12700" b="4445"/>
            <wp:docPr id="84" name="图片 84" descr="附件_页面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附件_页面_34"/>
                    <pic:cNvPicPr>
                      <a:picLocks noChangeAspect="1"/>
                    </pic:cNvPicPr>
                  </pic:nvPicPr>
                  <pic:blipFill>
                    <a:blip r:embed="rId308"/>
                    <a:stretch>
                      <a:fillRect/>
                    </a:stretch>
                  </pic:blipFill>
                  <pic:spPr>
                    <a:xfrm>
                      <a:off x="0" y="0"/>
                      <a:ext cx="5721350" cy="8091805"/>
                    </a:xfrm>
                    <a:prstGeom prst="rect">
                      <a:avLst/>
                    </a:prstGeom>
                  </pic:spPr>
                </pic:pic>
              </a:graphicData>
            </a:graphic>
          </wp:inline>
        </w:drawing>
      </w:r>
      <w:r>
        <w:rPr>
          <w:rFonts w:hint="default"/>
          <w:color w:val="auto"/>
          <w:lang w:val="en-US" w:eastAsia="zh-CN"/>
        </w:rPr>
        <w:drawing>
          <wp:inline distT="0" distB="0" distL="114300" distR="114300">
            <wp:extent cx="5721350" cy="8091805"/>
            <wp:effectExtent l="0" t="0" r="12700" b="4445"/>
            <wp:docPr id="83" name="图片 83" descr="附件_页面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附件_页面_35"/>
                    <pic:cNvPicPr>
                      <a:picLocks noChangeAspect="1"/>
                    </pic:cNvPicPr>
                  </pic:nvPicPr>
                  <pic:blipFill>
                    <a:blip r:embed="rId309"/>
                    <a:stretch>
                      <a:fillRect/>
                    </a:stretch>
                  </pic:blipFill>
                  <pic:spPr>
                    <a:xfrm>
                      <a:off x="0" y="0"/>
                      <a:ext cx="5721350" cy="8091805"/>
                    </a:xfrm>
                    <a:prstGeom prst="rect">
                      <a:avLst/>
                    </a:prstGeom>
                  </pic:spPr>
                </pic:pic>
              </a:graphicData>
            </a:graphic>
          </wp:inline>
        </w:drawing>
      </w:r>
      <w:r>
        <w:rPr>
          <w:rFonts w:hint="default"/>
          <w:color w:val="auto"/>
          <w:lang w:val="en-US" w:eastAsia="zh-CN"/>
        </w:rPr>
        <w:drawing>
          <wp:inline distT="0" distB="0" distL="114300" distR="114300">
            <wp:extent cx="5721350" cy="8091805"/>
            <wp:effectExtent l="0" t="0" r="12700" b="4445"/>
            <wp:docPr id="82" name="图片 82" descr="附件_页面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附件_页面_36"/>
                    <pic:cNvPicPr>
                      <a:picLocks noChangeAspect="1"/>
                    </pic:cNvPicPr>
                  </pic:nvPicPr>
                  <pic:blipFill>
                    <a:blip r:embed="rId310"/>
                    <a:stretch>
                      <a:fillRect/>
                    </a:stretch>
                  </pic:blipFill>
                  <pic:spPr>
                    <a:xfrm>
                      <a:off x="0" y="0"/>
                      <a:ext cx="5721350" cy="80918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240" w:lineRule="atLeast"/>
        <w:ind w:firstLine="0" w:firstLineChars="0"/>
        <w:jc w:val="center"/>
        <w:textAlignment w:val="auto"/>
        <w:rPr>
          <w:rFonts w:hint="default"/>
          <w:color w:val="auto"/>
          <w:lang w:val="en-US" w:eastAsia="zh-CN"/>
        </w:rPr>
        <w:sectPr>
          <w:type w:val="continuous"/>
          <w:pgSz w:w="11850" w:h="16783"/>
          <w:pgMar w:top="158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ind w:left="0" w:leftChars="0" w:firstLine="0" w:firstLineChars="0"/>
        <w:jc w:val="center"/>
        <w:rPr>
          <w:rFonts w:hint="default"/>
          <w:color w:val="auto"/>
          <w:lang w:val="en-US" w:eastAsia="zh-CN"/>
        </w:rPr>
        <w:sectPr>
          <w:pgSz w:w="16783" w:h="11850" w:orient="landscape"/>
          <w:pgMar w:top="1418" w:right="158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7489190" cy="5476240"/>
            <wp:effectExtent l="0" t="0" r="16510" b="10160"/>
            <wp:docPr id="44" name="图片 44" descr="关于鞍山申请调整部分公益林的批复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关于鞍山申请调整部分公益林的批复5"/>
                    <pic:cNvPicPr>
                      <a:picLocks noChangeAspect="1"/>
                    </pic:cNvPicPr>
                  </pic:nvPicPr>
                  <pic:blipFill>
                    <a:blip r:embed="rId311"/>
                    <a:stretch>
                      <a:fillRect/>
                    </a:stretch>
                  </pic:blipFill>
                  <pic:spPr>
                    <a:xfrm>
                      <a:off x="0" y="0"/>
                      <a:ext cx="7489190" cy="5476240"/>
                    </a:xfrm>
                    <a:prstGeom prst="rect">
                      <a:avLst/>
                    </a:prstGeom>
                  </pic:spPr>
                </pic:pic>
              </a:graphicData>
            </a:graphic>
          </wp:inline>
        </w:drawing>
      </w: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96" w:name="_Toc12130"/>
      <w:r>
        <w:rPr>
          <w:rFonts w:hint="default" w:ascii="Times New Roman" w:hAnsi="Times New Roman" w:eastAsia="宋体" w:cs="Times New Roman"/>
          <w:color w:val="auto"/>
          <w:highlight w:val="none"/>
          <w:lang w:val="en-US" w:eastAsia="zh-CN"/>
        </w:rPr>
        <w:t>附件</w:t>
      </w:r>
      <w:r>
        <w:rPr>
          <w:rFonts w:hint="eastAsia" w:eastAsia="宋体" w:cs="Times New Roman"/>
          <w:color w:val="auto"/>
          <w:highlight w:val="none"/>
          <w:lang w:val="en-US" w:eastAsia="zh-CN"/>
        </w:rPr>
        <w:t>10</w:t>
      </w:r>
      <w:r>
        <w:rPr>
          <w:rFonts w:hint="eastAsia" w:ascii="Times New Roman" w:hAnsi="Times New Roman" w:eastAsia="宋体" w:cs="Times New Roman"/>
          <w:color w:val="auto"/>
          <w:highlight w:val="none"/>
          <w:lang w:val="en-US" w:eastAsia="zh-CN"/>
        </w:rPr>
        <w:t>矿石成分检测报告</w:t>
      </w:r>
      <w:bookmarkEnd w:id="896"/>
    </w:p>
    <w:p>
      <w:pPr>
        <w:ind w:left="0" w:leftChars="0" w:firstLine="0" w:firstLineChars="0"/>
        <w:rPr>
          <w:rFonts w:hint="eastAsia"/>
          <w:color w:val="auto"/>
          <w:lang w:val="en-US" w:eastAsia="zh-CN"/>
        </w:rPr>
      </w:pPr>
      <w:r>
        <w:rPr>
          <w:color w:val="auto"/>
        </w:rPr>
        <w:drawing>
          <wp:inline distT="0" distB="0" distL="114300" distR="114300">
            <wp:extent cx="5639435" cy="7949565"/>
            <wp:effectExtent l="0" t="0" r="18415" b="133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12"/>
                    <a:stretch>
                      <a:fillRect/>
                    </a:stretch>
                  </pic:blipFill>
                  <pic:spPr>
                    <a:xfrm>
                      <a:off x="0" y="0"/>
                      <a:ext cx="5639435" cy="7949565"/>
                    </a:xfrm>
                    <a:prstGeom prst="rect">
                      <a:avLst/>
                    </a:prstGeom>
                    <a:noFill/>
                    <a:ln>
                      <a:noFill/>
                    </a:ln>
                  </pic:spPr>
                </pic:pic>
              </a:graphicData>
            </a:graphic>
          </wp:inline>
        </w:drawing>
      </w:r>
      <w:r>
        <w:rPr>
          <w:rFonts w:hint="eastAsia"/>
          <w:color w:val="auto"/>
          <w:lang w:val="en-US" w:eastAsia="zh-CN"/>
        </w:rPr>
        <w:drawing>
          <wp:inline distT="0" distB="0" distL="114300" distR="114300">
            <wp:extent cx="6207125" cy="8534400"/>
            <wp:effectExtent l="0" t="0" r="3175" b="0"/>
            <wp:docPr id="47" name="图片 47" descr="扫描_2021061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扫描_20210613 (3)"/>
                    <pic:cNvPicPr>
                      <a:picLocks noChangeAspect="1"/>
                    </pic:cNvPicPr>
                  </pic:nvPicPr>
                  <pic:blipFill>
                    <a:blip r:embed="rId313"/>
                    <a:stretch>
                      <a:fillRect/>
                    </a:stretch>
                  </pic:blipFill>
                  <pic:spPr>
                    <a:xfrm>
                      <a:off x="0" y="0"/>
                      <a:ext cx="6207125" cy="8534400"/>
                    </a:xfrm>
                    <a:prstGeom prst="rect">
                      <a:avLst/>
                    </a:prstGeom>
                  </pic:spPr>
                </pic:pic>
              </a:graphicData>
            </a:graphic>
          </wp:inline>
        </w:drawing>
      </w:r>
    </w:p>
    <w:p>
      <w:pPr>
        <w:ind w:left="0" w:leftChars="0" w:firstLine="0" w:firstLineChars="0"/>
        <w:rPr>
          <w:color w:val="auto"/>
        </w:rPr>
      </w:pPr>
      <w:r>
        <w:rPr>
          <w:color w:val="auto"/>
        </w:rPr>
        <w:drawing>
          <wp:inline distT="0" distB="0" distL="114300" distR="114300">
            <wp:extent cx="8604885" cy="6046470"/>
            <wp:effectExtent l="0" t="0" r="11430" b="571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14"/>
                    <a:stretch>
                      <a:fillRect/>
                    </a:stretch>
                  </pic:blipFill>
                  <pic:spPr>
                    <a:xfrm rot="16200000">
                      <a:off x="0" y="0"/>
                      <a:ext cx="8604885" cy="6046470"/>
                    </a:xfrm>
                    <a:prstGeom prst="rect">
                      <a:avLst/>
                    </a:prstGeom>
                    <a:noFill/>
                    <a:ln>
                      <a:noFill/>
                    </a:ln>
                  </pic:spPr>
                </pic:pic>
              </a:graphicData>
            </a:graphic>
          </wp:inline>
        </w:drawing>
      </w:r>
    </w:p>
    <w:p>
      <w:pPr>
        <w:pStyle w:val="4"/>
        <w:numPr>
          <w:ilvl w:val="1"/>
          <w:numId w:val="0"/>
        </w:numPr>
        <w:bidi w:val="0"/>
        <w:ind w:left="240" w:leftChars="0"/>
        <w:rPr>
          <w:rFonts w:hint="default" w:ascii="Times New Roman" w:hAnsi="Times New Roman" w:eastAsia="宋体" w:cs="Times New Roman"/>
          <w:color w:val="auto"/>
          <w:highlight w:val="none"/>
          <w:lang w:val="en-US" w:eastAsia="zh-CN"/>
        </w:rPr>
      </w:pPr>
      <w:bookmarkStart w:id="897" w:name="_Toc22415"/>
      <w:r>
        <w:rPr>
          <w:rFonts w:hint="default" w:ascii="Times New Roman" w:hAnsi="Times New Roman" w:eastAsia="宋体" w:cs="Times New Roman"/>
          <w:color w:val="auto"/>
          <w:highlight w:val="none"/>
          <w:lang w:val="en-US" w:eastAsia="zh-CN"/>
        </w:rPr>
        <w:t>附件</w:t>
      </w:r>
      <w:r>
        <w:rPr>
          <w:rFonts w:hint="eastAsia" w:eastAsia="宋体" w:cs="Times New Roman"/>
          <w:color w:val="auto"/>
          <w:highlight w:val="none"/>
          <w:lang w:val="en-US" w:eastAsia="zh-CN"/>
        </w:rPr>
        <w:t>11“</w:t>
      </w:r>
      <w:r>
        <w:rPr>
          <w:rFonts w:hint="eastAsia" w:ascii="Times New Roman" w:hAnsi="Times New Roman" w:eastAsia="宋体" w:cs="Times New Roman"/>
          <w:color w:val="auto"/>
          <w:highlight w:val="none"/>
          <w:lang w:val="en-US" w:eastAsia="zh-CN"/>
        </w:rPr>
        <w:t>三线一单</w:t>
      </w:r>
      <w:r>
        <w:rPr>
          <w:rFonts w:hint="eastAsia" w:eastAsia="宋体" w:cs="Times New Roman"/>
          <w:color w:val="auto"/>
          <w:highlight w:val="none"/>
          <w:lang w:val="en-US" w:eastAsia="zh-CN"/>
        </w:rPr>
        <w:t>”</w:t>
      </w:r>
      <w:r>
        <w:rPr>
          <w:rFonts w:hint="eastAsia" w:ascii="Times New Roman" w:hAnsi="Times New Roman" w:eastAsia="宋体" w:cs="Times New Roman"/>
          <w:color w:val="auto"/>
          <w:highlight w:val="none"/>
          <w:lang w:val="en-US" w:eastAsia="zh-CN"/>
        </w:rPr>
        <w:t>管控单位查询申请表</w:t>
      </w:r>
      <w:bookmarkEnd w:id="897"/>
    </w:p>
    <w:p>
      <w:pPr>
        <w:pStyle w:val="37"/>
        <w:ind w:left="0" w:leftChars="0" w:firstLine="0" w:firstLineChars="0"/>
        <w:rPr>
          <w:color w:val="auto"/>
        </w:rPr>
        <w:sectPr>
          <w:pgSz w:w="11906" w:h="16838"/>
          <w:pgMar w:top="1440" w:right="1800" w:bottom="1440" w:left="1800" w:header="851" w:footer="992" w:gutter="0"/>
          <w:cols w:space="425" w:num="1"/>
          <w:docGrid w:type="lines" w:linePitch="312" w:charSpace="0"/>
        </w:sectPr>
      </w:pPr>
      <w:r>
        <w:rPr>
          <w:color w:val="auto"/>
        </w:rPr>
        <w:drawing>
          <wp:inline distT="0" distB="0" distL="114300" distR="114300">
            <wp:extent cx="5567045" cy="7891145"/>
            <wp:effectExtent l="0" t="0" r="14605" b="14605"/>
            <wp:docPr id="76"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8"/>
                    <pic:cNvPicPr>
                      <a:picLocks noChangeAspect="1"/>
                    </pic:cNvPicPr>
                  </pic:nvPicPr>
                  <pic:blipFill>
                    <a:blip r:embed="rId315"/>
                    <a:stretch>
                      <a:fillRect/>
                    </a:stretch>
                  </pic:blipFill>
                  <pic:spPr>
                    <a:xfrm>
                      <a:off x="0" y="0"/>
                      <a:ext cx="5567045" cy="7891145"/>
                    </a:xfrm>
                    <a:prstGeom prst="rect">
                      <a:avLst/>
                    </a:prstGeom>
                    <a:noFill/>
                    <a:ln>
                      <a:noFill/>
                    </a:ln>
                  </pic:spPr>
                </pic:pic>
              </a:graphicData>
            </a:graphic>
          </wp:inline>
        </w:drawing>
      </w:r>
      <w:r>
        <w:rPr>
          <w:color w:val="auto"/>
        </w:rPr>
        <w:drawing>
          <wp:inline distT="0" distB="0" distL="114300" distR="114300">
            <wp:extent cx="5852795" cy="7610475"/>
            <wp:effectExtent l="0" t="0" r="14605" b="9525"/>
            <wp:docPr id="6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6"/>
                    <pic:cNvPicPr>
                      <a:picLocks noChangeAspect="1"/>
                    </pic:cNvPicPr>
                  </pic:nvPicPr>
                  <pic:blipFill>
                    <a:blip r:embed="rId316"/>
                    <a:stretch>
                      <a:fillRect/>
                    </a:stretch>
                  </pic:blipFill>
                  <pic:spPr>
                    <a:xfrm>
                      <a:off x="0" y="0"/>
                      <a:ext cx="5852795" cy="7610475"/>
                    </a:xfrm>
                    <a:prstGeom prst="rect">
                      <a:avLst/>
                    </a:prstGeom>
                    <a:noFill/>
                    <a:ln>
                      <a:noFill/>
                    </a:ln>
                  </pic:spPr>
                </pic:pic>
              </a:graphicData>
            </a:graphic>
          </wp:inline>
        </w:drawing>
      </w:r>
    </w:p>
    <w:p>
      <w:pPr>
        <w:rPr>
          <w:rFonts w:hint="default"/>
          <w:lang w:val="en-US" w:eastAsia="zh-CN"/>
        </w:rPr>
        <w:sectPr>
          <w:pgSz w:w="16838" w:h="11906" w:orient="landscape"/>
          <w:pgMar w:top="1800" w:right="1440" w:bottom="1800" w:left="1440" w:header="851" w:footer="992" w:gutter="0"/>
          <w:cols w:space="425" w:num="1"/>
          <w:docGrid w:type="lines" w:linePitch="312" w:charSpace="0"/>
        </w:sectPr>
      </w:pPr>
      <w:r>
        <w:rPr>
          <w:rFonts w:hint="default"/>
          <w:lang w:val="en-US" w:eastAsia="zh-CN"/>
        </w:rPr>
        <w:drawing>
          <wp:anchor distT="0" distB="0" distL="114300" distR="114300" simplePos="0" relativeHeight="251760640" behindDoc="0" locked="0" layoutInCell="1" allowOverlap="1">
            <wp:simplePos x="0" y="0"/>
            <wp:positionH relativeFrom="column">
              <wp:posOffset>652145</wp:posOffset>
            </wp:positionH>
            <wp:positionV relativeFrom="paragraph">
              <wp:posOffset>-2675255</wp:posOffset>
            </wp:positionV>
            <wp:extent cx="7640320" cy="10774045"/>
            <wp:effectExtent l="0" t="0" r="8255" b="17780"/>
            <wp:wrapSquare wrapText="bothSides"/>
            <wp:docPr id="10" name="图片 10" descr="03-建设项目环境影响报告书审批基础信息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3-建设项目环境影响报告书审批基础信息表"/>
                    <pic:cNvPicPr>
                      <a:picLocks noChangeAspect="1"/>
                    </pic:cNvPicPr>
                  </pic:nvPicPr>
                  <pic:blipFill>
                    <a:blip r:embed="rId317"/>
                    <a:stretch>
                      <a:fillRect/>
                    </a:stretch>
                  </pic:blipFill>
                  <pic:spPr>
                    <a:xfrm rot="5400000">
                      <a:off x="0" y="0"/>
                      <a:ext cx="7640320" cy="10774045"/>
                    </a:xfrm>
                    <a:prstGeom prst="rect">
                      <a:avLst/>
                    </a:prstGeom>
                  </pic:spPr>
                </pic:pic>
              </a:graphicData>
            </a:graphic>
          </wp:anchor>
        </w:drawing>
      </w:r>
    </w:p>
    <w:p>
      <w:pPr>
        <w:rPr>
          <w:rFonts w:hint="default"/>
          <w:lang w:val="en-US" w:eastAsia="zh-CN"/>
        </w:rPr>
      </w:pPr>
      <w:bookmarkStart w:id="898" w:name="_GoBack"/>
      <w:bookmarkEnd w:id="898"/>
      <w:r>
        <w:rPr>
          <w:rFonts w:hint="default"/>
          <w:lang w:val="en-US" w:eastAsia="zh-CN"/>
        </w:rPr>
        <w:drawing>
          <wp:anchor distT="0" distB="0" distL="114300" distR="114300" simplePos="0" relativeHeight="251761664" behindDoc="0" locked="0" layoutInCell="1" allowOverlap="1">
            <wp:simplePos x="0" y="0"/>
            <wp:positionH relativeFrom="column">
              <wp:posOffset>-917575</wp:posOffset>
            </wp:positionH>
            <wp:positionV relativeFrom="paragraph">
              <wp:posOffset>-1143000</wp:posOffset>
            </wp:positionV>
            <wp:extent cx="10750550" cy="7601585"/>
            <wp:effectExtent l="0" t="0" r="12700" b="18415"/>
            <wp:wrapSquare wrapText="bothSides"/>
            <wp:docPr id="13" name="图片 13" descr="建设项目环境影响报告书审批基础信息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建设项目环境影响报告书审批基础信息表_01"/>
                    <pic:cNvPicPr>
                      <a:picLocks noChangeAspect="1"/>
                    </pic:cNvPicPr>
                  </pic:nvPicPr>
                  <pic:blipFill>
                    <a:blip r:embed="rId318"/>
                    <a:stretch>
                      <a:fillRect/>
                    </a:stretch>
                  </pic:blipFill>
                  <pic:spPr>
                    <a:xfrm>
                      <a:off x="0" y="0"/>
                      <a:ext cx="10750550" cy="7601585"/>
                    </a:xfrm>
                    <a:prstGeom prst="rect">
                      <a:avLst/>
                    </a:prstGeom>
                  </pic:spPr>
                </pic:pic>
              </a:graphicData>
            </a:graphic>
          </wp:anchor>
        </w:drawing>
      </w:r>
    </w:p>
    <w:sectPr>
      <w:pgSz w:w="16838" w:h="11906" w:orient="landscape"/>
      <w:pgMar w:top="1800" w:right="1440" w:bottom="1800" w:left="144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TT1Do04">
    <w:altName w:val="Courier New"/>
    <w:panose1 w:val="00000000000000000000"/>
    <w:charset w:val="00"/>
    <w:family w:val="auto"/>
    <w:pitch w:val="default"/>
    <w:sig w:usb0="00000000" w:usb1="00000000" w:usb2="00000000" w:usb3="00000000" w:csb0="00000000" w:csb1="00000000"/>
  </w:font>
  <w:font w:name="TT1Do00">
    <w:altName w:val="Courier New"/>
    <w:panose1 w:val="00000000000000000000"/>
    <w:charset w:val="00"/>
    <w:family w:val="auto"/>
    <w:pitch w:val="default"/>
    <w:sig w:usb0="00000000" w:usb1="00000000" w:usb2="00000000" w:usb3="00000000" w:csb0="00000000" w:csb1="00000000"/>
  </w:font>
  <w:font w:name="TT1Do01">
    <w:altName w:val="Courier New"/>
    <w:panose1 w:val="00000000000000000000"/>
    <w:charset w:val="00"/>
    <w:family w:val="auto"/>
    <w:pitch w:val="default"/>
    <w:sig w:usb0="00000000" w:usb1="00000000" w:usb2="00000000" w:usb3="00000000" w:csb0="00000000" w:csb1="00000000"/>
  </w:font>
  <w:font w:name="TT1Do03">
    <w:altName w:val="Courier New"/>
    <w:panose1 w:val="00000000000000000000"/>
    <w:charset w:val="00"/>
    <w:family w:val="auto"/>
    <w:pitch w:val="default"/>
    <w:sig w:usb0="00000000" w:usb1="00000000" w:usb2="00000000" w:usb3="00000000" w:csb0="00000000" w:csb1="00000000"/>
  </w:font>
  <w:font w:name="TT1Do02">
    <w:altName w:val="Courier New"/>
    <w:panose1 w:val="00000000000000000000"/>
    <w:charset w:val="00"/>
    <w:family w:val="auto"/>
    <w:pitch w:val="default"/>
    <w:sig w:usb0="00000000" w:usb1="00000000" w:usb2="00000000" w:usb3="00000000" w:csb0="00000000" w:csb1="00000000"/>
  </w:font>
  <w:font w:name="TimesNewRoman">
    <w:altName w:val="Times New Roman"/>
    <w:panose1 w:val="00000000000000000000"/>
    <w:charset w:val="00"/>
    <w:family w:val="roman"/>
    <w:pitch w:val="default"/>
    <w:sig w:usb0="00000000" w:usb1="00000000" w:usb2="00000000" w:usb3="00000000" w:csb0="00000001" w:csb1="00000000"/>
  </w:font>
  <w:font w:name="TT1Do05">
    <w:altName w:val="Courier New"/>
    <w:panose1 w:val="00000000000000000000"/>
    <w:charset w:val="00"/>
    <w:family w:val="auto"/>
    <w:pitch w:val="default"/>
    <w:sig w:usb0="00000000" w:usb1="00000000" w:usb2="00000000" w:usb3="00000000" w:csb0="00000000" w:csb1="00000000"/>
  </w:font>
  <w:font w:name="新宋体">
    <w:panose1 w:val="02010609030101010101"/>
    <w:charset w:val="86"/>
    <w:family w:val="modern"/>
    <w:pitch w:val="default"/>
    <w:sig w:usb0="00000283" w:usb1="288F0000" w:usb2="0000000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Book Antiqua">
    <w:panose1 w:val="02040602050305030304"/>
    <w:charset w:val="00"/>
    <w:family w:val="roman"/>
    <w:pitch w:val="default"/>
    <w:sig w:usb0="00000287" w:usb1="00000000" w:usb2="00000000" w:usb3="00000000" w:csb0="2000009F" w:csb1="DFD70000"/>
  </w:font>
  <w:font w:name="TT6Bo00">
    <w:altName w:val="宋体"/>
    <w:panose1 w:val="00000000000000000000"/>
    <w:charset w:val="86"/>
    <w:family w:val="auto"/>
    <w:pitch w:val="default"/>
    <w:sig w:usb0="00000000" w:usb1="00000000" w:usb2="00000000" w:usb3="00000000" w:csb0="00040000" w:csb1="00000000"/>
  </w:font>
  <w:font w:name="TT6Bo01">
    <w:altName w:val="ESRI AMFM Electric"/>
    <w:panose1 w:val="00000000000000000000"/>
    <w:charset w:val="00"/>
    <w:family w:val="auto"/>
    <w:pitch w:val="default"/>
    <w:sig w:usb0="00000000" w:usb1="00000000" w:usb2="00000000" w:usb3="00000000" w:csb0="00000000" w:csb1="00000000"/>
  </w:font>
  <w:font w:name="ESRI AMFM Electric">
    <w:panose1 w:val="02000400000000000000"/>
    <w:charset w:val="00"/>
    <w:family w:val="auto"/>
    <w:pitch w:val="default"/>
    <w:sig w:usb0="00000003" w:usb1="00000000" w:usb2="00000000" w:usb3="00000000" w:csb0="00000001" w:csb1="00000000"/>
  </w:font>
  <w:font w:name="TT6Bo03">
    <w:altName w:val="ESRI AMFM Electric"/>
    <w:panose1 w:val="00000000000000000000"/>
    <w:charset w:val="00"/>
    <w:family w:val="auto"/>
    <w:pitch w:val="default"/>
    <w:sig w:usb0="00000000" w:usb1="00000000" w:usb2="00000000" w:usb3="00000000" w:csb0="00000000" w:csb1="00000000"/>
  </w:font>
  <w:font w:name="TimesNewRomanPSMT">
    <w:altName w:val="Times New Roman"/>
    <w:panose1 w:val="00000000000000000000"/>
    <w:charset w:val="00"/>
    <w:family w:val="roman"/>
    <w:pitch w:val="default"/>
    <w:sig w:usb0="00000000" w:usb1="00000000" w:usb2="00000010" w:usb3="00000000" w:csb0="00020001"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59" w:lineRule="auto"/>
      <w:ind w:left="432" w:firstLine="560"/>
      <w:jc w:val="center"/>
    </w:pPr>
    <w:r>
      <w:rPr>
        <w:sz w:val="2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HhY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0zseFiwCAABXBAAADgAAAAAAAAABACAAAAAfAQAAZHJzL2Uyb0RvYy54bWxQSwUGAAAAAAYA&#10;BgBZAQAAvQUAAAAA&#10;">
              <v:fill on="f" focussize="0,0"/>
              <v:stroke on="f" weight="0.5pt"/>
              <v:imagedata o:title=""/>
              <o:lock v:ext="edit" aspectratio="f"/>
              <v:textbox inset="0mm,0mm,0mm,0mm" style="mso-fit-shape-to-text:t;">
                <w:txbxContent>
                  <w:p>
                    <w:pPr>
                      <w:pStyle w:val="29"/>
                      <w:ind w:firstLine="360"/>
                    </w:pPr>
                    <w:r>
                      <w:fldChar w:fldCharType="begin"/>
                    </w:r>
                    <w:r>
                      <w:instrText xml:space="preserve"> PAGE  \* MERGEFORMAT </w:instrText>
                    </w:r>
                    <w:r>
                      <w:fldChar w:fldCharType="separate"/>
                    </w:r>
                    <w:r>
                      <w:t>93</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59" w:lineRule="auto"/>
      <w:ind w:left="432" w:firstLine="560"/>
      <w:jc w:val="center"/>
    </w:pPr>
    <w:r>
      <w:rPr>
        <w:sz w:val="2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0" name="文本框 1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fldChar w:fldCharType="begin"/>
                          </w:r>
                          <w:r>
                            <w:instrText xml:space="preserve"> PAGE  \* MERGEFORMAT </w:instrText>
                          </w:r>
                          <w:r>
                            <w:fldChar w:fldCharType="separate"/>
                          </w:r>
                          <w:r>
                            <w:t>101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BlIYkr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wZSGJKwIAAFkEAAAOAAAAAAAAAAEAIAAAAB8BAABkcnMvZTJvRG9jLnhtbFBLBQYAAAAABgAG&#10;AFkBAAC8BQAAAAA=&#10;">
              <v:fill on="f" focussize="0,0"/>
              <v:stroke on="f" weight="0.5pt"/>
              <v:imagedata o:title=""/>
              <o:lock v:ext="edit" aspectratio="f"/>
              <v:textbox inset="0mm,0mm,0mm,0mm" style="mso-fit-shape-to-text:t;">
                <w:txbxContent>
                  <w:p>
                    <w:pPr>
                      <w:pStyle w:val="29"/>
                      <w:ind w:firstLine="360"/>
                    </w:pPr>
                    <w:r>
                      <w:fldChar w:fldCharType="begin"/>
                    </w:r>
                    <w:r>
                      <w:instrText xml:space="preserve"> PAGE  \* MERGEFORMAT </w:instrText>
                    </w:r>
                    <w:r>
                      <w:fldChar w:fldCharType="separate"/>
                    </w:r>
                    <w:r>
                      <w:t>101</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59" w:lineRule="auto"/>
      <w:ind w:left="432" w:firstLine="560"/>
      <w:jc w:val="center"/>
    </w:pPr>
    <w:r>
      <w:rPr>
        <w:sz w:val="28"/>
      </w:rPr>
      <mc:AlternateContent>
        <mc:Choice Requires="wps">
          <w:drawing>
            <wp:anchor distT="0" distB="0" distL="114300" distR="114300" simplePos="0" relativeHeight="251732992"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fldChar w:fldCharType="begin"/>
                          </w:r>
                          <w:r>
                            <w:instrText xml:space="preserve"> PAGE  \* MERGEFORMAT </w:instrText>
                          </w:r>
                          <w:r>
                            <w:fldChar w:fldCharType="separate"/>
                          </w:r>
                          <w:r>
                            <w:t>126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329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MZTc8s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IxlNzywCAABXBAAADgAAAAAAAAABACAAAAAfAQAAZHJzL2Uyb0RvYy54bWxQSwUGAAAAAAYA&#10;BgBZAQAAvQUAAAAA&#10;">
              <v:fill on="f" focussize="0,0"/>
              <v:stroke on="f" weight="0.5pt"/>
              <v:imagedata o:title=""/>
              <o:lock v:ext="edit" aspectratio="f"/>
              <v:textbox inset="0mm,0mm,0mm,0mm" style="mso-fit-shape-to-text:t;">
                <w:txbxContent>
                  <w:p>
                    <w:pPr>
                      <w:pStyle w:val="29"/>
                      <w:ind w:firstLine="360"/>
                    </w:pPr>
                    <w:r>
                      <w:fldChar w:fldCharType="begin"/>
                    </w:r>
                    <w:r>
                      <w:instrText xml:space="preserve"> PAGE  \* MERGEFORMAT </w:instrText>
                    </w:r>
                    <w:r>
                      <w:fldChar w:fldCharType="separate"/>
                    </w:r>
                    <w:r>
                      <w:t>126</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149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DmEt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n/DmEtAgAAWQQAAA4AAAAAAAAAAQAgAAAAHwEAAGRycy9lMm9Eb2MueG1sUEsFBgAAAAAG&#10;AAYAWQEAAL4FAAAAAA==&#10;">
              <v:fill on="f" focussize="0,0"/>
              <v:stroke on="f" weight="0.5pt"/>
              <v:imagedata o:title=""/>
              <o:lock v:ext="edit" aspectratio="f"/>
              <v:textbox inset="0mm,0mm,0mm,0mm" style="mso-fit-shape-to-text:t;">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149</w:t>
                    </w:r>
                    <w:r>
                      <w:rPr>
                        <w:rFonts w:hint="eastAsia"/>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59" w:lineRule="auto"/>
      <w:ind w:left="432" w:firstLine="560"/>
      <w:jc w:val="center"/>
    </w:pPr>
    <w:r>
      <w:rPr>
        <w:sz w:val="2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fldChar w:fldCharType="begin"/>
                          </w:r>
                          <w:r>
                            <w:instrText xml:space="preserve"> PAGE  \* MERGEFORMAT </w:instrText>
                          </w:r>
                          <w:r>
                            <w:fldChar w:fldCharType="separate"/>
                          </w:r>
                          <w:r>
                            <w:t>126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p>
                    <w:pPr>
                      <w:pStyle w:val="29"/>
                      <w:ind w:firstLine="360"/>
                    </w:pPr>
                    <w:r>
                      <w:fldChar w:fldCharType="begin"/>
                    </w:r>
                    <w:r>
                      <w:instrText xml:space="preserve"> PAGE  \* MERGEFORMAT </w:instrText>
                    </w:r>
                    <w:r>
                      <w:fldChar w:fldCharType="separate"/>
                    </w:r>
                    <w:r>
                      <w:t>126</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149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e9mH4uAgAAWQQAAA4AAABkcnMvZTJvRG9jLnhtbK1UzY7TMBC+I/EO&#10;lu80aYFVqZ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XvZh+LgIAAFkEAAAOAAAAAAAAAAEAIAAAAB8BAABkcnMvZTJvRG9jLnhtbFBLBQYAAAAA&#10;BgAGAFkBAAC/BQAAAAA=&#10;">
              <v:fill on="f" focussize="0,0"/>
              <v:stroke on="f" weight="0.5pt"/>
              <v:imagedata o:title=""/>
              <o:lock v:ext="edit" aspectratio="f"/>
              <v:textbox inset="0mm,0mm,0mm,0mm" style="mso-fit-shape-to-text:t;">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149</w:t>
                    </w:r>
                    <w:r>
                      <w:rPr>
                        <w:rFonts w:hint="eastAsia"/>
                      </w:rP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jc w:val="center"/>
      <w:rPr>
        <w:sz w:val="21"/>
        <w:szCs w:val="21"/>
      </w:rPr>
    </w:pPr>
    <w:r>
      <w:rPr>
        <w:sz w:val="21"/>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384224686"/>
                          </w:sdtPr>
                          <w:sdtEndPr>
                            <w:rPr>
                              <w:sz w:val="21"/>
                              <w:szCs w:val="21"/>
                            </w:rPr>
                          </w:sdtEndPr>
                          <w:sdtContent>
                            <w:p>
                              <w:pPr>
                                <w:pStyle w:val="29"/>
                                <w:ind w:firstLine="36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108</w:t>
                              </w:r>
                              <w:r>
                                <w:rPr>
                                  <w:sz w:val="21"/>
                                  <w:szCs w:val="21"/>
                                </w:rPr>
                                <w:fldChar w:fldCharType="end"/>
                              </w:r>
                            </w:p>
                          </w:sdtContent>
                        </w:sdt>
                        <w:p>
                          <w:pPr>
                            <w:pStyle w:val="3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sdt>
                    <w:sdtPr>
                      <w:id w:val="384224686"/>
                    </w:sdtPr>
                    <w:sdtEndPr>
                      <w:rPr>
                        <w:sz w:val="21"/>
                        <w:szCs w:val="21"/>
                      </w:rPr>
                    </w:sdtEndPr>
                    <w:sdtContent>
                      <w:p>
                        <w:pPr>
                          <w:pStyle w:val="29"/>
                          <w:ind w:firstLine="360"/>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108</w:t>
                        </w:r>
                        <w:r>
                          <w:rPr>
                            <w:sz w:val="21"/>
                            <w:szCs w:val="21"/>
                          </w:rPr>
                          <w:fldChar w:fldCharType="end"/>
                        </w:r>
                      </w:p>
                    </w:sdtContent>
                  </w:sdt>
                  <w:p>
                    <w:pPr>
                      <w:pStyle w:val="37"/>
                    </w:pPr>
                  </w:p>
                </w:txbxContent>
              </v:textbox>
            </v:shape>
          </w:pict>
        </mc:Fallback>
      </mc:AlternateContent>
    </w:r>
  </w:p>
  <w:p>
    <w:pPr>
      <w:pStyle w:val="2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jc w:val="cente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319532825"/>
                          </w:sdtPr>
                          <w:sdtContent>
                            <w:p>
                              <w:pPr>
                                <w:pStyle w:val="29"/>
                                <w:ind w:firstLine="360"/>
                                <w:jc w:val="center"/>
                              </w:pPr>
                              <w:r>
                                <w:fldChar w:fldCharType="begin"/>
                              </w:r>
                              <w:r>
                                <w:instrText xml:space="preserve">PAGE   \* MERGEFORMAT</w:instrText>
                              </w:r>
                              <w:r>
                                <w:fldChar w:fldCharType="separate"/>
                              </w:r>
                              <w:r>
                                <w:t>III</w:t>
                              </w:r>
                              <w:r>
                                <w:fldChar w:fldCharType="end"/>
                              </w:r>
                            </w:p>
                          </w:sdtContent>
                        </w:sdt>
                        <w:p>
                          <w:pPr>
                            <w:pStyle w:val="37"/>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sdt>
                    <w:sdtPr>
                      <w:id w:val="1319532825"/>
                    </w:sdtPr>
                    <w:sdtContent>
                      <w:p>
                        <w:pPr>
                          <w:pStyle w:val="29"/>
                          <w:ind w:firstLine="360"/>
                          <w:jc w:val="center"/>
                        </w:pPr>
                        <w:r>
                          <w:fldChar w:fldCharType="begin"/>
                        </w:r>
                        <w:r>
                          <w:instrText xml:space="preserve">PAGE   \* MERGEFORMAT</w:instrText>
                        </w:r>
                        <w:r>
                          <w:fldChar w:fldCharType="separate"/>
                        </w:r>
                        <w:r>
                          <w:t>III</w:t>
                        </w:r>
                        <w:r>
                          <w:fldChar w:fldCharType="end"/>
                        </w:r>
                      </w:p>
                    </w:sdtContent>
                  </w:sdt>
                  <w:p>
                    <w:pPr>
                      <w:pStyle w:val="37"/>
                    </w:pPr>
                  </w:p>
                </w:txbxContent>
              </v:textbox>
            </v:shape>
          </w:pict>
        </mc:Fallback>
      </mc:AlternateContent>
    </w:r>
  </w:p>
  <w:p>
    <w:pPr>
      <w:pStyle w:val="29"/>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jc w:val="cente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6" name="文本框 1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ubyBszAgAAZ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ubyBszAgAAZQQAAA4AAAAAAAAAAQAgAAAAHwEAAGRycy9lMm9Eb2MueG1sUEsF&#10;BgAAAAAGAAYAWQEAAMQFAAAAAA==&#10;">
              <v:fill on="f" focussize="0,0"/>
              <v:stroke on="f" weight="0.5pt"/>
              <v:imagedata o:title=""/>
              <o:lock v:ext="edit" aspectratio="f"/>
              <v:textbox inset="0mm,0mm,0mm,0mm" style="mso-fit-shape-to-text:t;">
                <w:txbxContent>
                  <w:p>
                    <w:pPr>
                      <w:pStyle w:val="2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p>
    <w:pPr>
      <w:pStyle w:val="2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0" w:firstLineChars="0"/>
                          </w:pPr>
                          <w:r>
                            <w:rPr>
                              <w:rFonts w:hint="eastAsia"/>
                            </w:rPr>
                            <w:fldChar w:fldCharType="begin"/>
                          </w:r>
                          <w:r>
                            <w:rPr>
                              <w:rFonts w:hint="eastAsia"/>
                            </w:rPr>
                            <w:instrText xml:space="preserve"> PAGE  \* MERGEFORMAT </w:instrText>
                          </w:r>
                          <w:r>
                            <w:rPr>
                              <w:rFonts w:hint="eastAsia"/>
                            </w:rPr>
                            <w:fldChar w:fldCharType="separate"/>
                          </w:r>
                          <w:r>
                            <w:t>21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wkLDYuAgAAWQ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cJCw2LgIAAFkEAAAOAAAAAAAAAAEAIAAAAB8BAABkcnMvZTJvRG9jLnhtbFBLBQYAAAAA&#10;BgAGAFkBAAC/BQAAAAA=&#10;">
              <v:fill on="f" focussize="0,0"/>
              <v:stroke on="f" weight="0.5pt"/>
              <v:imagedata o:title=""/>
              <o:lock v:ext="edit" aspectratio="f"/>
              <v:textbox inset="0mm,0mm,0mm,0mm" style="mso-fit-shape-to-text:t;">
                <w:txbxContent>
                  <w:p>
                    <w:pPr>
                      <w:pStyle w:val="29"/>
                      <w:ind w:firstLine="0" w:firstLineChars="0"/>
                    </w:pPr>
                    <w:r>
                      <w:rPr>
                        <w:rFonts w:hint="eastAsia"/>
                      </w:rPr>
                      <w:fldChar w:fldCharType="begin"/>
                    </w:r>
                    <w:r>
                      <w:rPr>
                        <w:rFonts w:hint="eastAsia"/>
                      </w:rPr>
                      <w:instrText xml:space="preserve"> PAGE  \* MERGEFORMAT </w:instrText>
                    </w:r>
                    <w:r>
                      <w:rPr>
                        <w:rFonts w:hint="eastAsia"/>
                      </w:rPr>
                      <w:fldChar w:fldCharType="separate"/>
                    </w:r>
                    <w:r>
                      <w:t>21</w:t>
                    </w:r>
                    <w:r>
                      <w:rPr>
                        <w:rFonts w:hint="eastAsia"/>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71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JScb8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yUnG/KwIAAFcEAAAOAAAAAAAAAAEAIAAAAB8BAABkcnMvZTJvRG9jLnhtbFBLBQYAAAAABgAG&#10;AFkBAAC8BQAAAAA=&#10;">
              <v:fill on="f" focussize="0,0"/>
              <v:stroke on="f" weight="0.5pt"/>
              <v:imagedata o:title=""/>
              <o:lock v:ext="edit" aspectratio="f"/>
              <v:textbox inset="0mm,0mm,0mm,0mm" style="mso-fit-shape-to-text:t;">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71</w:t>
                    </w:r>
                    <w:r>
                      <w:rPr>
                        <w:rFonts w:hint="eastAsia"/>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16" name="文本框 3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74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PeBa0uAgAAW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6Mp5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UK/WRa2emd5&#10;hI7iebs6BgjY6hpF6ZTotULHtZXppyO29J/7Nurpj7B8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j3gWtLgIAAFkEAAAOAAAAAAAAAAEAIAAAAB8BAABkcnMvZTJvRG9jLnhtbFBLBQYAAAAA&#10;BgAGAFkBAAC/BQAAAAA=&#10;">
              <v:fill on="f" focussize="0,0"/>
              <v:stroke on="f" weight="0.5pt"/>
              <v:imagedata o:title=""/>
              <o:lock v:ext="edit" aspectratio="f"/>
              <v:textbox inset="0mm,0mm,0mm,0mm" style="mso-fit-shape-to-text:t;">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74</w:t>
                    </w:r>
                    <w:r>
                      <w:rPr>
                        <w:rFonts w:hint="eastAsia"/>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ind w:firstLine="360"/>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76</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ab3I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pUQzhYqffnw/&#10;/Xw4/fpGcAaBWutniLu3iAzdO9OhbYZzj8PIu6ucil8wIvBD3uNFXtEFwuOl6WQ6zeHi8A0b4GeP&#10;163z4b0wikSjoA71S7Kyw8aHPnQIidm0WTdSphpKTVqQeP0m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9VpvciwCAABXBAAADgAAAAAAAAABACAAAAAfAQAAZHJzL2Uyb0RvYy54bWxQSwUGAAAAAAYA&#10;BgBZAQAAvQUAAAAA&#10;">
              <v:fill on="f" focussize="0,0"/>
              <v:stroke on="f" weight="0.5pt"/>
              <v:imagedata o:title=""/>
              <o:lock v:ext="edit" aspectratio="f"/>
              <v:textbox inset="0mm,0mm,0mm,0mm" style="mso-fit-shape-to-text:t;">
                <w:txbxContent>
                  <w:p>
                    <w:pPr>
                      <w:pStyle w:val="29"/>
                      <w:ind w:firstLine="360"/>
                    </w:pPr>
                    <w:r>
                      <w:rPr>
                        <w:rFonts w:hint="eastAsia"/>
                      </w:rPr>
                      <w:fldChar w:fldCharType="begin"/>
                    </w:r>
                    <w:r>
                      <w:rPr>
                        <w:rFonts w:hint="eastAsia"/>
                      </w:rPr>
                      <w:instrText xml:space="preserve"> PAGE  \* MERGEFORMAT </w:instrText>
                    </w:r>
                    <w:r>
                      <w:rPr>
                        <w:rFonts w:hint="eastAsia"/>
                      </w:rPr>
                      <w:fldChar w:fldCharType="separate"/>
                    </w:r>
                    <w:r>
                      <w:t>76</w:t>
                    </w:r>
                    <w:r>
                      <w:rPr>
                        <w:rFonts w:hint="eastAsia"/>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single" w:color="auto" w:sz="4" w:space="1"/>
      </w:pBdr>
      <w:ind w:firstLine="0" w:firstLineChars="0"/>
      <w:jc w:val="center"/>
      <w:rPr>
        <w:sz w:val="21"/>
        <w:szCs w:val="21"/>
      </w:rPr>
    </w:pPr>
    <w:r>
      <w:rPr>
        <w:rFonts w:hint="eastAsia"/>
        <w:sz w:val="21"/>
        <w:szCs w:val="21"/>
        <w:lang w:eastAsia="zh-CN"/>
      </w:rPr>
      <w:t>岫岩满族自治县苏子沟镇大何家堡村钾长石矿年开采15万ta钾长石矿石项目</w:t>
    </w:r>
    <w:r>
      <w:rPr>
        <w:rFonts w:hint="eastAsia"/>
        <w:sz w:val="21"/>
        <w:szCs w:val="21"/>
      </w:rPr>
      <w:t>环境影响报告书</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ind w:firstLine="360"/>
    </w:pPr>
  </w:p>
  <w:p>
    <w:pPr>
      <w:pStyle w:val="30"/>
      <w:pBdr>
        <w:bottom w:val="single" w:color="auto" w:sz="4" w:space="1"/>
      </w:pBdr>
      <w:spacing w:line="240" w:lineRule="auto"/>
      <w:ind w:firstLine="0" w:firstLineChars="0"/>
      <w:rPr>
        <w:sz w:val="21"/>
        <w:szCs w:val="21"/>
      </w:rPr>
    </w:pPr>
    <w:r>
      <w:rPr>
        <w:rFonts w:hint="eastAsia"/>
        <w:sz w:val="21"/>
        <w:szCs w:val="21"/>
        <w:lang w:eastAsia="zh-CN"/>
      </w:rPr>
      <w:t>岫岩满族自治县苏子沟镇大何家堡村钾长石矿开采15万ta钾长石矿石项目</w:t>
    </w:r>
    <w:r>
      <w:rPr>
        <w:rFonts w:hint="eastAsia"/>
        <w:sz w:val="21"/>
        <w:szCs w:val="21"/>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single" w:color="auto" w:sz="4" w:space="1"/>
      </w:pBdr>
      <w:ind w:firstLine="0" w:firstLineChars="0"/>
      <w:jc w:val="center"/>
      <w:rPr>
        <w:sz w:val="21"/>
        <w:szCs w:val="21"/>
      </w:rPr>
    </w:pPr>
    <w:r>
      <w:rPr>
        <w:rFonts w:hint="eastAsia"/>
        <w:sz w:val="21"/>
        <w:szCs w:val="21"/>
        <w:lang w:eastAsia="zh-CN"/>
      </w:rPr>
      <w:t>岫岩满族自治县苏子沟镇大何家堡村钾长石矿开采15万t</w:t>
    </w:r>
    <w:r>
      <w:rPr>
        <w:rFonts w:hint="eastAsia"/>
        <w:sz w:val="21"/>
        <w:szCs w:val="21"/>
        <w:lang w:val="en-US" w:eastAsia="zh-CN"/>
      </w:rPr>
      <w:t>/</w:t>
    </w:r>
    <w:r>
      <w:rPr>
        <w:rFonts w:hint="eastAsia"/>
        <w:sz w:val="21"/>
        <w:szCs w:val="21"/>
        <w:lang w:eastAsia="zh-CN"/>
      </w:rPr>
      <w:t>a钾长石矿石项目</w:t>
    </w:r>
    <w:r>
      <w:rPr>
        <w:rFonts w:hint="eastAsia"/>
        <w:sz w:val="21"/>
        <w:szCs w:val="21"/>
      </w:rPr>
      <w:t>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single" w:color="auto" w:sz="4" w:space="1"/>
      </w:pBdr>
      <w:ind w:firstLine="0" w:firstLineChars="0"/>
      <w:jc w:val="center"/>
      <w:rPr>
        <w:sz w:val="21"/>
        <w:szCs w:val="21"/>
      </w:rPr>
    </w:pPr>
    <w:r>
      <w:rPr>
        <w:rFonts w:hint="eastAsia"/>
        <w:sz w:val="21"/>
        <w:szCs w:val="21"/>
        <w:lang w:eastAsia="zh-CN"/>
      </w:rPr>
      <w:t>岫岩满族自治县苏子沟镇大何家堡村钾长石矿年开采15万ta钾长石矿石项目</w:t>
    </w:r>
    <w:r>
      <w:rPr>
        <w:rFonts w:hint="eastAsia"/>
        <w:sz w:val="21"/>
        <w:szCs w:val="21"/>
      </w:rPr>
      <w:t>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bidi w:val="0"/>
    </w:pPr>
    <w:r>
      <w:rPr>
        <w:rFonts w:hint="eastAsia"/>
        <w:lang w:eastAsia="zh-CN"/>
      </w:rPr>
      <w:t>岫岩满族自治县苏子沟镇大何家堡村钾长石矿开采15万t</w:t>
    </w:r>
    <w:r>
      <w:rPr>
        <w:rFonts w:hint="eastAsia"/>
        <w:lang w:val="en-US" w:eastAsia="zh-CN"/>
      </w:rPr>
      <w:t>/</w:t>
    </w:r>
    <w:r>
      <w:rPr>
        <w:rFonts w:hint="eastAsia"/>
        <w:lang w:eastAsia="zh-CN"/>
      </w:rPr>
      <w:t>a钾长石矿石项目</w:t>
    </w:r>
    <w:r>
      <w:rPr>
        <w:rFonts w:hint="eastAsia"/>
      </w:rPr>
      <w:t>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single" w:color="auto" w:sz="4" w:space="1"/>
      </w:pBdr>
      <w:ind w:firstLine="0" w:firstLineChars="0"/>
      <w:jc w:val="center"/>
      <w:rPr>
        <w:sz w:val="21"/>
        <w:szCs w:val="21"/>
      </w:rPr>
    </w:pPr>
    <w:r>
      <w:rPr>
        <w:rFonts w:hint="eastAsia"/>
        <w:sz w:val="21"/>
        <w:szCs w:val="21"/>
        <w:lang w:eastAsia="zh-CN"/>
      </w:rPr>
      <w:t>岫岩满族自治县苏子沟镇大何家堡村钾长石矿开采15万t</w:t>
    </w:r>
    <w:r>
      <w:rPr>
        <w:rFonts w:hint="eastAsia"/>
        <w:sz w:val="21"/>
        <w:szCs w:val="21"/>
        <w:lang w:val="en-US" w:eastAsia="zh-CN"/>
      </w:rPr>
      <w:t>/</w:t>
    </w:r>
    <w:r>
      <w:rPr>
        <w:rFonts w:hint="eastAsia"/>
        <w:sz w:val="21"/>
        <w:szCs w:val="21"/>
        <w:lang w:eastAsia="zh-CN"/>
      </w:rPr>
      <w:t>a钾长石矿石项目</w:t>
    </w:r>
    <w:r>
      <w:rPr>
        <w:rFonts w:hint="eastAsia"/>
        <w:sz w:val="21"/>
        <w:szCs w:val="21"/>
      </w:rPr>
      <w:t>环境影响报告书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single" w:color="auto" w:sz="4" w:space="1"/>
      </w:pBdr>
      <w:ind w:firstLine="0" w:firstLineChars="0"/>
      <w:jc w:val="center"/>
      <w:rPr>
        <w:sz w:val="21"/>
        <w:szCs w:val="21"/>
      </w:rPr>
    </w:pPr>
    <w:r>
      <w:rPr>
        <w:rFonts w:hint="eastAsia"/>
        <w:sz w:val="21"/>
        <w:szCs w:val="21"/>
        <w:lang w:eastAsia="zh-CN"/>
      </w:rPr>
      <w:t>岫岩满族自治县苏子沟镇大何家堡村钾长石矿开采15万t</w:t>
    </w:r>
    <w:r>
      <w:rPr>
        <w:rFonts w:hint="eastAsia"/>
        <w:sz w:val="21"/>
        <w:szCs w:val="21"/>
        <w:lang w:val="en-US" w:eastAsia="zh-CN"/>
      </w:rPr>
      <w:t>/</w:t>
    </w:r>
    <w:r>
      <w:rPr>
        <w:rFonts w:hint="eastAsia"/>
        <w:sz w:val="21"/>
        <w:szCs w:val="21"/>
        <w:lang w:eastAsia="zh-CN"/>
      </w:rPr>
      <w:t>a钾长石矿石项目</w:t>
    </w:r>
    <w:r>
      <w:rPr>
        <w:rFonts w:hint="eastAsia"/>
        <w:sz w:val="21"/>
        <w:szCs w:val="21"/>
      </w:rPr>
      <w:t>环境影响报告书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single" w:color="auto" w:sz="4" w:space="1"/>
      </w:pBdr>
      <w:ind w:firstLine="0" w:firstLineChars="0"/>
      <w:jc w:val="center"/>
      <w:rPr>
        <w:sz w:val="21"/>
        <w:szCs w:val="21"/>
      </w:rPr>
    </w:pPr>
    <w:r>
      <w:rPr>
        <w:rFonts w:hint="eastAsia"/>
        <w:sz w:val="21"/>
        <w:szCs w:val="21"/>
        <w:lang w:eastAsia="zh-CN"/>
      </w:rPr>
      <w:t>岫岩满族自治县苏子沟镇大何家堡村钾长石矿年开采15万ta钾长石矿石项目</w:t>
    </w:r>
    <w:r>
      <w:rPr>
        <w:rFonts w:hint="eastAsia"/>
        <w:sz w:val="21"/>
        <w:szCs w:val="21"/>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A41DD7"/>
    <w:multiLevelType w:val="singleLevel"/>
    <w:tmpl w:val="A5A41DD7"/>
    <w:lvl w:ilvl="0" w:tentative="0">
      <w:start w:val="2"/>
      <w:numFmt w:val="chineseCounting"/>
      <w:suff w:val="nothing"/>
      <w:lvlText w:val="%1、"/>
      <w:lvlJc w:val="left"/>
      <w:rPr>
        <w:rFonts w:hint="eastAsia"/>
      </w:rPr>
    </w:lvl>
  </w:abstractNum>
  <w:abstractNum w:abstractNumId="1">
    <w:nsid w:val="ACA28EA1"/>
    <w:multiLevelType w:val="singleLevel"/>
    <w:tmpl w:val="ACA28EA1"/>
    <w:lvl w:ilvl="0" w:tentative="0">
      <w:start w:val="2"/>
      <w:numFmt w:val="decimal"/>
      <w:suff w:val="nothing"/>
      <w:lvlText w:val="%1、"/>
      <w:lvlJc w:val="left"/>
    </w:lvl>
  </w:abstractNum>
  <w:abstractNum w:abstractNumId="2">
    <w:nsid w:val="BE2AD9E2"/>
    <w:multiLevelType w:val="singleLevel"/>
    <w:tmpl w:val="BE2AD9E2"/>
    <w:lvl w:ilvl="0" w:tentative="0">
      <w:start w:val="1"/>
      <w:numFmt w:val="lowerLetter"/>
      <w:suff w:val="nothing"/>
      <w:lvlText w:val="%1）"/>
      <w:lvlJc w:val="left"/>
    </w:lvl>
  </w:abstractNum>
  <w:abstractNum w:abstractNumId="3">
    <w:nsid w:val="C39CDD08"/>
    <w:multiLevelType w:val="singleLevel"/>
    <w:tmpl w:val="C39CDD08"/>
    <w:lvl w:ilvl="0" w:tentative="0">
      <w:start w:val="1"/>
      <w:numFmt w:val="decimal"/>
      <w:suff w:val="nothing"/>
      <w:lvlText w:val="（%1）"/>
      <w:lvlJc w:val="left"/>
      <w:pPr>
        <w:ind w:left="-2"/>
      </w:pPr>
    </w:lvl>
  </w:abstractNum>
  <w:abstractNum w:abstractNumId="4">
    <w:nsid w:val="D51E52D0"/>
    <w:multiLevelType w:val="singleLevel"/>
    <w:tmpl w:val="D51E52D0"/>
    <w:lvl w:ilvl="0" w:tentative="0">
      <w:start w:val="1"/>
      <w:numFmt w:val="decimal"/>
      <w:suff w:val="nothing"/>
      <w:lvlText w:val="（%1）"/>
      <w:lvlJc w:val="left"/>
    </w:lvl>
  </w:abstractNum>
  <w:abstractNum w:abstractNumId="5">
    <w:nsid w:val="EF051DD4"/>
    <w:multiLevelType w:val="singleLevel"/>
    <w:tmpl w:val="EF051DD4"/>
    <w:lvl w:ilvl="0" w:tentative="0">
      <w:start w:val="1"/>
      <w:numFmt w:val="chineseCounting"/>
      <w:suff w:val="nothing"/>
      <w:lvlText w:val="第%1，"/>
      <w:lvlJc w:val="left"/>
      <w:rPr>
        <w:rFonts w:hint="eastAsia"/>
      </w:rPr>
    </w:lvl>
  </w:abstractNum>
  <w:abstractNum w:abstractNumId="6">
    <w:nsid w:val="F8DBC668"/>
    <w:multiLevelType w:val="singleLevel"/>
    <w:tmpl w:val="F8DBC668"/>
    <w:lvl w:ilvl="0" w:tentative="0">
      <w:start w:val="1"/>
      <w:numFmt w:val="decimal"/>
      <w:suff w:val="nothing"/>
      <w:lvlText w:val="%1、"/>
      <w:lvlJc w:val="left"/>
      <w:pPr>
        <w:ind w:left="-2"/>
      </w:pPr>
    </w:lvl>
  </w:abstractNum>
  <w:abstractNum w:abstractNumId="7">
    <w:nsid w:val="00000007"/>
    <w:multiLevelType w:val="singleLevel"/>
    <w:tmpl w:val="00000007"/>
    <w:lvl w:ilvl="0" w:tentative="0">
      <w:start w:val="1"/>
      <w:numFmt w:val="bullet"/>
      <w:pStyle w:val="270"/>
      <w:lvlText w:val=""/>
      <w:lvlJc w:val="left"/>
      <w:pPr>
        <w:tabs>
          <w:tab w:val="left" w:pos="2040"/>
        </w:tabs>
        <w:ind w:left="2040" w:hanging="360"/>
      </w:pPr>
      <w:rPr>
        <w:rFonts w:hint="default" w:ascii="Wingdings" w:hAnsi="Wingdings"/>
      </w:rPr>
    </w:lvl>
  </w:abstractNum>
  <w:abstractNum w:abstractNumId="8">
    <w:nsid w:val="0F7D4ED5"/>
    <w:multiLevelType w:val="singleLevel"/>
    <w:tmpl w:val="0F7D4ED5"/>
    <w:lvl w:ilvl="0" w:tentative="0">
      <w:start w:val="1"/>
      <w:numFmt w:val="decimal"/>
      <w:suff w:val="nothing"/>
      <w:lvlText w:val="（%1）"/>
      <w:lvlJc w:val="left"/>
    </w:lvl>
  </w:abstractNum>
  <w:abstractNum w:abstractNumId="9">
    <w:nsid w:val="16CBBDC2"/>
    <w:multiLevelType w:val="singleLevel"/>
    <w:tmpl w:val="16CBBDC2"/>
    <w:lvl w:ilvl="0" w:tentative="0">
      <w:start w:val="1"/>
      <w:numFmt w:val="decimal"/>
      <w:suff w:val="nothing"/>
      <w:lvlText w:val="（%1）"/>
      <w:lvlJc w:val="left"/>
    </w:lvl>
  </w:abstractNum>
  <w:abstractNum w:abstractNumId="10">
    <w:nsid w:val="1A9A4702"/>
    <w:multiLevelType w:val="multilevel"/>
    <w:tmpl w:val="1A9A4702"/>
    <w:lvl w:ilvl="0" w:tentative="0">
      <w:start w:val="1"/>
      <w:numFmt w:val="decimal"/>
      <w:lvlText w:val="（%1）"/>
      <w:lvlJc w:val="left"/>
      <w:pPr>
        <w:ind w:left="1200" w:hanging="720"/>
      </w:pPr>
      <w:rPr>
        <w:rFonts w:hint="default"/>
      </w:rPr>
    </w:lvl>
    <w:lvl w:ilvl="1" w:tentative="0">
      <w:start w:val="1"/>
      <w:numFmt w:val="decimalEnclosedCircle"/>
      <w:lvlText w:val="%2"/>
      <w:lvlJc w:val="left"/>
      <w:pPr>
        <w:ind w:left="928" w:hanging="360"/>
      </w:pPr>
      <w:rPr>
        <w:rFonts w:hint="default" w:ascii="宋体" w:hAnsi="宋体" w:cs="宋体"/>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1C2BC032"/>
    <w:multiLevelType w:val="singleLevel"/>
    <w:tmpl w:val="1C2BC032"/>
    <w:lvl w:ilvl="0" w:tentative="0">
      <w:start w:val="2"/>
      <w:numFmt w:val="decimal"/>
      <w:suff w:val="nothing"/>
      <w:lvlText w:val="%1、"/>
      <w:lvlJc w:val="left"/>
    </w:lvl>
  </w:abstractNum>
  <w:abstractNum w:abstractNumId="12">
    <w:nsid w:val="2018DFED"/>
    <w:multiLevelType w:val="singleLevel"/>
    <w:tmpl w:val="2018DFED"/>
    <w:lvl w:ilvl="0" w:tentative="0">
      <w:start w:val="1"/>
      <w:numFmt w:val="decimal"/>
      <w:suff w:val="nothing"/>
      <w:lvlText w:val="%1）"/>
      <w:lvlJc w:val="left"/>
    </w:lvl>
  </w:abstractNum>
  <w:abstractNum w:abstractNumId="13">
    <w:nsid w:val="257F6C09"/>
    <w:multiLevelType w:val="singleLevel"/>
    <w:tmpl w:val="257F6C09"/>
    <w:lvl w:ilvl="0" w:tentative="0">
      <w:start w:val="1"/>
      <w:numFmt w:val="decimal"/>
      <w:suff w:val="nothing"/>
      <w:lvlText w:val="（%1）"/>
      <w:lvlJc w:val="left"/>
    </w:lvl>
  </w:abstractNum>
  <w:abstractNum w:abstractNumId="14">
    <w:nsid w:val="3667DD03"/>
    <w:multiLevelType w:val="singleLevel"/>
    <w:tmpl w:val="3667DD03"/>
    <w:lvl w:ilvl="0" w:tentative="0">
      <w:start w:val="1"/>
      <w:numFmt w:val="decimal"/>
      <w:suff w:val="nothing"/>
      <w:lvlText w:val="%1、"/>
      <w:lvlJc w:val="left"/>
      <w:pPr>
        <w:ind w:left="-2"/>
      </w:pPr>
    </w:lvl>
  </w:abstractNum>
  <w:abstractNum w:abstractNumId="15">
    <w:nsid w:val="3DDFD111"/>
    <w:multiLevelType w:val="multilevel"/>
    <w:tmpl w:val="3DDFD111"/>
    <w:lvl w:ilvl="0" w:tentative="0">
      <w:start w:val="1"/>
      <w:numFmt w:val="decimal"/>
      <w:pStyle w:val="3"/>
      <w:lvlText w:val="%1"/>
      <w:lvlJc w:val="left"/>
      <w:pPr>
        <w:ind w:left="0" w:firstLine="0"/>
      </w:pPr>
      <w:rPr>
        <w:rFonts w:hint="default" w:ascii="Times New Roman" w:hAnsi="Times New Roman" w:eastAsia="宋体" w:cs="宋体"/>
        <w:b/>
      </w:rPr>
    </w:lvl>
    <w:lvl w:ilvl="1" w:tentative="0">
      <w:start w:val="1"/>
      <w:numFmt w:val="decimal"/>
      <w:pStyle w:val="4"/>
      <w:lvlText w:val="%1.%2"/>
      <w:lvlJc w:val="left"/>
      <w:pPr>
        <w:ind w:left="0" w:firstLine="0"/>
      </w:pPr>
      <w:rPr>
        <w:rFonts w:hint="default" w:ascii="Times New Roman" w:hAnsi="Times New Roman" w:eastAsia="宋体" w:cs="宋体"/>
        <w:b/>
        <w:sz w:val="32"/>
        <w:szCs w:val="32"/>
      </w:rPr>
    </w:lvl>
    <w:lvl w:ilvl="2" w:tentative="0">
      <w:start w:val="1"/>
      <w:numFmt w:val="decimal"/>
      <w:pStyle w:val="5"/>
      <w:lvlText w:val="%1.%2.%3"/>
      <w:lvlJc w:val="left"/>
      <w:pPr>
        <w:ind w:left="720" w:firstLine="0"/>
      </w:pPr>
      <w:rPr>
        <w:rFonts w:hint="default" w:ascii="Times New Roman" w:hAnsi="Times New Roman" w:eastAsia="宋体" w:cs="宋体"/>
        <w:b/>
        <w:sz w:val="24"/>
        <w:szCs w:val="24"/>
      </w:rPr>
    </w:lvl>
    <w:lvl w:ilvl="3" w:tentative="0">
      <w:start w:val="1"/>
      <w:numFmt w:val="decimal"/>
      <w:pStyle w:val="6"/>
      <w:lvlText w:val="%12.%2.%3.%4"/>
      <w:lvlJc w:val="left"/>
      <w:pPr>
        <w:ind w:left="0" w:firstLine="0"/>
      </w:pPr>
      <w:rPr>
        <w:rFonts w:hint="eastAsia" w:ascii="Times New Roman" w:hAnsi="Times New Roman"/>
        <w:b/>
        <w:sz w:val="24"/>
        <w:szCs w:val="24"/>
      </w:rPr>
    </w:lvl>
    <w:lvl w:ilvl="4" w:tentative="0">
      <w:start w:val="1"/>
      <w:numFmt w:val="decimal"/>
      <w:lvlText w:val="%12.%2.%3.%4.%5"/>
      <w:lvlJc w:val="left"/>
      <w:pPr>
        <w:ind w:left="0" w:firstLine="0"/>
      </w:pPr>
      <w:rPr>
        <w:rFonts w:hint="eastAsia" w:ascii="Times New Roman" w:hAnsi="Times New Roman"/>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16">
    <w:nsid w:val="424E8D4B"/>
    <w:multiLevelType w:val="singleLevel"/>
    <w:tmpl w:val="424E8D4B"/>
    <w:lvl w:ilvl="0" w:tentative="0">
      <w:start w:val="1"/>
      <w:numFmt w:val="decimal"/>
      <w:suff w:val="nothing"/>
      <w:lvlText w:val="（%1）"/>
      <w:lvlJc w:val="left"/>
    </w:lvl>
  </w:abstractNum>
  <w:abstractNum w:abstractNumId="17">
    <w:nsid w:val="4E8D3B10"/>
    <w:multiLevelType w:val="singleLevel"/>
    <w:tmpl w:val="4E8D3B10"/>
    <w:lvl w:ilvl="0" w:tentative="0">
      <w:start w:val="1"/>
      <w:numFmt w:val="decimal"/>
      <w:suff w:val="nothing"/>
      <w:lvlText w:val="%1、"/>
      <w:lvlJc w:val="left"/>
    </w:lvl>
  </w:abstractNum>
  <w:abstractNum w:abstractNumId="18">
    <w:nsid w:val="639A5854"/>
    <w:multiLevelType w:val="singleLevel"/>
    <w:tmpl w:val="639A5854"/>
    <w:lvl w:ilvl="0" w:tentative="0">
      <w:start w:val="1"/>
      <w:numFmt w:val="decimal"/>
      <w:suff w:val="nothing"/>
      <w:lvlText w:val="（%1）"/>
      <w:lvlJc w:val="left"/>
    </w:lvl>
  </w:abstractNum>
  <w:abstractNum w:abstractNumId="19">
    <w:nsid w:val="63F15B20"/>
    <w:multiLevelType w:val="multilevel"/>
    <w:tmpl w:val="63F15B20"/>
    <w:lvl w:ilvl="0" w:tentative="0">
      <w:start w:val="1"/>
      <w:numFmt w:val="decimal"/>
      <w:lvlText w:val="（%1）"/>
      <w:lvlJc w:val="left"/>
      <w:pPr>
        <w:ind w:left="1440" w:hanging="720"/>
      </w:pPr>
      <w:rPr>
        <w:rFonts w:hint="default"/>
      </w:rPr>
    </w:lvl>
    <w:lvl w:ilvl="1" w:tentative="0">
      <w:start w:val="1"/>
      <w:numFmt w:val="decimal"/>
      <w:lvlText w:val="%2）"/>
      <w:lvlJc w:val="left"/>
      <w:pPr>
        <w:ind w:left="1260" w:hanging="360"/>
      </w:pPr>
      <w:rPr>
        <w:rFonts w:hint="default"/>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0">
    <w:nsid w:val="72992378"/>
    <w:multiLevelType w:val="singleLevel"/>
    <w:tmpl w:val="72992378"/>
    <w:lvl w:ilvl="0" w:tentative="0">
      <w:start w:val="1"/>
      <w:numFmt w:val="decimal"/>
      <w:suff w:val="nothing"/>
      <w:lvlText w:val="（%1）"/>
      <w:lvlJc w:val="left"/>
    </w:lvl>
  </w:abstractNum>
  <w:num w:numId="1">
    <w:abstractNumId w:val="15"/>
  </w:num>
  <w:num w:numId="2">
    <w:abstractNumId w:val="7"/>
  </w:num>
  <w:num w:numId="3">
    <w:abstractNumId w:val="16"/>
  </w:num>
  <w:num w:numId="4">
    <w:abstractNumId w:val="18"/>
  </w:num>
  <w:num w:numId="5">
    <w:abstractNumId w:val="20"/>
  </w:num>
  <w:num w:numId="6">
    <w:abstractNumId w:val="8"/>
  </w:num>
  <w:num w:numId="7">
    <w:abstractNumId w:val="3"/>
  </w:num>
  <w:num w:numId="8">
    <w:abstractNumId w:val="12"/>
  </w:num>
  <w:num w:numId="9">
    <w:abstractNumId w:val="1"/>
  </w:num>
  <w:num w:numId="10">
    <w:abstractNumId w:val="11"/>
  </w:num>
  <w:num w:numId="11">
    <w:abstractNumId w:val="14"/>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13"/>
  </w:num>
  <w:num w:numId="15">
    <w:abstractNumId w:val="6"/>
  </w:num>
  <w:num w:numId="16">
    <w:abstractNumId w:val="10"/>
  </w:num>
  <w:num w:numId="17">
    <w:abstractNumId w:val="19"/>
  </w:num>
  <w:num w:numId="18">
    <w:abstractNumId w:val="17"/>
  </w:num>
  <w:num w:numId="19">
    <w:abstractNumId w:val="5"/>
  </w:num>
  <w:num w:numId="20">
    <w:abstractNumId w:val="0"/>
  </w:num>
  <w:num w:numId="21">
    <w:abstractNumId w:val="2"/>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displayBackgroundShape w:val="1"/>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QyMDk1OGFiZmUzYzc0OGQyMTc1NWRhM2RjOTE1YmUifQ=="/>
  </w:docVars>
  <w:rsids>
    <w:rsidRoot w:val="00172A27"/>
    <w:rsid w:val="000063CD"/>
    <w:rsid w:val="000070C2"/>
    <w:rsid w:val="000075F9"/>
    <w:rsid w:val="00007B87"/>
    <w:rsid w:val="000124F7"/>
    <w:rsid w:val="00012A6C"/>
    <w:rsid w:val="00012BF2"/>
    <w:rsid w:val="000171D9"/>
    <w:rsid w:val="00023082"/>
    <w:rsid w:val="0002396A"/>
    <w:rsid w:val="00023FD9"/>
    <w:rsid w:val="0002509E"/>
    <w:rsid w:val="00025495"/>
    <w:rsid w:val="000255A2"/>
    <w:rsid w:val="000272ED"/>
    <w:rsid w:val="000310ED"/>
    <w:rsid w:val="00031939"/>
    <w:rsid w:val="00032478"/>
    <w:rsid w:val="00036627"/>
    <w:rsid w:val="000372AC"/>
    <w:rsid w:val="00041B96"/>
    <w:rsid w:val="00042171"/>
    <w:rsid w:val="0004396B"/>
    <w:rsid w:val="00043A4E"/>
    <w:rsid w:val="000443D1"/>
    <w:rsid w:val="00045707"/>
    <w:rsid w:val="0004588E"/>
    <w:rsid w:val="00046D9C"/>
    <w:rsid w:val="00052567"/>
    <w:rsid w:val="00055DCA"/>
    <w:rsid w:val="00060A52"/>
    <w:rsid w:val="00061523"/>
    <w:rsid w:val="000636D3"/>
    <w:rsid w:val="00064390"/>
    <w:rsid w:val="00064FF6"/>
    <w:rsid w:val="00066EBC"/>
    <w:rsid w:val="0007148E"/>
    <w:rsid w:val="00074BD9"/>
    <w:rsid w:val="00074F95"/>
    <w:rsid w:val="00075F22"/>
    <w:rsid w:val="000770D8"/>
    <w:rsid w:val="000776AA"/>
    <w:rsid w:val="00086000"/>
    <w:rsid w:val="000903BF"/>
    <w:rsid w:val="00094899"/>
    <w:rsid w:val="000A1027"/>
    <w:rsid w:val="000A5698"/>
    <w:rsid w:val="000B1174"/>
    <w:rsid w:val="000B15F5"/>
    <w:rsid w:val="000B5CFB"/>
    <w:rsid w:val="000B727C"/>
    <w:rsid w:val="000B7850"/>
    <w:rsid w:val="000C0379"/>
    <w:rsid w:val="000C2A79"/>
    <w:rsid w:val="000D00E6"/>
    <w:rsid w:val="000D119B"/>
    <w:rsid w:val="000D4E52"/>
    <w:rsid w:val="000D77B7"/>
    <w:rsid w:val="000E0E62"/>
    <w:rsid w:val="000E1782"/>
    <w:rsid w:val="000E4613"/>
    <w:rsid w:val="000E4919"/>
    <w:rsid w:val="000E6D41"/>
    <w:rsid w:val="000E7CCF"/>
    <w:rsid w:val="000E7CDF"/>
    <w:rsid w:val="000F1FC3"/>
    <w:rsid w:val="000F263E"/>
    <w:rsid w:val="000F33B1"/>
    <w:rsid w:val="000F34C5"/>
    <w:rsid w:val="000F525B"/>
    <w:rsid w:val="000F5E40"/>
    <w:rsid w:val="000F7BFC"/>
    <w:rsid w:val="00100C82"/>
    <w:rsid w:val="00101AE9"/>
    <w:rsid w:val="001020E1"/>
    <w:rsid w:val="0010376C"/>
    <w:rsid w:val="00104769"/>
    <w:rsid w:val="00104BFC"/>
    <w:rsid w:val="00104F50"/>
    <w:rsid w:val="00107489"/>
    <w:rsid w:val="00107E65"/>
    <w:rsid w:val="00111A4F"/>
    <w:rsid w:val="00111DE0"/>
    <w:rsid w:val="00112DB5"/>
    <w:rsid w:val="00113465"/>
    <w:rsid w:val="00116A1C"/>
    <w:rsid w:val="00121E65"/>
    <w:rsid w:val="00123694"/>
    <w:rsid w:val="00123B95"/>
    <w:rsid w:val="001256E5"/>
    <w:rsid w:val="00130873"/>
    <w:rsid w:val="001333F2"/>
    <w:rsid w:val="00135D1A"/>
    <w:rsid w:val="00135EC2"/>
    <w:rsid w:val="00137BB1"/>
    <w:rsid w:val="001438A8"/>
    <w:rsid w:val="00145D9A"/>
    <w:rsid w:val="001511BB"/>
    <w:rsid w:val="0015462F"/>
    <w:rsid w:val="00161983"/>
    <w:rsid w:val="00162022"/>
    <w:rsid w:val="00162527"/>
    <w:rsid w:val="0016294F"/>
    <w:rsid w:val="00164C08"/>
    <w:rsid w:val="00164CD7"/>
    <w:rsid w:val="0016666F"/>
    <w:rsid w:val="0016670A"/>
    <w:rsid w:val="00166D50"/>
    <w:rsid w:val="00171C49"/>
    <w:rsid w:val="00175B4B"/>
    <w:rsid w:val="00175D7F"/>
    <w:rsid w:val="0017643D"/>
    <w:rsid w:val="00176BED"/>
    <w:rsid w:val="00176D17"/>
    <w:rsid w:val="00180F5E"/>
    <w:rsid w:val="00182F68"/>
    <w:rsid w:val="001834AB"/>
    <w:rsid w:val="00187465"/>
    <w:rsid w:val="0019010D"/>
    <w:rsid w:val="00190433"/>
    <w:rsid w:val="00190658"/>
    <w:rsid w:val="0019157B"/>
    <w:rsid w:val="00191B91"/>
    <w:rsid w:val="00191B9C"/>
    <w:rsid w:val="0019304A"/>
    <w:rsid w:val="00193E9B"/>
    <w:rsid w:val="00194DE0"/>
    <w:rsid w:val="001958D0"/>
    <w:rsid w:val="0019694E"/>
    <w:rsid w:val="00196CE8"/>
    <w:rsid w:val="00197CCB"/>
    <w:rsid w:val="00197D16"/>
    <w:rsid w:val="001A1AEE"/>
    <w:rsid w:val="001A6125"/>
    <w:rsid w:val="001B05F3"/>
    <w:rsid w:val="001B0B3F"/>
    <w:rsid w:val="001B2A6D"/>
    <w:rsid w:val="001B2C76"/>
    <w:rsid w:val="001B36FB"/>
    <w:rsid w:val="001B5A71"/>
    <w:rsid w:val="001B5F3B"/>
    <w:rsid w:val="001C4AEC"/>
    <w:rsid w:val="001C548E"/>
    <w:rsid w:val="001C6601"/>
    <w:rsid w:val="001C7385"/>
    <w:rsid w:val="001C77BF"/>
    <w:rsid w:val="001D1F21"/>
    <w:rsid w:val="001D1F84"/>
    <w:rsid w:val="001D1FAD"/>
    <w:rsid w:val="001D3026"/>
    <w:rsid w:val="001D36AC"/>
    <w:rsid w:val="001D61BD"/>
    <w:rsid w:val="001D6A5C"/>
    <w:rsid w:val="001E3A18"/>
    <w:rsid w:val="001E42B1"/>
    <w:rsid w:val="001E485B"/>
    <w:rsid w:val="001E4E55"/>
    <w:rsid w:val="001E5F96"/>
    <w:rsid w:val="001E7B86"/>
    <w:rsid w:val="001F15B8"/>
    <w:rsid w:val="001F2EF3"/>
    <w:rsid w:val="001F67A0"/>
    <w:rsid w:val="001F6979"/>
    <w:rsid w:val="001F6A2E"/>
    <w:rsid w:val="00202895"/>
    <w:rsid w:val="00203EE1"/>
    <w:rsid w:val="002112B6"/>
    <w:rsid w:val="00212B3E"/>
    <w:rsid w:val="0021510E"/>
    <w:rsid w:val="002167A3"/>
    <w:rsid w:val="00217B6D"/>
    <w:rsid w:val="00221FAF"/>
    <w:rsid w:val="0022204F"/>
    <w:rsid w:val="00227029"/>
    <w:rsid w:val="0022798C"/>
    <w:rsid w:val="0023197C"/>
    <w:rsid w:val="002324AE"/>
    <w:rsid w:val="00233FF5"/>
    <w:rsid w:val="00235EEA"/>
    <w:rsid w:val="002361F4"/>
    <w:rsid w:val="00236B63"/>
    <w:rsid w:val="00236EFA"/>
    <w:rsid w:val="00240CF3"/>
    <w:rsid w:val="002419AF"/>
    <w:rsid w:val="00245C3C"/>
    <w:rsid w:val="00245E49"/>
    <w:rsid w:val="0024613B"/>
    <w:rsid w:val="00246B04"/>
    <w:rsid w:val="002527FE"/>
    <w:rsid w:val="00254756"/>
    <w:rsid w:val="00256532"/>
    <w:rsid w:val="002568B2"/>
    <w:rsid w:val="002619BB"/>
    <w:rsid w:val="00262910"/>
    <w:rsid w:val="00265A81"/>
    <w:rsid w:val="00267038"/>
    <w:rsid w:val="00267DC2"/>
    <w:rsid w:val="00270747"/>
    <w:rsid w:val="0027170E"/>
    <w:rsid w:val="002734BE"/>
    <w:rsid w:val="00273913"/>
    <w:rsid w:val="00273AB8"/>
    <w:rsid w:val="00273B23"/>
    <w:rsid w:val="00274921"/>
    <w:rsid w:val="00274A2B"/>
    <w:rsid w:val="002754DC"/>
    <w:rsid w:val="0028195A"/>
    <w:rsid w:val="00284118"/>
    <w:rsid w:val="00284A3C"/>
    <w:rsid w:val="00284F21"/>
    <w:rsid w:val="0028554B"/>
    <w:rsid w:val="00285BB9"/>
    <w:rsid w:val="00287BD5"/>
    <w:rsid w:val="002909DE"/>
    <w:rsid w:val="002926A6"/>
    <w:rsid w:val="0029291E"/>
    <w:rsid w:val="00294985"/>
    <w:rsid w:val="00294E6E"/>
    <w:rsid w:val="00294EC1"/>
    <w:rsid w:val="00297143"/>
    <w:rsid w:val="002976D6"/>
    <w:rsid w:val="002A085E"/>
    <w:rsid w:val="002A103A"/>
    <w:rsid w:val="002A16B7"/>
    <w:rsid w:val="002A1E72"/>
    <w:rsid w:val="002A5D47"/>
    <w:rsid w:val="002A6971"/>
    <w:rsid w:val="002B1CE7"/>
    <w:rsid w:val="002B311F"/>
    <w:rsid w:val="002B710E"/>
    <w:rsid w:val="002C2648"/>
    <w:rsid w:val="002C4449"/>
    <w:rsid w:val="002C4DA6"/>
    <w:rsid w:val="002C6B7C"/>
    <w:rsid w:val="002D32E2"/>
    <w:rsid w:val="002D4768"/>
    <w:rsid w:val="002D4BE2"/>
    <w:rsid w:val="002D57AE"/>
    <w:rsid w:val="002E0CA4"/>
    <w:rsid w:val="002E2696"/>
    <w:rsid w:val="002E2ABE"/>
    <w:rsid w:val="002E53A3"/>
    <w:rsid w:val="002E7219"/>
    <w:rsid w:val="002F00F7"/>
    <w:rsid w:val="002F163D"/>
    <w:rsid w:val="002F2D6E"/>
    <w:rsid w:val="002F3CEA"/>
    <w:rsid w:val="002F4764"/>
    <w:rsid w:val="002F56CC"/>
    <w:rsid w:val="002F5748"/>
    <w:rsid w:val="0030171B"/>
    <w:rsid w:val="003018A1"/>
    <w:rsid w:val="00302222"/>
    <w:rsid w:val="003025F2"/>
    <w:rsid w:val="00302C30"/>
    <w:rsid w:val="00306263"/>
    <w:rsid w:val="00307B49"/>
    <w:rsid w:val="00315BCD"/>
    <w:rsid w:val="003170DC"/>
    <w:rsid w:val="0031735B"/>
    <w:rsid w:val="003176A8"/>
    <w:rsid w:val="003232F7"/>
    <w:rsid w:val="003234DA"/>
    <w:rsid w:val="003248B3"/>
    <w:rsid w:val="0032540A"/>
    <w:rsid w:val="003256B3"/>
    <w:rsid w:val="00326F6C"/>
    <w:rsid w:val="003304EB"/>
    <w:rsid w:val="00330F74"/>
    <w:rsid w:val="00333110"/>
    <w:rsid w:val="00335D59"/>
    <w:rsid w:val="00335EBF"/>
    <w:rsid w:val="00340DC0"/>
    <w:rsid w:val="00341B1B"/>
    <w:rsid w:val="003426D2"/>
    <w:rsid w:val="00343183"/>
    <w:rsid w:val="003440F3"/>
    <w:rsid w:val="00344964"/>
    <w:rsid w:val="003466ED"/>
    <w:rsid w:val="00346E90"/>
    <w:rsid w:val="00346EB1"/>
    <w:rsid w:val="0035602F"/>
    <w:rsid w:val="00356911"/>
    <w:rsid w:val="0036086F"/>
    <w:rsid w:val="00361622"/>
    <w:rsid w:val="00364E4D"/>
    <w:rsid w:val="00365FB9"/>
    <w:rsid w:val="00366307"/>
    <w:rsid w:val="003715EE"/>
    <w:rsid w:val="0037198D"/>
    <w:rsid w:val="00371BBD"/>
    <w:rsid w:val="00375C3F"/>
    <w:rsid w:val="00376870"/>
    <w:rsid w:val="00376ACB"/>
    <w:rsid w:val="003813F0"/>
    <w:rsid w:val="00382A0D"/>
    <w:rsid w:val="00382E09"/>
    <w:rsid w:val="00383B6C"/>
    <w:rsid w:val="00383CE5"/>
    <w:rsid w:val="003840F5"/>
    <w:rsid w:val="00384E3D"/>
    <w:rsid w:val="00385AA9"/>
    <w:rsid w:val="0039092E"/>
    <w:rsid w:val="00390F95"/>
    <w:rsid w:val="00393C4D"/>
    <w:rsid w:val="00393D0A"/>
    <w:rsid w:val="003955DA"/>
    <w:rsid w:val="003A12FF"/>
    <w:rsid w:val="003A7199"/>
    <w:rsid w:val="003A738F"/>
    <w:rsid w:val="003B1F48"/>
    <w:rsid w:val="003B242B"/>
    <w:rsid w:val="003B2AC0"/>
    <w:rsid w:val="003B2BE2"/>
    <w:rsid w:val="003B5E3E"/>
    <w:rsid w:val="003B6304"/>
    <w:rsid w:val="003C3684"/>
    <w:rsid w:val="003C36B9"/>
    <w:rsid w:val="003C410A"/>
    <w:rsid w:val="003C5C2E"/>
    <w:rsid w:val="003C689C"/>
    <w:rsid w:val="003D0021"/>
    <w:rsid w:val="003D1B0D"/>
    <w:rsid w:val="003D1B27"/>
    <w:rsid w:val="003D69A3"/>
    <w:rsid w:val="003D79EF"/>
    <w:rsid w:val="003E0962"/>
    <w:rsid w:val="003E2AF0"/>
    <w:rsid w:val="003E3804"/>
    <w:rsid w:val="003F013A"/>
    <w:rsid w:val="003F0B2E"/>
    <w:rsid w:val="003F207F"/>
    <w:rsid w:val="003F2CB9"/>
    <w:rsid w:val="003F3A8D"/>
    <w:rsid w:val="003F49BB"/>
    <w:rsid w:val="003F6869"/>
    <w:rsid w:val="004006CF"/>
    <w:rsid w:val="0040165C"/>
    <w:rsid w:val="00405155"/>
    <w:rsid w:val="00405166"/>
    <w:rsid w:val="004053D6"/>
    <w:rsid w:val="00406028"/>
    <w:rsid w:val="004062C8"/>
    <w:rsid w:val="0041022A"/>
    <w:rsid w:val="004110AD"/>
    <w:rsid w:val="00411ED4"/>
    <w:rsid w:val="0041316C"/>
    <w:rsid w:val="00413A2A"/>
    <w:rsid w:val="0042088C"/>
    <w:rsid w:val="00424879"/>
    <w:rsid w:val="00424DCC"/>
    <w:rsid w:val="00425722"/>
    <w:rsid w:val="00425BB5"/>
    <w:rsid w:val="00426441"/>
    <w:rsid w:val="00427303"/>
    <w:rsid w:val="0043086E"/>
    <w:rsid w:val="00431A6A"/>
    <w:rsid w:val="00433187"/>
    <w:rsid w:val="00435904"/>
    <w:rsid w:val="00437D0A"/>
    <w:rsid w:val="00437D6C"/>
    <w:rsid w:val="00440DD7"/>
    <w:rsid w:val="00443C26"/>
    <w:rsid w:val="00443D19"/>
    <w:rsid w:val="004442BF"/>
    <w:rsid w:val="00453044"/>
    <w:rsid w:val="004543CF"/>
    <w:rsid w:val="00454A6E"/>
    <w:rsid w:val="00454E51"/>
    <w:rsid w:val="0045625D"/>
    <w:rsid w:val="004572EB"/>
    <w:rsid w:val="004574A7"/>
    <w:rsid w:val="004575EB"/>
    <w:rsid w:val="0046307D"/>
    <w:rsid w:val="004639AE"/>
    <w:rsid w:val="00463A97"/>
    <w:rsid w:val="00463E77"/>
    <w:rsid w:val="0046455E"/>
    <w:rsid w:val="00464AB7"/>
    <w:rsid w:val="00466C02"/>
    <w:rsid w:val="00471746"/>
    <w:rsid w:val="0047349F"/>
    <w:rsid w:val="0047360C"/>
    <w:rsid w:val="00477A9C"/>
    <w:rsid w:val="004803D5"/>
    <w:rsid w:val="0048116E"/>
    <w:rsid w:val="0048418E"/>
    <w:rsid w:val="004847ED"/>
    <w:rsid w:val="00486972"/>
    <w:rsid w:val="00491ADF"/>
    <w:rsid w:val="004930E5"/>
    <w:rsid w:val="00493222"/>
    <w:rsid w:val="00494664"/>
    <w:rsid w:val="00495227"/>
    <w:rsid w:val="004955EB"/>
    <w:rsid w:val="004A0791"/>
    <w:rsid w:val="004A0959"/>
    <w:rsid w:val="004A16BE"/>
    <w:rsid w:val="004A1B6D"/>
    <w:rsid w:val="004A2859"/>
    <w:rsid w:val="004A377B"/>
    <w:rsid w:val="004A4F86"/>
    <w:rsid w:val="004A54AE"/>
    <w:rsid w:val="004A6EB0"/>
    <w:rsid w:val="004A77E2"/>
    <w:rsid w:val="004B0683"/>
    <w:rsid w:val="004B2902"/>
    <w:rsid w:val="004B2E8E"/>
    <w:rsid w:val="004B6438"/>
    <w:rsid w:val="004B7F46"/>
    <w:rsid w:val="004C500C"/>
    <w:rsid w:val="004C5C1B"/>
    <w:rsid w:val="004C6825"/>
    <w:rsid w:val="004C746B"/>
    <w:rsid w:val="004C74E7"/>
    <w:rsid w:val="004D0B67"/>
    <w:rsid w:val="004D2A37"/>
    <w:rsid w:val="004D4924"/>
    <w:rsid w:val="004D49CC"/>
    <w:rsid w:val="004D54E3"/>
    <w:rsid w:val="004D7711"/>
    <w:rsid w:val="004E1419"/>
    <w:rsid w:val="004E343E"/>
    <w:rsid w:val="004E5B52"/>
    <w:rsid w:val="004F15CB"/>
    <w:rsid w:val="004F2BAA"/>
    <w:rsid w:val="004F305B"/>
    <w:rsid w:val="004F3404"/>
    <w:rsid w:val="004F42B0"/>
    <w:rsid w:val="004F4441"/>
    <w:rsid w:val="004F4AD8"/>
    <w:rsid w:val="004F4FEC"/>
    <w:rsid w:val="004F5867"/>
    <w:rsid w:val="004F634C"/>
    <w:rsid w:val="004F7826"/>
    <w:rsid w:val="004F7E8A"/>
    <w:rsid w:val="00504F5A"/>
    <w:rsid w:val="00507244"/>
    <w:rsid w:val="00513246"/>
    <w:rsid w:val="00513FA8"/>
    <w:rsid w:val="005175DB"/>
    <w:rsid w:val="00523E9E"/>
    <w:rsid w:val="00525C26"/>
    <w:rsid w:val="00526066"/>
    <w:rsid w:val="005301B3"/>
    <w:rsid w:val="00530A7F"/>
    <w:rsid w:val="005342F8"/>
    <w:rsid w:val="0053475A"/>
    <w:rsid w:val="0053608A"/>
    <w:rsid w:val="005370CC"/>
    <w:rsid w:val="00541456"/>
    <w:rsid w:val="005439EA"/>
    <w:rsid w:val="00543CC1"/>
    <w:rsid w:val="005516AD"/>
    <w:rsid w:val="00551C57"/>
    <w:rsid w:val="005521F6"/>
    <w:rsid w:val="005549AA"/>
    <w:rsid w:val="00554B96"/>
    <w:rsid w:val="00556FF3"/>
    <w:rsid w:val="00560A3A"/>
    <w:rsid w:val="00561011"/>
    <w:rsid w:val="005612CB"/>
    <w:rsid w:val="005624EA"/>
    <w:rsid w:val="00562F4C"/>
    <w:rsid w:val="0056496F"/>
    <w:rsid w:val="005707AF"/>
    <w:rsid w:val="005764C6"/>
    <w:rsid w:val="00577197"/>
    <w:rsid w:val="00581CE2"/>
    <w:rsid w:val="00582838"/>
    <w:rsid w:val="00585DD6"/>
    <w:rsid w:val="005868DA"/>
    <w:rsid w:val="00591B67"/>
    <w:rsid w:val="00594BFD"/>
    <w:rsid w:val="005973A5"/>
    <w:rsid w:val="005A259D"/>
    <w:rsid w:val="005A3A71"/>
    <w:rsid w:val="005A43E8"/>
    <w:rsid w:val="005A49E0"/>
    <w:rsid w:val="005B1717"/>
    <w:rsid w:val="005B38E0"/>
    <w:rsid w:val="005B3DF5"/>
    <w:rsid w:val="005B4022"/>
    <w:rsid w:val="005B6713"/>
    <w:rsid w:val="005C2A68"/>
    <w:rsid w:val="005C2C9F"/>
    <w:rsid w:val="005C553A"/>
    <w:rsid w:val="005C7B9F"/>
    <w:rsid w:val="005D0024"/>
    <w:rsid w:val="005D0817"/>
    <w:rsid w:val="005D09B6"/>
    <w:rsid w:val="005D0CF6"/>
    <w:rsid w:val="005D0D61"/>
    <w:rsid w:val="005D157D"/>
    <w:rsid w:val="005D1AF6"/>
    <w:rsid w:val="005D1E46"/>
    <w:rsid w:val="005D1F3B"/>
    <w:rsid w:val="005D3252"/>
    <w:rsid w:val="005D436C"/>
    <w:rsid w:val="005E0342"/>
    <w:rsid w:val="005E04CA"/>
    <w:rsid w:val="005E0B4E"/>
    <w:rsid w:val="005E1AF5"/>
    <w:rsid w:val="005E403A"/>
    <w:rsid w:val="005E4CF2"/>
    <w:rsid w:val="005E631C"/>
    <w:rsid w:val="005E6AC7"/>
    <w:rsid w:val="005E75CC"/>
    <w:rsid w:val="005F2A83"/>
    <w:rsid w:val="005F6E5F"/>
    <w:rsid w:val="005F72C5"/>
    <w:rsid w:val="005F7F39"/>
    <w:rsid w:val="006000FD"/>
    <w:rsid w:val="00600604"/>
    <w:rsid w:val="00601019"/>
    <w:rsid w:val="0060120B"/>
    <w:rsid w:val="0060192B"/>
    <w:rsid w:val="00601960"/>
    <w:rsid w:val="00601F0D"/>
    <w:rsid w:val="0060366F"/>
    <w:rsid w:val="0060379B"/>
    <w:rsid w:val="00605001"/>
    <w:rsid w:val="00605246"/>
    <w:rsid w:val="00611F35"/>
    <w:rsid w:val="00612147"/>
    <w:rsid w:val="006121DC"/>
    <w:rsid w:val="006166A3"/>
    <w:rsid w:val="0062000E"/>
    <w:rsid w:val="006228BB"/>
    <w:rsid w:val="00623F49"/>
    <w:rsid w:val="0062419B"/>
    <w:rsid w:val="006256C2"/>
    <w:rsid w:val="00630E61"/>
    <w:rsid w:val="00631616"/>
    <w:rsid w:val="00631674"/>
    <w:rsid w:val="006323D0"/>
    <w:rsid w:val="0063250D"/>
    <w:rsid w:val="00632EFF"/>
    <w:rsid w:val="00633507"/>
    <w:rsid w:val="0063576E"/>
    <w:rsid w:val="006376AA"/>
    <w:rsid w:val="00637DCD"/>
    <w:rsid w:val="00646492"/>
    <w:rsid w:val="00647A64"/>
    <w:rsid w:val="006500B5"/>
    <w:rsid w:val="006509FF"/>
    <w:rsid w:val="00650CC2"/>
    <w:rsid w:val="0065203B"/>
    <w:rsid w:val="00652ABB"/>
    <w:rsid w:val="00652DC2"/>
    <w:rsid w:val="00656B19"/>
    <w:rsid w:val="0066038F"/>
    <w:rsid w:val="0066126F"/>
    <w:rsid w:val="00661634"/>
    <w:rsid w:val="006616AA"/>
    <w:rsid w:val="00663581"/>
    <w:rsid w:val="00663817"/>
    <w:rsid w:val="006639AF"/>
    <w:rsid w:val="00664BFE"/>
    <w:rsid w:val="0066535C"/>
    <w:rsid w:val="0066727B"/>
    <w:rsid w:val="00667AAA"/>
    <w:rsid w:val="00667B56"/>
    <w:rsid w:val="00667D92"/>
    <w:rsid w:val="006734B0"/>
    <w:rsid w:val="00673F1E"/>
    <w:rsid w:val="00674498"/>
    <w:rsid w:val="00674BF7"/>
    <w:rsid w:val="006750B1"/>
    <w:rsid w:val="006755C0"/>
    <w:rsid w:val="00676B83"/>
    <w:rsid w:val="00676C8B"/>
    <w:rsid w:val="006819C2"/>
    <w:rsid w:val="00681D0F"/>
    <w:rsid w:val="00682B5E"/>
    <w:rsid w:val="00683229"/>
    <w:rsid w:val="006843C1"/>
    <w:rsid w:val="0068512C"/>
    <w:rsid w:val="00686F0B"/>
    <w:rsid w:val="00687518"/>
    <w:rsid w:val="00690FEC"/>
    <w:rsid w:val="00694B97"/>
    <w:rsid w:val="00695BBD"/>
    <w:rsid w:val="00697CFD"/>
    <w:rsid w:val="006A2A1F"/>
    <w:rsid w:val="006B2182"/>
    <w:rsid w:val="006B2AA6"/>
    <w:rsid w:val="006B3648"/>
    <w:rsid w:val="006B6F4E"/>
    <w:rsid w:val="006B7801"/>
    <w:rsid w:val="006C131A"/>
    <w:rsid w:val="006C2007"/>
    <w:rsid w:val="006C36A2"/>
    <w:rsid w:val="006C3A16"/>
    <w:rsid w:val="006C3F46"/>
    <w:rsid w:val="006C41B4"/>
    <w:rsid w:val="006C4579"/>
    <w:rsid w:val="006C53EA"/>
    <w:rsid w:val="006C6C80"/>
    <w:rsid w:val="006C7C79"/>
    <w:rsid w:val="006D0ABB"/>
    <w:rsid w:val="006D1636"/>
    <w:rsid w:val="006D25E2"/>
    <w:rsid w:val="006D29FF"/>
    <w:rsid w:val="006D3E09"/>
    <w:rsid w:val="006D52F7"/>
    <w:rsid w:val="006D75B7"/>
    <w:rsid w:val="006D7F4F"/>
    <w:rsid w:val="006E23E1"/>
    <w:rsid w:val="006E2628"/>
    <w:rsid w:val="006E3E28"/>
    <w:rsid w:val="006E50E5"/>
    <w:rsid w:val="006E656D"/>
    <w:rsid w:val="006E6737"/>
    <w:rsid w:val="006E6D9C"/>
    <w:rsid w:val="006F16F6"/>
    <w:rsid w:val="006F199E"/>
    <w:rsid w:val="006F1A01"/>
    <w:rsid w:val="006F2329"/>
    <w:rsid w:val="006F3231"/>
    <w:rsid w:val="006F59DC"/>
    <w:rsid w:val="006F7B65"/>
    <w:rsid w:val="00701433"/>
    <w:rsid w:val="00702AF3"/>
    <w:rsid w:val="00704336"/>
    <w:rsid w:val="0070660C"/>
    <w:rsid w:val="00707ED4"/>
    <w:rsid w:val="007105A8"/>
    <w:rsid w:val="00711260"/>
    <w:rsid w:val="00713400"/>
    <w:rsid w:val="00714F22"/>
    <w:rsid w:val="00715891"/>
    <w:rsid w:val="00717185"/>
    <w:rsid w:val="007219B2"/>
    <w:rsid w:val="00721C2C"/>
    <w:rsid w:val="00723B5C"/>
    <w:rsid w:val="00724AD6"/>
    <w:rsid w:val="00725C1C"/>
    <w:rsid w:val="00726724"/>
    <w:rsid w:val="00726D05"/>
    <w:rsid w:val="007279B8"/>
    <w:rsid w:val="00731FD2"/>
    <w:rsid w:val="00732C5E"/>
    <w:rsid w:val="007363B0"/>
    <w:rsid w:val="00737860"/>
    <w:rsid w:val="007402CA"/>
    <w:rsid w:val="007461A2"/>
    <w:rsid w:val="007464F5"/>
    <w:rsid w:val="00747957"/>
    <w:rsid w:val="00750589"/>
    <w:rsid w:val="00757A13"/>
    <w:rsid w:val="0076034B"/>
    <w:rsid w:val="00760391"/>
    <w:rsid w:val="00760575"/>
    <w:rsid w:val="00760DFA"/>
    <w:rsid w:val="007617C0"/>
    <w:rsid w:val="00762248"/>
    <w:rsid w:val="00762693"/>
    <w:rsid w:val="00763E63"/>
    <w:rsid w:val="00766179"/>
    <w:rsid w:val="00770FEE"/>
    <w:rsid w:val="00771C9A"/>
    <w:rsid w:val="00772753"/>
    <w:rsid w:val="0077540F"/>
    <w:rsid w:val="0077661D"/>
    <w:rsid w:val="0077787C"/>
    <w:rsid w:val="00777B30"/>
    <w:rsid w:val="007814BF"/>
    <w:rsid w:val="00781EAE"/>
    <w:rsid w:val="00781FD9"/>
    <w:rsid w:val="007843B9"/>
    <w:rsid w:val="00784FBA"/>
    <w:rsid w:val="0078702D"/>
    <w:rsid w:val="0078789C"/>
    <w:rsid w:val="00793DC9"/>
    <w:rsid w:val="0079616F"/>
    <w:rsid w:val="007A016E"/>
    <w:rsid w:val="007A03B0"/>
    <w:rsid w:val="007A11B4"/>
    <w:rsid w:val="007A2443"/>
    <w:rsid w:val="007A5864"/>
    <w:rsid w:val="007A7372"/>
    <w:rsid w:val="007A7A65"/>
    <w:rsid w:val="007B1891"/>
    <w:rsid w:val="007B201D"/>
    <w:rsid w:val="007B3907"/>
    <w:rsid w:val="007B3F2E"/>
    <w:rsid w:val="007B4D53"/>
    <w:rsid w:val="007B5A08"/>
    <w:rsid w:val="007C084E"/>
    <w:rsid w:val="007C2BDC"/>
    <w:rsid w:val="007C3A23"/>
    <w:rsid w:val="007C43EE"/>
    <w:rsid w:val="007C64D9"/>
    <w:rsid w:val="007C66CF"/>
    <w:rsid w:val="007C77CA"/>
    <w:rsid w:val="007D1AB0"/>
    <w:rsid w:val="007D37E1"/>
    <w:rsid w:val="007D48E4"/>
    <w:rsid w:val="007D4A81"/>
    <w:rsid w:val="007D5FC2"/>
    <w:rsid w:val="007F3593"/>
    <w:rsid w:val="007F4EB5"/>
    <w:rsid w:val="008016DD"/>
    <w:rsid w:val="008019C7"/>
    <w:rsid w:val="00805EBB"/>
    <w:rsid w:val="00810ED1"/>
    <w:rsid w:val="00810F8D"/>
    <w:rsid w:val="00811B8A"/>
    <w:rsid w:val="00813E80"/>
    <w:rsid w:val="0081418C"/>
    <w:rsid w:val="008164C0"/>
    <w:rsid w:val="00817DE3"/>
    <w:rsid w:val="00820522"/>
    <w:rsid w:val="008231E0"/>
    <w:rsid w:val="0082556C"/>
    <w:rsid w:val="008336AE"/>
    <w:rsid w:val="008339B1"/>
    <w:rsid w:val="00835F80"/>
    <w:rsid w:val="00836A09"/>
    <w:rsid w:val="00842D4A"/>
    <w:rsid w:val="00844DA9"/>
    <w:rsid w:val="00845066"/>
    <w:rsid w:val="00845AE4"/>
    <w:rsid w:val="00850378"/>
    <w:rsid w:val="008535DF"/>
    <w:rsid w:val="00854F45"/>
    <w:rsid w:val="0085566A"/>
    <w:rsid w:val="008603D6"/>
    <w:rsid w:val="008604A3"/>
    <w:rsid w:val="008609CB"/>
    <w:rsid w:val="00860D3C"/>
    <w:rsid w:val="00861227"/>
    <w:rsid w:val="0086291E"/>
    <w:rsid w:val="008631B8"/>
    <w:rsid w:val="008650CD"/>
    <w:rsid w:val="0087067E"/>
    <w:rsid w:val="008710CE"/>
    <w:rsid w:val="00872DA0"/>
    <w:rsid w:val="00873793"/>
    <w:rsid w:val="00873945"/>
    <w:rsid w:val="00874C6E"/>
    <w:rsid w:val="008752C7"/>
    <w:rsid w:val="00876ECB"/>
    <w:rsid w:val="008831A2"/>
    <w:rsid w:val="00883AAE"/>
    <w:rsid w:val="00887CC4"/>
    <w:rsid w:val="00891A40"/>
    <w:rsid w:val="0089334D"/>
    <w:rsid w:val="0089423E"/>
    <w:rsid w:val="00896D59"/>
    <w:rsid w:val="00897391"/>
    <w:rsid w:val="00897EAF"/>
    <w:rsid w:val="008A00F1"/>
    <w:rsid w:val="008A0386"/>
    <w:rsid w:val="008A0F19"/>
    <w:rsid w:val="008A30A7"/>
    <w:rsid w:val="008A4061"/>
    <w:rsid w:val="008A4986"/>
    <w:rsid w:val="008A64B5"/>
    <w:rsid w:val="008A6BC7"/>
    <w:rsid w:val="008B2C68"/>
    <w:rsid w:val="008B3301"/>
    <w:rsid w:val="008B634C"/>
    <w:rsid w:val="008B795A"/>
    <w:rsid w:val="008C2C79"/>
    <w:rsid w:val="008C3DC9"/>
    <w:rsid w:val="008C7F9E"/>
    <w:rsid w:val="008D098A"/>
    <w:rsid w:val="008D1A26"/>
    <w:rsid w:val="008D277F"/>
    <w:rsid w:val="008D6369"/>
    <w:rsid w:val="008D782D"/>
    <w:rsid w:val="008D7986"/>
    <w:rsid w:val="008E02D6"/>
    <w:rsid w:val="008E337E"/>
    <w:rsid w:val="008E3AB7"/>
    <w:rsid w:val="008E5000"/>
    <w:rsid w:val="008E556F"/>
    <w:rsid w:val="008E6069"/>
    <w:rsid w:val="008E67E2"/>
    <w:rsid w:val="008E79A6"/>
    <w:rsid w:val="008F153B"/>
    <w:rsid w:val="008F1A37"/>
    <w:rsid w:val="008F216E"/>
    <w:rsid w:val="008F4E55"/>
    <w:rsid w:val="008F773C"/>
    <w:rsid w:val="0090324E"/>
    <w:rsid w:val="00903CE8"/>
    <w:rsid w:val="00904D1C"/>
    <w:rsid w:val="00904F33"/>
    <w:rsid w:val="009068EC"/>
    <w:rsid w:val="00906FB6"/>
    <w:rsid w:val="00911FB0"/>
    <w:rsid w:val="0091358A"/>
    <w:rsid w:val="009156B9"/>
    <w:rsid w:val="00915B37"/>
    <w:rsid w:val="00923847"/>
    <w:rsid w:val="00925334"/>
    <w:rsid w:val="00926471"/>
    <w:rsid w:val="00926E2C"/>
    <w:rsid w:val="00927B37"/>
    <w:rsid w:val="00932139"/>
    <w:rsid w:val="00932D35"/>
    <w:rsid w:val="009334ED"/>
    <w:rsid w:val="009335D6"/>
    <w:rsid w:val="0093386C"/>
    <w:rsid w:val="009342CA"/>
    <w:rsid w:val="00935058"/>
    <w:rsid w:val="009355F9"/>
    <w:rsid w:val="009369D6"/>
    <w:rsid w:val="00937454"/>
    <w:rsid w:val="00937DEC"/>
    <w:rsid w:val="00940028"/>
    <w:rsid w:val="009409AE"/>
    <w:rsid w:val="0094420D"/>
    <w:rsid w:val="0094594F"/>
    <w:rsid w:val="0095116B"/>
    <w:rsid w:val="00951DEB"/>
    <w:rsid w:val="009527DF"/>
    <w:rsid w:val="00953BE8"/>
    <w:rsid w:val="00953D0F"/>
    <w:rsid w:val="00954E7F"/>
    <w:rsid w:val="0095607A"/>
    <w:rsid w:val="00964A7A"/>
    <w:rsid w:val="00965326"/>
    <w:rsid w:val="00966802"/>
    <w:rsid w:val="009726D9"/>
    <w:rsid w:val="00972836"/>
    <w:rsid w:val="009748D4"/>
    <w:rsid w:val="00975E38"/>
    <w:rsid w:val="00980B3A"/>
    <w:rsid w:val="00983D4E"/>
    <w:rsid w:val="0098435E"/>
    <w:rsid w:val="009859CA"/>
    <w:rsid w:val="00985BF9"/>
    <w:rsid w:val="00986419"/>
    <w:rsid w:val="009877C4"/>
    <w:rsid w:val="009915EA"/>
    <w:rsid w:val="00991EF2"/>
    <w:rsid w:val="009950AC"/>
    <w:rsid w:val="00996DCB"/>
    <w:rsid w:val="009A3341"/>
    <w:rsid w:val="009A47CF"/>
    <w:rsid w:val="009A4FED"/>
    <w:rsid w:val="009A6CF1"/>
    <w:rsid w:val="009A7BE3"/>
    <w:rsid w:val="009B1833"/>
    <w:rsid w:val="009B2AB0"/>
    <w:rsid w:val="009B3778"/>
    <w:rsid w:val="009B44D2"/>
    <w:rsid w:val="009B5D44"/>
    <w:rsid w:val="009B5DA1"/>
    <w:rsid w:val="009C1C05"/>
    <w:rsid w:val="009C2E60"/>
    <w:rsid w:val="009C2EC8"/>
    <w:rsid w:val="009C30C0"/>
    <w:rsid w:val="009C5412"/>
    <w:rsid w:val="009C7AAF"/>
    <w:rsid w:val="009D06DE"/>
    <w:rsid w:val="009D0D28"/>
    <w:rsid w:val="009D207E"/>
    <w:rsid w:val="009D2F8B"/>
    <w:rsid w:val="009D395F"/>
    <w:rsid w:val="009D4D60"/>
    <w:rsid w:val="009D5662"/>
    <w:rsid w:val="009D5C9B"/>
    <w:rsid w:val="009D6AC7"/>
    <w:rsid w:val="009D7533"/>
    <w:rsid w:val="009E5C3E"/>
    <w:rsid w:val="009E5EDA"/>
    <w:rsid w:val="009F05C1"/>
    <w:rsid w:val="009F25CA"/>
    <w:rsid w:val="009F4B46"/>
    <w:rsid w:val="009F50DF"/>
    <w:rsid w:val="009F6E84"/>
    <w:rsid w:val="00A00EFE"/>
    <w:rsid w:val="00A02336"/>
    <w:rsid w:val="00A03460"/>
    <w:rsid w:val="00A0362E"/>
    <w:rsid w:val="00A03B34"/>
    <w:rsid w:val="00A040A0"/>
    <w:rsid w:val="00A04C34"/>
    <w:rsid w:val="00A0546E"/>
    <w:rsid w:val="00A061ED"/>
    <w:rsid w:val="00A069CB"/>
    <w:rsid w:val="00A12497"/>
    <w:rsid w:val="00A12CD4"/>
    <w:rsid w:val="00A133AB"/>
    <w:rsid w:val="00A14AEF"/>
    <w:rsid w:val="00A16AE2"/>
    <w:rsid w:val="00A22662"/>
    <w:rsid w:val="00A229FA"/>
    <w:rsid w:val="00A24320"/>
    <w:rsid w:val="00A318FE"/>
    <w:rsid w:val="00A33114"/>
    <w:rsid w:val="00A33C00"/>
    <w:rsid w:val="00A35CF2"/>
    <w:rsid w:val="00A369E9"/>
    <w:rsid w:val="00A36E08"/>
    <w:rsid w:val="00A40D36"/>
    <w:rsid w:val="00A41E46"/>
    <w:rsid w:val="00A434A5"/>
    <w:rsid w:val="00A443DF"/>
    <w:rsid w:val="00A46378"/>
    <w:rsid w:val="00A465EE"/>
    <w:rsid w:val="00A472B5"/>
    <w:rsid w:val="00A5075D"/>
    <w:rsid w:val="00A543FD"/>
    <w:rsid w:val="00A56A2F"/>
    <w:rsid w:val="00A56AAB"/>
    <w:rsid w:val="00A5748C"/>
    <w:rsid w:val="00A61E3A"/>
    <w:rsid w:val="00A6219A"/>
    <w:rsid w:val="00A637DB"/>
    <w:rsid w:val="00A64C26"/>
    <w:rsid w:val="00A65F65"/>
    <w:rsid w:val="00A66CA9"/>
    <w:rsid w:val="00A67498"/>
    <w:rsid w:val="00A73117"/>
    <w:rsid w:val="00A807D5"/>
    <w:rsid w:val="00A809FB"/>
    <w:rsid w:val="00A81D22"/>
    <w:rsid w:val="00A86C53"/>
    <w:rsid w:val="00A90669"/>
    <w:rsid w:val="00A9091C"/>
    <w:rsid w:val="00A91A0C"/>
    <w:rsid w:val="00A91D02"/>
    <w:rsid w:val="00A92E1F"/>
    <w:rsid w:val="00A952B3"/>
    <w:rsid w:val="00A965A0"/>
    <w:rsid w:val="00A96E20"/>
    <w:rsid w:val="00A97F52"/>
    <w:rsid w:val="00AA481D"/>
    <w:rsid w:val="00AA4C93"/>
    <w:rsid w:val="00AA50AC"/>
    <w:rsid w:val="00AA6EAE"/>
    <w:rsid w:val="00AA7D93"/>
    <w:rsid w:val="00AB1B6D"/>
    <w:rsid w:val="00AB3341"/>
    <w:rsid w:val="00AB3D9E"/>
    <w:rsid w:val="00AC213A"/>
    <w:rsid w:val="00AC2E78"/>
    <w:rsid w:val="00AC3879"/>
    <w:rsid w:val="00AC4673"/>
    <w:rsid w:val="00AC5173"/>
    <w:rsid w:val="00AC52BD"/>
    <w:rsid w:val="00AD01E7"/>
    <w:rsid w:val="00AD3A6A"/>
    <w:rsid w:val="00AD5396"/>
    <w:rsid w:val="00AD6592"/>
    <w:rsid w:val="00AD661E"/>
    <w:rsid w:val="00AD706B"/>
    <w:rsid w:val="00AE0B51"/>
    <w:rsid w:val="00AE1114"/>
    <w:rsid w:val="00AE20D0"/>
    <w:rsid w:val="00AE27D3"/>
    <w:rsid w:val="00AE29D3"/>
    <w:rsid w:val="00AE2D06"/>
    <w:rsid w:val="00AE41A4"/>
    <w:rsid w:val="00AE5BF1"/>
    <w:rsid w:val="00AE5CE8"/>
    <w:rsid w:val="00AE63C2"/>
    <w:rsid w:val="00AE678E"/>
    <w:rsid w:val="00AF021B"/>
    <w:rsid w:val="00AF09A7"/>
    <w:rsid w:val="00AF1C5C"/>
    <w:rsid w:val="00AF1E2F"/>
    <w:rsid w:val="00AF200B"/>
    <w:rsid w:val="00AF23C3"/>
    <w:rsid w:val="00AF251E"/>
    <w:rsid w:val="00AF27C8"/>
    <w:rsid w:val="00AF29C3"/>
    <w:rsid w:val="00AF432A"/>
    <w:rsid w:val="00AF62FF"/>
    <w:rsid w:val="00AF7936"/>
    <w:rsid w:val="00B0308F"/>
    <w:rsid w:val="00B03F9A"/>
    <w:rsid w:val="00B0463B"/>
    <w:rsid w:val="00B05397"/>
    <w:rsid w:val="00B05659"/>
    <w:rsid w:val="00B057CF"/>
    <w:rsid w:val="00B06457"/>
    <w:rsid w:val="00B06986"/>
    <w:rsid w:val="00B06EE3"/>
    <w:rsid w:val="00B0701A"/>
    <w:rsid w:val="00B072D5"/>
    <w:rsid w:val="00B10A22"/>
    <w:rsid w:val="00B12AA5"/>
    <w:rsid w:val="00B139C7"/>
    <w:rsid w:val="00B1657A"/>
    <w:rsid w:val="00B2035C"/>
    <w:rsid w:val="00B22307"/>
    <w:rsid w:val="00B22CAC"/>
    <w:rsid w:val="00B27467"/>
    <w:rsid w:val="00B315AE"/>
    <w:rsid w:val="00B31E88"/>
    <w:rsid w:val="00B3665E"/>
    <w:rsid w:val="00B41994"/>
    <w:rsid w:val="00B42B8B"/>
    <w:rsid w:val="00B42BBE"/>
    <w:rsid w:val="00B434CC"/>
    <w:rsid w:val="00B43B2E"/>
    <w:rsid w:val="00B4499A"/>
    <w:rsid w:val="00B45001"/>
    <w:rsid w:val="00B45F74"/>
    <w:rsid w:val="00B46918"/>
    <w:rsid w:val="00B50CDC"/>
    <w:rsid w:val="00B5393E"/>
    <w:rsid w:val="00B542C0"/>
    <w:rsid w:val="00B55BC9"/>
    <w:rsid w:val="00B569C7"/>
    <w:rsid w:val="00B571F0"/>
    <w:rsid w:val="00B6184C"/>
    <w:rsid w:val="00B61E09"/>
    <w:rsid w:val="00B625DE"/>
    <w:rsid w:val="00B64E3C"/>
    <w:rsid w:val="00B656E5"/>
    <w:rsid w:val="00B65E0F"/>
    <w:rsid w:val="00B66026"/>
    <w:rsid w:val="00B67764"/>
    <w:rsid w:val="00B70C7C"/>
    <w:rsid w:val="00B70D6D"/>
    <w:rsid w:val="00B711CE"/>
    <w:rsid w:val="00B74DFB"/>
    <w:rsid w:val="00B75147"/>
    <w:rsid w:val="00B756C7"/>
    <w:rsid w:val="00B759E8"/>
    <w:rsid w:val="00B8009D"/>
    <w:rsid w:val="00B803D1"/>
    <w:rsid w:val="00B8091A"/>
    <w:rsid w:val="00B815B7"/>
    <w:rsid w:val="00B82555"/>
    <w:rsid w:val="00B83248"/>
    <w:rsid w:val="00B842B0"/>
    <w:rsid w:val="00B84B52"/>
    <w:rsid w:val="00B860A4"/>
    <w:rsid w:val="00B86127"/>
    <w:rsid w:val="00B87566"/>
    <w:rsid w:val="00B91408"/>
    <w:rsid w:val="00B91ECA"/>
    <w:rsid w:val="00B92D23"/>
    <w:rsid w:val="00B94411"/>
    <w:rsid w:val="00B95CB8"/>
    <w:rsid w:val="00B96F44"/>
    <w:rsid w:val="00B97D8B"/>
    <w:rsid w:val="00BA04F6"/>
    <w:rsid w:val="00BA097F"/>
    <w:rsid w:val="00BA15A6"/>
    <w:rsid w:val="00BA3411"/>
    <w:rsid w:val="00BA3D62"/>
    <w:rsid w:val="00BB1B0B"/>
    <w:rsid w:val="00BB2BD7"/>
    <w:rsid w:val="00BB2D82"/>
    <w:rsid w:val="00BB75B6"/>
    <w:rsid w:val="00BC02C6"/>
    <w:rsid w:val="00BC252C"/>
    <w:rsid w:val="00BC38B5"/>
    <w:rsid w:val="00BC4308"/>
    <w:rsid w:val="00BC6C30"/>
    <w:rsid w:val="00BC7AB5"/>
    <w:rsid w:val="00BC7AD7"/>
    <w:rsid w:val="00BD31A2"/>
    <w:rsid w:val="00BD3292"/>
    <w:rsid w:val="00BD37A6"/>
    <w:rsid w:val="00BD570F"/>
    <w:rsid w:val="00BD64A0"/>
    <w:rsid w:val="00BD7773"/>
    <w:rsid w:val="00BE03C5"/>
    <w:rsid w:val="00BE1CE3"/>
    <w:rsid w:val="00BE203A"/>
    <w:rsid w:val="00BE2AE3"/>
    <w:rsid w:val="00BE4E70"/>
    <w:rsid w:val="00BE7AD9"/>
    <w:rsid w:val="00BF04E0"/>
    <w:rsid w:val="00BF170E"/>
    <w:rsid w:val="00BF2E92"/>
    <w:rsid w:val="00BF3EBE"/>
    <w:rsid w:val="00BF4713"/>
    <w:rsid w:val="00BF49B9"/>
    <w:rsid w:val="00BF5287"/>
    <w:rsid w:val="00BF78F0"/>
    <w:rsid w:val="00C004FA"/>
    <w:rsid w:val="00C06FC5"/>
    <w:rsid w:val="00C161DB"/>
    <w:rsid w:val="00C20771"/>
    <w:rsid w:val="00C2449E"/>
    <w:rsid w:val="00C24A0A"/>
    <w:rsid w:val="00C260DD"/>
    <w:rsid w:val="00C30B85"/>
    <w:rsid w:val="00C31424"/>
    <w:rsid w:val="00C31B78"/>
    <w:rsid w:val="00C32BEA"/>
    <w:rsid w:val="00C33088"/>
    <w:rsid w:val="00C33B1F"/>
    <w:rsid w:val="00C34627"/>
    <w:rsid w:val="00C35202"/>
    <w:rsid w:val="00C35A55"/>
    <w:rsid w:val="00C3618F"/>
    <w:rsid w:val="00C3656D"/>
    <w:rsid w:val="00C36B5B"/>
    <w:rsid w:val="00C41256"/>
    <w:rsid w:val="00C422B8"/>
    <w:rsid w:val="00C42D09"/>
    <w:rsid w:val="00C44FE8"/>
    <w:rsid w:val="00C45FBD"/>
    <w:rsid w:val="00C460B4"/>
    <w:rsid w:val="00C4647E"/>
    <w:rsid w:val="00C469E6"/>
    <w:rsid w:val="00C51C76"/>
    <w:rsid w:val="00C5289A"/>
    <w:rsid w:val="00C53B7A"/>
    <w:rsid w:val="00C57D4F"/>
    <w:rsid w:val="00C654A2"/>
    <w:rsid w:val="00C66101"/>
    <w:rsid w:val="00C6749D"/>
    <w:rsid w:val="00C70453"/>
    <w:rsid w:val="00C71F96"/>
    <w:rsid w:val="00C77482"/>
    <w:rsid w:val="00C77884"/>
    <w:rsid w:val="00C80222"/>
    <w:rsid w:val="00C8189B"/>
    <w:rsid w:val="00C82179"/>
    <w:rsid w:val="00C82E4D"/>
    <w:rsid w:val="00C8343A"/>
    <w:rsid w:val="00C84E57"/>
    <w:rsid w:val="00C90D1E"/>
    <w:rsid w:val="00C92325"/>
    <w:rsid w:val="00C925FA"/>
    <w:rsid w:val="00C92C2B"/>
    <w:rsid w:val="00C92E5A"/>
    <w:rsid w:val="00C947D7"/>
    <w:rsid w:val="00C96F6F"/>
    <w:rsid w:val="00C97F09"/>
    <w:rsid w:val="00CA0575"/>
    <w:rsid w:val="00CA09CC"/>
    <w:rsid w:val="00CA1299"/>
    <w:rsid w:val="00CA133C"/>
    <w:rsid w:val="00CA42E3"/>
    <w:rsid w:val="00CA572A"/>
    <w:rsid w:val="00CA75BC"/>
    <w:rsid w:val="00CB0968"/>
    <w:rsid w:val="00CB0A89"/>
    <w:rsid w:val="00CB0B43"/>
    <w:rsid w:val="00CB1D5C"/>
    <w:rsid w:val="00CB2380"/>
    <w:rsid w:val="00CB239D"/>
    <w:rsid w:val="00CB40AE"/>
    <w:rsid w:val="00CB609E"/>
    <w:rsid w:val="00CB62FF"/>
    <w:rsid w:val="00CB6494"/>
    <w:rsid w:val="00CB6ED7"/>
    <w:rsid w:val="00CB760A"/>
    <w:rsid w:val="00CB7ECC"/>
    <w:rsid w:val="00CC033C"/>
    <w:rsid w:val="00CC431C"/>
    <w:rsid w:val="00CC5C1A"/>
    <w:rsid w:val="00CC60AC"/>
    <w:rsid w:val="00CD3F55"/>
    <w:rsid w:val="00CE17EC"/>
    <w:rsid w:val="00CE29DA"/>
    <w:rsid w:val="00CE3E03"/>
    <w:rsid w:val="00CE4E23"/>
    <w:rsid w:val="00CE55E6"/>
    <w:rsid w:val="00CE5799"/>
    <w:rsid w:val="00CE6201"/>
    <w:rsid w:val="00CE6D0C"/>
    <w:rsid w:val="00CF0AE1"/>
    <w:rsid w:val="00CF0D87"/>
    <w:rsid w:val="00CF125C"/>
    <w:rsid w:val="00CF2450"/>
    <w:rsid w:val="00CF2799"/>
    <w:rsid w:val="00CF350C"/>
    <w:rsid w:val="00CF3BEA"/>
    <w:rsid w:val="00CF4253"/>
    <w:rsid w:val="00CF45B1"/>
    <w:rsid w:val="00CF59E9"/>
    <w:rsid w:val="00CF6171"/>
    <w:rsid w:val="00CF665D"/>
    <w:rsid w:val="00CF6AE4"/>
    <w:rsid w:val="00CF6F87"/>
    <w:rsid w:val="00D004E6"/>
    <w:rsid w:val="00D02004"/>
    <w:rsid w:val="00D02DBA"/>
    <w:rsid w:val="00D031CB"/>
    <w:rsid w:val="00D03F2B"/>
    <w:rsid w:val="00D0536F"/>
    <w:rsid w:val="00D06732"/>
    <w:rsid w:val="00D06FBF"/>
    <w:rsid w:val="00D075C0"/>
    <w:rsid w:val="00D07BA1"/>
    <w:rsid w:val="00D07C5B"/>
    <w:rsid w:val="00D106F8"/>
    <w:rsid w:val="00D118AD"/>
    <w:rsid w:val="00D1214D"/>
    <w:rsid w:val="00D144FA"/>
    <w:rsid w:val="00D158D6"/>
    <w:rsid w:val="00D168FA"/>
    <w:rsid w:val="00D17413"/>
    <w:rsid w:val="00D20147"/>
    <w:rsid w:val="00D20E23"/>
    <w:rsid w:val="00D24C53"/>
    <w:rsid w:val="00D25173"/>
    <w:rsid w:val="00D25C32"/>
    <w:rsid w:val="00D27728"/>
    <w:rsid w:val="00D3001F"/>
    <w:rsid w:val="00D30313"/>
    <w:rsid w:val="00D330C9"/>
    <w:rsid w:val="00D34323"/>
    <w:rsid w:val="00D41C3F"/>
    <w:rsid w:val="00D420CC"/>
    <w:rsid w:val="00D4346A"/>
    <w:rsid w:val="00D443F1"/>
    <w:rsid w:val="00D45A08"/>
    <w:rsid w:val="00D45E52"/>
    <w:rsid w:val="00D47E6F"/>
    <w:rsid w:val="00D50A82"/>
    <w:rsid w:val="00D50C20"/>
    <w:rsid w:val="00D51342"/>
    <w:rsid w:val="00D55A61"/>
    <w:rsid w:val="00D568DF"/>
    <w:rsid w:val="00D5744A"/>
    <w:rsid w:val="00D614D8"/>
    <w:rsid w:val="00D622D1"/>
    <w:rsid w:val="00D62783"/>
    <w:rsid w:val="00D629D0"/>
    <w:rsid w:val="00D677A9"/>
    <w:rsid w:val="00D720D4"/>
    <w:rsid w:val="00D77EAC"/>
    <w:rsid w:val="00D80FAB"/>
    <w:rsid w:val="00D8317D"/>
    <w:rsid w:val="00D84067"/>
    <w:rsid w:val="00D87A82"/>
    <w:rsid w:val="00D87D44"/>
    <w:rsid w:val="00D903DF"/>
    <w:rsid w:val="00D960FF"/>
    <w:rsid w:val="00D97718"/>
    <w:rsid w:val="00DA0161"/>
    <w:rsid w:val="00DA28AB"/>
    <w:rsid w:val="00DA4FDC"/>
    <w:rsid w:val="00DA5BDC"/>
    <w:rsid w:val="00DA6A77"/>
    <w:rsid w:val="00DA6F9C"/>
    <w:rsid w:val="00DB00D3"/>
    <w:rsid w:val="00DB20A4"/>
    <w:rsid w:val="00DB2471"/>
    <w:rsid w:val="00DB5AF3"/>
    <w:rsid w:val="00DB6409"/>
    <w:rsid w:val="00DB758C"/>
    <w:rsid w:val="00DB7E20"/>
    <w:rsid w:val="00DC0D9A"/>
    <w:rsid w:val="00DC3CD1"/>
    <w:rsid w:val="00DC52AC"/>
    <w:rsid w:val="00DC7BEC"/>
    <w:rsid w:val="00DD0237"/>
    <w:rsid w:val="00DD5398"/>
    <w:rsid w:val="00DD5B50"/>
    <w:rsid w:val="00DD5EDE"/>
    <w:rsid w:val="00DD69BE"/>
    <w:rsid w:val="00DE1381"/>
    <w:rsid w:val="00DE2AF7"/>
    <w:rsid w:val="00DE2FEC"/>
    <w:rsid w:val="00DE3537"/>
    <w:rsid w:val="00DE366C"/>
    <w:rsid w:val="00DE374B"/>
    <w:rsid w:val="00DE418A"/>
    <w:rsid w:val="00DE68AE"/>
    <w:rsid w:val="00DF080E"/>
    <w:rsid w:val="00DF0B63"/>
    <w:rsid w:val="00DF0C19"/>
    <w:rsid w:val="00DF2A15"/>
    <w:rsid w:val="00DF32C8"/>
    <w:rsid w:val="00DF3723"/>
    <w:rsid w:val="00E01997"/>
    <w:rsid w:val="00E01D05"/>
    <w:rsid w:val="00E036D2"/>
    <w:rsid w:val="00E076D5"/>
    <w:rsid w:val="00E10718"/>
    <w:rsid w:val="00E13C04"/>
    <w:rsid w:val="00E14AC7"/>
    <w:rsid w:val="00E16E63"/>
    <w:rsid w:val="00E175D4"/>
    <w:rsid w:val="00E20951"/>
    <w:rsid w:val="00E215DF"/>
    <w:rsid w:val="00E21B08"/>
    <w:rsid w:val="00E21DDD"/>
    <w:rsid w:val="00E22BAD"/>
    <w:rsid w:val="00E230D7"/>
    <w:rsid w:val="00E23605"/>
    <w:rsid w:val="00E24ECA"/>
    <w:rsid w:val="00E259CA"/>
    <w:rsid w:val="00E27E8A"/>
    <w:rsid w:val="00E3119F"/>
    <w:rsid w:val="00E32C4B"/>
    <w:rsid w:val="00E33669"/>
    <w:rsid w:val="00E36B86"/>
    <w:rsid w:val="00E37E1B"/>
    <w:rsid w:val="00E4388D"/>
    <w:rsid w:val="00E438FC"/>
    <w:rsid w:val="00E43A93"/>
    <w:rsid w:val="00E43E54"/>
    <w:rsid w:val="00E459DA"/>
    <w:rsid w:val="00E50028"/>
    <w:rsid w:val="00E50411"/>
    <w:rsid w:val="00E52E68"/>
    <w:rsid w:val="00E54F28"/>
    <w:rsid w:val="00E55CD0"/>
    <w:rsid w:val="00E55EF4"/>
    <w:rsid w:val="00E56D46"/>
    <w:rsid w:val="00E642B2"/>
    <w:rsid w:val="00E64760"/>
    <w:rsid w:val="00E6537E"/>
    <w:rsid w:val="00E654DC"/>
    <w:rsid w:val="00E65BF8"/>
    <w:rsid w:val="00E660C9"/>
    <w:rsid w:val="00E6736A"/>
    <w:rsid w:val="00E67FE5"/>
    <w:rsid w:val="00E704E5"/>
    <w:rsid w:val="00E72330"/>
    <w:rsid w:val="00E740CB"/>
    <w:rsid w:val="00E749DD"/>
    <w:rsid w:val="00E75407"/>
    <w:rsid w:val="00E801E2"/>
    <w:rsid w:val="00E801EA"/>
    <w:rsid w:val="00E80261"/>
    <w:rsid w:val="00E80EB8"/>
    <w:rsid w:val="00E82ACF"/>
    <w:rsid w:val="00E83110"/>
    <w:rsid w:val="00E83840"/>
    <w:rsid w:val="00E83B01"/>
    <w:rsid w:val="00E843A2"/>
    <w:rsid w:val="00E85B56"/>
    <w:rsid w:val="00E85BB8"/>
    <w:rsid w:val="00E863A0"/>
    <w:rsid w:val="00E9091C"/>
    <w:rsid w:val="00E910F9"/>
    <w:rsid w:val="00E913D2"/>
    <w:rsid w:val="00E91675"/>
    <w:rsid w:val="00E922AC"/>
    <w:rsid w:val="00E9398C"/>
    <w:rsid w:val="00E95B0D"/>
    <w:rsid w:val="00EA06C8"/>
    <w:rsid w:val="00EA40E8"/>
    <w:rsid w:val="00EB0FA8"/>
    <w:rsid w:val="00EB12F3"/>
    <w:rsid w:val="00EB38A6"/>
    <w:rsid w:val="00EB66EE"/>
    <w:rsid w:val="00EB66FE"/>
    <w:rsid w:val="00EC0045"/>
    <w:rsid w:val="00EC01D0"/>
    <w:rsid w:val="00EC0774"/>
    <w:rsid w:val="00EC2E2F"/>
    <w:rsid w:val="00EC3861"/>
    <w:rsid w:val="00EC3B35"/>
    <w:rsid w:val="00ED14A0"/>
    <w:rsid w:val="00ED3A76"/>
    <w:rsid w:val="00ED3DA6"/>
    <w:rsid w:val="00ED47AB"/>
    <w:rsid w:val="00ED4D28"/>
    <w:rsid w:val="00ED5770"/>
    <w:rsid w:val="00ED6A29"/>
    <w:rsid w:val="00ED7561"/>
    <w:rsid w:val="00ED7A25"/>
    <w:rsid w:val="00EE0FD3"/>
    <w:rsid w:val="00EE29DC"/>
    <w:rsid w:val="00EE337B"/>
    <w:rsid w:val="00EE3EA3"/>
    <w:rsid w:val="00EE4090"/>
    <w:rsid w:val="00EE4557"/>
    <w:rsid w:val="00EE679D"/>
    <w:rsid w:val="00EE7BB8"/>
    <w:rsid w:val="00EF31D1"/>
    <w:rsid w:val="00EF6336"/>
    <w:rsid w:val="00EF65D3"/>
    <w:rsid w:val="00EF7D88"/>
    <w:rsid w:val="00F003BD"/>
    <w:rsid w:val="00F009CE"/>
    <w:rsid w:val="00F00C56"/>
    <w:rsid w:val="00F02C9A"/>
    <w:rsid w:val="00F046FB"/>
    <w:rsid w:val="00F0512B"/>
    <w:rsid w:val="00F06F24"/>
    <w:rsid w:val="00F10412"/>
    <w:rsid w:val="00F134DC"/>
    <w:rsid w:val="00F13ADA"/>
    <w:rsid w:val="00F14C6C"/>
    <w:rsid w:val="00F20910"/>
    <w:rsid w:val="00F210EF"/>
    <w:rsid w:val="00F230E0"/>
    <w:rsid w:val="00F2381C"/>
    <w:rsid w:val="00F23A8F"/>
    <w:rsid w:val="00F2553B"/>
    <w:rsid w:val="00F30356"/>
    <w:rsid w:val="00F35C26"/>
    <w:rsid w:val="00F35CC7"/>
    <w:rsid w:val="00F37C3F"/>
    <w:rsid w:val="00F40199"/>
    <w:rsid w:val="00F428F1"/>
    <w:rsid w:val="00F42B83"/>
    <w:rsid w:val="00F43712"/>
    <w:rsid w:val="00F442E1"/>
    <w:rsid w:val="00F47812"/>
    <w:rsid w:val="00F50286"/>
    <w:rsid w:val="00F503A2"/>
    <w:rsid w:val="00F53BB8"/>
    <w:rsid w:val="00F55771"/>
    <w:rsid w:val="00F5588C"/>
    <w:rsid w:val="00F55E1A"/>
    <w:rsid w:val="00F5663E"/>
    <w:rsid w:val="00F57683"/>
    <w:rsid w:val="00F600C7"/>
    <w:rsid w:val="00F61B68"/>
    <w:rsid w:val="00F6292E"/>
    <w:rsid w:val="00F631C6"/>
    <w:rsid w:val="00F6518A"/>
    <w:rsid w:val="00F6538D"/>
    <w:rsid w:val="00F70341"/>
    <w:rsid w:val="00F718E9"/>
    <w:rsid w:val="00F72F15"/>
    <w:rsid w:val="00F77CF5"/>
    <w:rsid w:val="00F81BDE"/>
    <w:rsid w:val="00F85A57"/>
    <w:rsid w:val="00F91273"/>
    <w:rsid w:val="00F91375"/>
    <w:rsid w:val="00F92BFB"/>
    <w:rsid w:val="00F941FB"/>
    <w:rsid w:val="00F94B35"/>
    <w:rsid w:val="00FA02F7"/>
    <w:rsid w:val="00FA3134"/>
    <w:rsid w:val="00FA334A"/>
    <w:rsid w:val="00FA51BC"/>
    <w:rsid w:val="00FA6B7C"/>
    <w:rsid w:val="00FB06E8"/>
    <w:rsid w:val="00FB2A57"/>
    <w:rsid w:val="00FB2E1D"/>
    <w:rsid w:val="00FC3D3E"/>
    <w:rsid w:val="00FC54A3"/>
    <w:rsid w:val="00FC5FAD"/>
    <w:rsid w:val="00FC751B"/>
    <w:rsid w:val="00FC7960"/>
    <w:rsid w:val="00FD1CFB"/>
    <w:rsid w:val="00FD5F6B"/>
    <w:rsid w:val="00FE0111"/>
    <w:rsid w:val="00FE0B8D"/>
    <w:rsid w:val="00FE2149"/>
    <w:rsid w:val="00FE6C5D"/>
    <w:rsid w:val="00FE7248"/>
    <w:rsid w:val="00FE7556"/>
    <w:rsid w:val="00FF0007"/>
    <w:rsid w:val="00FF0127"/>
    <w:rsid w:val="00FF1A3E"/>
    <w:rsid w:val="00FF3A3D"/>
    <w:rsid w:val="00FF4968"/>
    <w:rsid w:val="00FF4E72"/>
    <w:rsid w:val="00FF506E"/>
    <w:rsid w:val="00FF5A55"/>
    <w:rsid w:val="00FF6831"/>
    <w:rsid w:val="00FF6DAD"/>
    <w:rsid w:val="010067EF"/>
    <w:rsid w:val="01081AEA"/>
    <w:rsid w:val="012670EA"/>
    <w:rsid w:val="013D4B60"/>
    <w:rsid w:val="01481322"/>
    <w:rsid w:val="0165445A"/>
    <w:rsid w:val="017460A8"/>
    <w:rsid w:val="017872C6"/>
    <w:rsid w:val="017A6BD9"/>
    <w:rsid w:val="01957325"/>
    <w:rsid w:val="01984778"/>
    <w:rsid w:val="019F6D7C"/>
    <w:rsid w:val="01B36BD0"/>
    <w:rsid w:val="01C95373"/>
    <w:rsid w:val="01D149DD"/>
    <w:rsid w:val="01DB6EDE"/>
    <w:rsid w:val="01E53132"/>
    <w:rsid w:val="01EB07CF"/>
    <w:rsid w:val="01FF2992"/>
    <w:rsid w:val="020D30A8"/>
    <w:rsid w:val="0213141D"/>
    <w:rsid w:val="02141C42"/>
    <w:rsid w:val="0218457B"/>
    <w:rsid w:val="0219278C"/>
    <w:rsid w:val="021B25CE"/>
    <w:rsid w:val="021C3115"/>
    <w:rsid w:val="021E265F"/>
    <w:rsid w:val="02212075"/>
    <w:rsid w:val="02260BF5"/>
    <w:rsid w:val="02335A74"/>
    <w:rsid w:val="023B0E68"/>
    <w:rsid w:val="023F22C3"/>
    <w:rsid w:val="025D0434"/>
    <w:rsid w:val="025D4D8E"/>
    <w:rsid w:val="026B1067"/>
    <w:rsid w:val="027A45CD"/>
    <w:rsid w:val="027B6779"/>
    <w:rsid w:val="0288005D"/>
    <w:rsid w:val="02A01984"/>
    <w:rsid w:val="02A36C44"/>
    <w:rsid w:val="02A85C97"/>
    <w:rsid w:val="02A860E8"/>
    <w:rsid w:val="02A911E0"/>
    <w:rsid w:val="02B366C3"/>
    <w:rsid w:val="02B732BA"/>
    <w:rsid w:val="02BC06CA"/>
    <w:rsid w:val="02C156A1"/>
    <w:rsid w:val="02C72941"/>
    <w:rsid w:val="02DA1F3A"/>
    <w:rsid w:val="03006D56"/>
    <w:rsid w:val="03080D78"/>
    <w:rsid w:val="0310129E"/>
    <w:rsid w:val="03213229"/>
    <w:rsid w:val="0336363A"/>
    <w:rsid w:val="033B33E8"/>
    <w:rsid w:val="034022B5"/>
    <w:rsid w:val="0342339B"/>
    <w:rsid w:val="03567DC2"/>
    <w:rsid w:val="0362588B"/>
    <w:rsid w:val="037C4E29"/>
    <w:rsid w:val="038722A8"/>
    <w:rsid w:val="039B41C1"/>
    <w:rsid w:val="03A91AF9"/>
    <w:rsid w:val="03AF4245"/>
    <w:rsid w:val="03D1532B"/>
    <w:rsid w:val="03D56DF8"/>
    <w:rsid w:val="03D84D9A"/>
    <w:rsid w:val="03DD6848"/>
    <w:rsid w:val="03F95AA9"/>
    <w:rsid w:val="03FC48B0"/>
    <w:rsid w:val="03FE3EF3"/>
    <w:rsid w:val="040354C1"/>
    <w:rsid w:val="041D6BBE"/>
    <w:rsid w:val="04220170"/>
    <w:rsid w:val="043B5BDE"/>
    <w:rsid w:val="043F3231"/>
    <w:rsid w:val="04521E3C"/>
    <w:rsid w:val="045C354F"/>
    <w:rsid w:val="04692CA9"/>
    <w:rsid w:val="047E716D"/>
    <w:rsid w:val="04AC5B58"/>
    <w:rsid w:val="04BA64C7"/>
    <w:rsid w:val="04D53301"/>
    <w:rsid w:val="04F6113C"/>
    <w:rsid w:val="04FC359C"/>
    <w:rsid w:val="050749C9"/>
    <w:rsid w:val="05151950"/>
    <w:rsid w:val="0526590B"/>
    <w:rsid w:val="054505E8"/>
    <w:rsid w:val="05523135"/>
    <w:rsid w:val="05610516"/>
    <w:rsid w:val="05634469"/>
    <w:rsid w:val="05642009"/>
    <w:rsid w:val="056E3867"/>
    <w:rsid w:val="05AC0006"/>
    <w:rsid w:val="05AE4B60"/>
    <w:rsid w:val="05E13286"/>
    <w:rsid w:val="05E35962"/>
    <w:rsid w:val="05F15F19"/>
    <w:rsid w:val="05FB6175"/>
    <w:rsid w:val="060360D4"/>
    <w:rsid w:val="060B6997"/>
    <w:rsid w:val="06144F07"/>
    <w:rsid w:val="061816F7"/>
    <w:rsid w:val="06222576"/>
    <w:rsid w:val="063279C2"/>
    <w:rsid w:val="063576A3"/>
    <w:rsid w:val="063D605B"/>
    <w:rsid w:val="064B15E4"/>
    <w:rsid w:val="064B4707"/>
    <w:rsid w:val="06532B03"/>
    <w:rsid w:val="06562220"/>
    <w:rsid w:val="065628BC"/>
    <w:rsid w:val="06624721"/>
    <w:rsid w:val="06636565"/>
    <w:rsid w:val="06690119"/>
    <w:rsid w:val="06734D83"/>
    <w:rsid w:val="068060DE"/>
    <w:rsid w:val="06AB60C8"/>
    <w:rsid w:val="06B253E7"/>
    <w:rsid w:val="06BA7E6D"/>
    <w:rsid w:val="06D413C9"/>
    <w:rsid w:val="06D55EF9"/>
    <w:rsid w:val="06DA1CA9"/>
    <w:rsid w:val="06DC2DEF"/>
    <w:rsid w:val="06F061D0"/>
    <w:rsid w:val="070D3A00"/>
    <w:rsid w:val="072D0207"/>
    <w:rsid w:val="0736689A"/>
    <w:rsid w:val="0749208E"/>
    <w:rsid w:val="074B7BF8"/>
    <w:rsid w:val="074D3623"/>
    <w:rsid w:val="077F1C17"/>
    <w:rsid w:val="077F55C9"/>
    <w:rsid w:val="07854495"/>
    <w:rsid w:val="078B76CE"/>
    <w:rsid w:val="078D7EC3"/>
    <w:rsid w:val="07A2681A"/>
    <w:rsid w:val="07B02CEF"/>
    <w:rsid w:val="07B63EFB"/>
    <w:rsid w:val="07B87210"/>
    <w:rsid w:val="07BB67DE"/>
    <w:rsid w:val="07BD2709"/>
    <w:rsid w:val="07C02047"/>
    <w:rsid w:val="07C76242"/>
    <w:rsid w:val="07CA6A21"/>
    <w:rsid w:val="07D026C0"/>
    <w:rsid w:val="07DD6E2F"/>
    <w:rsid w:val="07EB4515"/>
    <w:rsid w:val="07EE0C14"/>
    <w:rsid w:val="07EF6B17"/>
    <w:rsid w:val="07F42EC3"/>
    <w:rsid w:val="07F73D7B"/>
    <w:rsid w:val="07FB7836"/>
    <w:rsid w:val="080808E6"/>
    <w:rsid w:val="080D00C8"/>
    <w:rsid w:val="083B347B"/>
    <w:rsid w:val="083F3AE6"/>
    <w:rsid w:val="084C6D4A"/>
    <w:rsid w:val="08546FE7"/>
    <w:rsid w:val="085741B6"/>
    <w:rsid w:val="085E7023"/>
    <w:rsid w:val="086D0837"/>
    <w:rsid w:val="086E346C"/>
    <w:rsid w:val="088126A3"/>
    <w:rsid w:val="088C251D"/>
    <w:rsid w:val="08985D5D"/>
    <w:rsid w:val="089F6B3C"/>
    <w:rsid w:val="08AE6343"/>
    <w:rsid w:val="08AF3439"/>
    <w:rsid w:val="08B209CD"/>
    <w:rsid w:val="08B33DA8"/>
    <w:rsid w:val="08BC7796"/>
    <w:rsid w:val="08BE691C"/>
    <w:rsid w:val="08CC2577"/>
    <w:rsid w:val="08E93D1E"/>
    <w:rsid w:val="08ED2CD6"/>
    <w:rsid w:val="08F037FA"/>
    <w:rsid w:val="08F33D56"/>
    <w:rsid w:val="08F63767"/>
    <w:rsid w:val="09001D6D"/>
    <w:rsid w:val="09272A60"/>
    <w:rsid w:val="092F3CD0"/>
    <w:rsid w:val="09342CFB"/>
    <w:rsid w:val="09350D51"/>
    <w:rsid w:val="0944359A"/>
    <w:rsid w:val="0947174C"/>
    <w:rsid w:val="09570BC6"/>
    <w:rsid w:val="095C7342"/>
    <w:rsid w:val="09732D79"/>
    <w:rsid w:val="097A0DBC"/>
    <w:rsid w:val="098D5F59"/>
    <w:rsid w:val="09924FE6"/>
    <w:rsid w:val="099A0675"/>
    <w:rsid w:val="09A56AA0"/>
    <w:rsid w:val="09AF661C"/>
    <w:rsid w:val="09B42EC2"/>
    <w:rsid w:val="09BE4F27"/>
    <w:rsid w:val="09C01BF5"/>
    <w:rsid w:val="09C27F6B"/>
    <w:rsid w:val="09CB6089"/>
    <w:rsid w:val="09CF73A7"/>
    <w:rsid w:val="09D92F4C"/>
    <w:rsid w:val="09E75BAC"/>
    <w:rsid w:val="09ED63EE"/>
    <w:rsid w:val="09EF0274"/>
    <w:rsid w:val="0A067F10"/>
    <w:rsid w:val="0A11463F"/>
    <w:rsid w:val="0A157CFC"/>
    <w:rsid w:val="0A4070CB"/>
    <w:rsid w:val="0A4A209B"/>
    <w:rsid w:val="0A596F55"/>
    <w:rsid w:val="0A6E2415"/>
    <w:rsid w:val="0A9917C4"/>
    <w:rsid w:val="0A9A0040"/>
    <w:rsid w:val="0A9A7E77"/>
    <w:rsid w:val="0AA769CA"/>
    <w:rsid w:val="0AA92883"/>
    <w:rsid w:val="0AAB1879"/>
    <w:rsid w:val="0ABC4999"/>
    <w:rsid w:val="0ABF7D8B"/>
    <w:rsid w:val="0AC67179"/>
    <w:rsid w:val="0AD43A02"/>
    <w:rsid w:val="0AD748F4"/>
    <w:rsid w:val="0ADF3589"/>
    <w:rsid w:val="0AE37875"/>
    <w:rsid w:val="0AF00134"/>
    <w:rsid w:val="0AF12517"/>
    <w:rsid w:val="0AF65D7F"/>
    <w:rsid w:val="0AF97DC1"/>
    <w:rsid w:val="0AFD3C7F"/>
    <w:rsid w:val="0B000D34"/>
    <w:rsid w:val="0B030AAE"/>
    <w:rsid w:val="0B034BCE"/>
    <w:rsid w:val="0B06234E"/>
    <w:rsid w:val="0B0F2322"/>
    <w:rsid w:val="0B100B65"/>
    <w:rsid w:val="0B1054C7"/>
    <w:rsid w:val="0B13768A"/>
    <w:rsid w:val="0B397CF3"/>
    <w:rsid w:val="0B422D73"/>
    <w:rsid w:val="0B61144B"/>
    <w:rsid w:val="0B654FAA"/>
    <w:rsid w:val="0B8B471A"/>
    <w:rsid w:val="0B994013"/>
    <w:rsid w:val="0BB2614A"/>
    <w:rsid w:val="0BB7107C"/>
    <w:rsid w:val="0BBA290D"/>
    <w:rsid w:val="0BD657ED"/>
    <w:rsid w:val="0BF033E0"/>
    <w:rsid w:val="0BF90BAB"/>
    <w:rsid w:val="0C0C4FBF"/>
    <w:rsid w:val="0C2D4C07"/>
    <w:rsid w:val="0C396A2E"/>
    <w:rsid w:val="0C482E5C"/>
    <w:rsid w:val="0C59691D"/>
    <w:rsid w:val="0C6105AD"/>
    <w:rsid w:val="0C635636"/>
    <w:rsid w:val="0C7B61B0"/>
    <w:rsid w:val="0C816B73"/>
    <w:rsid w:val="0C8801F7"/>
    <w:rsid w:val="0C8C1EF1"/>
    <w:rsid w:val="0C8D2015"/>
    <w:rsid w:val="0C901377"/>
    <w:rsid w:val="0C914859"/>
    <w:rsid w:val="0C930A7E"/>
    <w:rsid w:val="0CAD7C50"/>
    <w:rsid w:val="0CB760E7"/>
    <w:rsid w:val="0CBD2EC6"/>
    <w:rsid w:val="0CBF7E1A"/>
    <w:rsid w:val="0CC06860"/>
    <w:rsid w:val="0CC7463B"/>
    <w:rsid w:val="0CC87A1E"/>
    <w:rsid w:val="0CD706D3"/>
    <w:rsid w:val="0CDC6E97"/>
    <w:rsid w:val="0D05314D"/>
    <w:rsid w:val="0D0713E7"/>
    <w:rsid w:val="0D0E73B0"/>
    <w:rsid w:val="0D1A7B8D"/>
    <w:rsid w:val="0D1F0204"/>
    <w:rsid w:val="0D204FE9"/>
    <w:rsid w:val="0D240982"/>
    <w:rsid w:val="0D2F56EA"/>
    <w:rsid w:val="0D4646D3"/>
    <w:rsid w:val="0D4969D4"/>
    <w:rsid w:val="0D524F82"/>
    <w:rsid w:val="0D5A3D64"/>
    <w:rsid w:val="0D6E0E11"/>
    <w:rsid w:val="0D7D62E4"/>
    <w:rsid w:val="0D897A10"/>
    <w:rsid w:val="0D942205"/>
    <w:rsid w:val="0D9813D0"/>
    <w:rsid w:val="0DA46627"/>
    <w:rsid w:val="0DA63281"/>
    <w:rsid w:val="0DA675E9"/>
    <w:rsid w:val="0DD71E98"/>
    <w:rsid w:val="0DD83794"/>
    <w:rsid w:val="0E0013EF"/>
    <w:rsid w:val="0E0662D9"/>
    <w:rsid w:val="0E074135"/>
    <w:rsid w:val="0E0D1416"/>
    <w:rsid w:val="0E0F01ED"/>
    <w:rsid w:val="0E1030C3"/>
    <w:rsid w:val="0E297B4B"/>
    <w:rsid w:val="0E2C6421"/>
    <w:rsid w:val="0E2D2E93"/>
    <w:rsid w:val="0E3562C3"/>
    <w:rsid w:val="0E47210D"/>
    <w:rsid w:val="0E483A6B"/>
    <w:rsid w:val="0E4A0B86"/>
    <w:rsid w:val="0E521209"/>
    <w:rsid w:val="0E535BF2"/>
    <w:rsid w:val="0E746842"/>
    <w:rsid w:val="0E780F5D"/>
    <w:rsid w:val="0E833552"/>
    <w:rsid w:val="0E99714E"/>
    <w:rsid w:val="0E9C5F13"/>
    <w:rsid w:val="0EAA1D14"/>
    <w:rsid w:val="0EC05254"/>
    <w:rsid w:val="0ECB773E"/>
    <w:rsid w:val="0ED86A32"/>
    <w:rsid w:val="0EDF0EB3"/>
    <w:rsid w:val="0EE9557F"/>
    <w:rsid w:val="0EED13E4"/>
    <w:rsid w:val="0EF3717A"/>
    <w:rsid w:val="0F015BF0"/>
    <w:rsid w:val="0F246A8B"/>
    <w:rsid w:val="0F334EAC"/>
    <w:rsid w:val="0F3F1CFB"/>
    <w:rsid w:val="0F4075C9"/>
    <w:rsid w:val="0F432D3A"/>
    <w:rsid w:val="0F4D5D3F"/>
    <w:rsid w:val="0F4E5E70"/>
    <w:rsid w:val="0F5404D3"/>
    <w:rsid w:val="0F543D6E"/>
    <w:rsid w:val="0F594882"/>
    <w:rsid w:val="0F5D662A"/>
    <w:rsid w:val="0F614852"/>
    <w:rsid w:val="0F626F40"/>
    <w:rsid w:val="0F6970F4"/>
    <w:rsid w:val="0F6F50C4"/>
    <w:rsid w:val="0F735BF1"/>
    <w:rsid w:val="0F7C3725"/>
    <w:rsid w:val="0F9A40F9"/>
    <w:rsid w:val="0FAB6B91"/>
    <w:rsid w:val="0FBA4A39"/>
    <w:rsid w:val="0FC65D20"/>
    <w:rsid w:val="0FCA42ED"/>
    <w:rsid w:val="0FCE1623"/>
    <w:rsid w:val="0FCE2E27"/>
    <w:rsid w:val="0FFD4C63"/>
    <w:rsid w:val="10023C3B"/>
    <w:rsid w:val="100C3C42"/>
    <w:rsid w:val="10297728"/>
    <w:rsid w:val="103C5E8C"/>
    <w:rsid w:val="105A6605"/>
    <w:rsid w:val="105C65CA"/>
    <w:rsid w:val="10611EED"/>
    <w:rsid w:val="1064493C"/>
    <w:rsid w:val="10846EA6"/>
    <w:rsid w:val="109936C0"/>
    <w:rsid w:val="10A637F7"/>
    <w:rsid w:val="10BB21C8"/>
    <w:rsid w:val="10BC07E5"/>
    <w:rsid w:val="10BC2CBA"/>
    <w:rsid w:val="10C11053"/>
    <w:rsid w:val="10CB29AB"/>
    <w:rsid w:val="10E072B6"/>
    <w:rsid w:val="10EC3BBD"/>
    <w:rsid w:val="10F67316"/>
    <w:rsid w:val="10F957AD"/>
    <w:rsid w:val="11026D2B"/>
    <w:rsid w:val="111F5B12"/>
    <w:rsid w:val="112B525A"/>
    <w:rsid w:val="113E3FDC"/>
    <w:rsid w:val="114856A6"/>
    <w:rsid w:val="114A286B"/>
    <w:rsid w:val="11513D10"/>
    <w:rsid w:val="11515ABE"/>
    <w:rsid w:val="115D64E3"/>
    <w:rsid w:val="116474E7"/>
    <w:rsid w:val="116577BB"/>
    <w:rsid w:val="116869A8"/>
    <w:rsid w:val="116B605E"/>
    <w:rsid w:val="116C72B0"/>
    <w:rsid w:val="1170168D"/>
    <w:rsid w:val="118578CB"/>
    <w:rsid w:val="11911933"/>
    <w:rsid w:val="119547F9"/>
    <w:rsid w:val="119E22B8"/>
    <w:rsid w:val="11AA2C11"/>
    <w:rsid w:val="11AB1672"/>
    <w:rsid w:val="11C44EE0"/>
    <w:rsid w:val="11C87143"/>
    <w:rsid w:val="11C96AED"/>
    <w:rsid w:val="11DD56B0"/>
    <w:rsid w:val="11E5429F"/>
    <w:rsid w:val="11EB7CC0"/>
    <w:rsid w:val="11F748B7"/>
    <w:rsid w:val="11FB3563"/>
    <w:rsid w:val="11FD199C"/>
    <w:rsid w:val="12130FC5"/>
    <w:rsid w:val="12181221"/>
    <w:rsid w:val="121F203B"/>
    <w:rsid w:val="1222460C"/>
    <w:rsid w:val="1237764F"/>
    <w:rsid w:val="123B7293"/>
    <w:rsid w:val="12484A66"/>
    <w:rsid w:val="12541D09"/>
    <w:rsid w:val="125C7FC2"/>
    <w:rsid w:val="126F6B43"/>
    <w:rsid w:val="127B3CD7"/>
    <w:rsid w:val="128D4355"/>
    <w:rsid w:val="129026FE"/>
    <w:rsid w:val="129739A4"/>
    <w:rsid w:val="12A37004"/>
    <w:rsid w:val="12B1014F"/>
    <w:rsid w:val="12B1618C"/>
    <w:rsid w:val="12B2187E"/>
    <w:rsid w:val="12BE7183"/>
    <w:rsid w:val="12BF4468"/>
    <w:rsid w:val="12C17FCE"/>
    <w:rsid w:val="12C40DCE"/>
    <w:rsid w:val="12C77D31"/>
    <w:rsid w:val="12D06EB6"/>
    <w:rsid w:val="12D774DF"/>
    <w:rsid w:val="12DD452D"/>
    <w:rsid w:val="12DF3F0F"/>
    <w:rsid w:val="12ED398C"/>
    <w:rsid w:val="1304306D"/>
    <w:rsid w:val="13185A28"/>
    <w:rsid w:val="131E2C60"/>
    <w:rsid w:val="132D2147"/>
    <w:rsid w:val="1330147F"/>
    <w:rsid w:val="13374526"/>
    <w:rsid w:val="13380C42"/>
    <w:rsid w:val="134B79F1"/>
    <w:rsid w:val="13530151"/>
    <w:rsid w:val="13603D77"/>
    <w:rsid w:val="136510D8"/>
    <w:rsid w:val="136974D6"/>
    <w:rsid w:val="137E2E0E"/>
    <w:rsid w:val="1383036C"/>
    <w:rsid w:val="1386415C"/>
    <w:rsid w:val="13901C58"/>
    <w:rsid w:val="13983700"/>
    <w:rsid w:val="139A7126"/>
    <w:rsid w:val="13B41C34"/>
    <w:rsid w:val="13B53E30"/>
    <w:rsid w:val="13BC6193"/>
    <w:rsid w:val="13BD59E8"/>
    <w:rsid w:val="13C0517C"/>
    <w:rsid w:val="13C22CA3"/>
    <w:rsid w:val="13CC325D"/>
    <w:rsid w:val="13CF420D"/>
    <w:rsid w:val="13D51637"/>
    <w:rsid w:val="13DD1395"/>
    <w:rsid w:val="13DD5D2E"/>
    <w:rsid w:val="13E54D31"/>
    <w:rsid w:val="13E72709"/>
    <w:rsid w:val="13F31C2E"/>
    <w:rsid w:val="13F32E07"/>
    <w:rsid w:val="13F57B76"/>
    <w:rsid w:val="13F656FA"/>
    <w:rsid w:val="140908D1"/>
    <w:rsid w:val="141E0F54"/>
    <w:rsid w:val="14203E36"/>
    <w:rsid w:val="142B24DE"/>
    <w:rsid w:val="1444250F"/>
    <w:rsid w:val="14461E70"/>
    <w:rsid w:val="1448764C"/>
    <w:rsid w:val="144A1274"/>
    <w:rsid w:val="146F6FD9"/>
    <w:rsid w:val="147736EE"/>
    <w:rsid w:val="14822F10"/>
    <w:rsid w:val="14994EDB"/>
    <w:rsid w:val="14B051F1"/>
    <w:rsid w:val="14B1053D"/>
    <w:rsid w:val="14B46FF6"/>
    <w:rsid w:val="14BE6631"/>
    <w:rsid w:val="14C508D2"/>
    <w:rsid w:val="14D06523"/>
    <w:rsid w:val="14D50FD8"/>
    <w:rsid w:val="14EA0703"/>
    <w:rsid w:val="14F43214"/>
    <w:rsid w:val="14F51992"/>
    <w:rsid w:val="15165F8A"/>
    <w:rsid w:val="151F3C8A"/>
    <w:rsid w:val="1522166C"/>
    <w:rsid w:val="15346D5E"/>
    <w:rsid w:val="153750CC"/>
    <w:rsid w:val="15411619"/>
    <w:rsid w:val="15451DDD"/>
    <w:rsid w:val="155D0C19"/>
    <w:rsid w:val="1568787A"/>
    <w:rsid w:val="156E7F37"/>
    <w:rsid w:val="156F6351"/>
    <w:rsid w:val="157035C4"/>
    <w:rsid w:val="157E0F58"/>
    <w:rsid w:val="158521DA"/>
    <w:rsid w:val="15971744"/>
    <w:rsid w:val="159C1280"/>
    <w:rsid w:val="15A07014"/>
    <w:rsid w:val="15BB1988"/>
    <w:rsid w:val="15D46CBD"/>
    <w:rsid w:val="15D62A35"/>
    <w:rsid w:val="15D720E2"/>
    <w:rsid w:val="15DA053F"/>
    <w:rsid w:val="15DA3CC3"/>
    <w:rsid w:val="15DC563F"/>
    <w:rsid w:val="15DE3A5E"/>
    <w:rsid w:val="160D7DE5"/>
    <w:rsid w:val="160E1B5C"/>
    <w:rsid w:val="160E1CEF"/>
    <w:rsid w:val="1612467B"/>
    <w:rsid w:val="1616758B"/>
    <w:rsid w:val="161B3E90"/>
    <w:rsid w:val="161E289F"/>
    <w:rsid w:val="16252A69"/>
    <w:rsid w:val="162C74D3"/>
    <w:rsid w:val="162E7AA8"/>
    <w:rsid w:val="1638712F"/>
    <w:rsid w:val="163F05DA"/>
    <w:rsid w:val="164107F7"/>
    <w:rsid w:val="164B5E56"/>
    <w:rsid w:val="165B65E9"/>
    <w:rsid w:val="165D4D8B"/>
    <w:rsid w:val="166E7112"/>
    <w:rsid w:val="16786309"/>
    <w:rsid w:val="16805407"/>
    <w:rsid w:val="168C7A63"/>
    <w:rsid w:val="168E1562"/>
    <w:rsid w:val="168E685B"/>
    <w:rsid w:val="16907F82"/>
    <w:rsid w:val="16990BF1"/>
    <w:rsid w:val="16B20D11"/>
    <w:rsid w:val="16B60AB2"/>
    <w:rsid w:val="16DA0B4B"/>
    <w:rsid w:val="16E9007D"/>
    <w:rsid w:val="16EE64E3"/>
    <w:rsid w:val="16FE5F68"/>
    <w:rsid w:val="170A6994"/>
    <w:rsid w:val="170D31AB"/>
    <w:rsid w:val="170F4451"/>
    <w:rsid w:val="171565F3"/>
    <w:rsid w:val="171C091C"/>
    <w:rsid w:val="172016ED"/>
    <w:rsid w:val="172A4669"/>
    <w:rsid w:val="172C5003"/>
    <w:rsid w:val="172E4CF4"/>
    <w:rsid w:val="173B31E0"/>
    <w:rsid w:val="174721C5"/>
    <w:rsid w:val="174A1E03"/>
    <w:rsid w:val="175B6509"/>
    <w:rsid w:val="176045F4"/>
    <w:rsid w:val="1766163A"/>
    <w:rsid w:val="177414B4"/>
    <w:rsid w:val="177568D5"/>
    <w:rsid w:val="177F0B00"/>
    <w:rsid w:val="17813DD8"/>
    <w:rsid w:val="1783099B"/>
    <w:rsid w:val="178C3EEA"/>
    <w:rsid w:val="17945E3F"/>
    <w:rsid w:val="179770DC"/>
    <w:rsid w:val="179D54C6"/>
    <w:rsid w:val="179E3A27"/>
    <w:rsid w:val="17A76F7B"/>
    <w:rsid w:val="17AB21ED"/>
    <w:rsid w:val="17AF1790"/>
    <w:rsid w:val="17BC0A7E"/>
    <w:rsid w:val="17CE2CED"/>
    <w:rsid w:val="17D15BAA"/>
    <w:rsid w:val="17E629FD"/>
    <w:rsid w:val="17F319E7"/>
    <w:rsid w:val="17FE0630"/>
    <w:rsid w:val="18215E67"/>
    <w:rsid w:val="18253A86"/>
    <w:rsid w:val="183E13B9"/>
    <w:rsid w:val="183E33BE"/>
    <w:rsid w:val="184C66C8"/>
    <w:rsid w:val="18562B69"/>
    <w:rsid w:val="18637CF8"/>
    <w:rsid w:val="186B792F"/>
    <w:rsid w:val="186D600C"/>
    <w:rsid w:val="186F659C"/>
    <w:rsid w:val="188C206F"/>
    <w:rsid w:val="18903A80"/>
    <w:rsid w:val="18A64941"/>
    <w:rsid w:val="18AE76FA"/>
    <w:rsid w:val="18B0756E"/>
    <w:rsid w:val="18B1324F"/>
    <w:rsid w:val="18B65BED"/>
    <w:rsid w:val="18BD2580"/>
    <w:rsid w:val="18C52926"/>
    <w:rsid w:val="18D05636"/>
    <w:rsid w:val="18D74A9C"/>
    <w:rsid w:val="18DC0D8B"/>
    <w:rsid w:val="18FC27B3"/>
    <w:rsid w:val="1903629F"/>
    <w:rsid w:val="19130F5B"/>
    <w:rsid w:val="19194749"/>
    <w:rsid w:val="191A1B9E"/>
    <w:rsid w:val="1921046B"/>
    <w:rsid w:val="192A4090"/>
    <w:rsid w:val="1933246A"/>
    <w:rsid w:val="19394D25"/>
    <w:rsid w:val="19416816"/>
    <w:rsid w:val="194D5559"/>
    <w:rsid w:val="195373D4"/>
    <w:rsid w:val="195D6EC4"/>
    <w:rsid w:val="196A3C54"/>
    <w:rsid w:val="197871D3"/>
    <w:rsid w:val="198029A4"/>
    <w:rsid w:val="19845ABE"/>
    <w:rsid w:val="198B5042"/>
    <w:rsid w:val="198C5671"/>
    <w:rsid w:val="19A47FA4"/>
    <w:rsid w:val="19AA42DA"/>
    <w:rsid w:val="19C441E6"/>
    <w:rsid w:val="19D05DF6"/>
    <w:rsid w:val="19D47421"/>
    <w:rsid w:val="19D615B8"/>
    <w:rsid w:val="19D82584"/>
    <w:rsid w:val="19D83220"/>
    <w:rsid w:val="1A0758B3"/>
    <w:rsid w:val="1A127780"/>
    <w:rsid w:val="1A142393"/>
    <w:rsid w:val="1A476510"/>
    <w:rsid w:val="1A4865AB"/>
    <w:rsid w:val="1A4B77CB"/>
    <w:rsid w:val="1A5A2E60"/>
    <w:rsid w:val="1A662169"/>
    <w:rsid w:val="1A662EEE"/>
    <w:rsid w:val="1A6A039D"/>
    <w:rsid w:val="1A6C7B84"/>
    <w:rsid w:val="1A731405"/>
    <w:rsid w:val="1A78579F"/>
    <w:rsid w:val="1A7E2877"/>
    <w:rsid w:val="1A8574F4"/>
    <w:rsid w:val="1A863815"/>
    <w:rsid w:val="1A875A02"/>
    <w:rsid w:val="1A894465"/>
    <w:rsid w:val="1A9165C6"/>
    <w:rsid w:val="1A9703B4"/>
    <w:rsid w:val="1AA67C7B"/>
    <w:rsid w:val="1AC11B9D"/>
    <w:rsid w:val="1AC5129A"/>
    <w:rsid w:val="1AC7388A"/>
    <w:rsid w:val="1ACA449F"/>
    <w:rsid w:val="1AD349A4"/>
    <w:rsid w:val="1AD46051"/>
    <w:rsid w:val="1AE3384E"/>
    <w:rsid w:val="1AF076EF"/>
    <w:rsid w:val="1AF923E9"/>
    <w:rsid w:val="1AFB1000"/>
    <w:rsid w:val="1AFC7536"/>
    <w:rsid w:val="1B012302"/>
    <w:rsid w:val="1B0966C4"/>
    <w:rsid w:val="1B0F5899"/>
    <w:rsid w:val="1B1F4E7E"/>
    <w:rsid w:val="1B1F6891"/>
    <w:rsid w:val="1B214E80"/>
    <w:rsid w:val="1B2736C9"/>
    <w:rsid w:val="1B2D7DA5"/>
    <w:rsid w:val="1B2E7E9B"/>
    <w:rsid w:val="1B38792A"/>
    <w:rsid w:val="1B42234F"/>
    <w:rsid w:val="1B5944E3"/>
    <w:rsid w:val="1B612829"/>
    <w:rsid w:val="1B7300C2"/>
    <w:rsid w:val="1B831D24"/>
    <w:rsid w:val="1B8A3BCD"/>
    <w:rsid w:val="1B8B1502"/>
    <w:rsid w:val="1B917BBD"/>
    <w:rsid w:val="1BA649B0"/>
    <w:rsid w:val="1BA76EBE"/>
    <w:rsid w:val="1BAD6015"/>
    <w:rsid w:val="1BCF1DE3"/>
    <w:rsid w:val="1BD633D5"/>
    <w:rsid w:val="1BD8041E"/>
    <w:rsid w:val="1BD879B1"/>
    <w:rsid w:val="1BDD1706"/>
    <w:rsid w:val="1BDF749D"/>
    <w:rsid w:val="1BE81090"/>
    <w:rsid w:val="1BEC7C77"/>
    <w:rsid w:val="1BF22E33"/>
    <w:rsid w:val="1BF335BB"/>
    <w:rsid w:val="1C0028DC"/>
    <w:rsid w:val="1C0230DB"/>
    <w:rsid w:val="1C0D2ADD"/>
    <w:rsid w:val="1C101829"/>
    <w:rsid w:val="1C1A7069"/>
    <w:rsid w:val="1C1B4FCD"/>
    <w:rsid w:val="1C281B11"/>
    <w:rsid w:val="1C336753"/>
    <w:rsid w:val="1C4208F0"/>
    <w:rsid w:val="1C447E53"/>
    <w:rsid w:val="1C511068"/>
    <w:rsid w:val="1C5C52C9"/>
    <w:rsid w:val="1C652E64"/>
    <w:rsid w:val="1C741E88"/>
    <w:rsid w:val="1C772591"/>
    <w:rsid w:val="1C7C1111"/>
    <w:rsid w:val="1C80736E"/>
    <w:rsid w:val="1C8A64A2"/>
    <w:rsid w:val="1C8E5B47"/>
    <w:rsid w:val="1C912C60"/>
    <w:rsid w:val="1C9C7BA6"/>
    <w:rsid w:val="1CAC6072"/>
    <w:rsid w:val="1CB251EF"/>
    <w:rsid w:val="1CB44341"/>
    <w:rsid w:val="1CC27DD5"/>
    <w:rsid w:val="1CCB0009"/>
    <w:rsid w:val="1CDB6B83"/>
    <w:rsid w:val="1CE96403"/>
    <w:rsid w:val="1CF2280A"/>
    <w:rsid w:val="1CF230FA"/>
    <w:rsid w:val="1CF42602"/>
    <w:rsid w:val="1D0A5E17"/>
    <w:rsid w:val="1D107028"/>
    <w:rsid w:val="1D1D1942"/>
    <w:rsid w:val="1D214D12"/>
    <w:rsid w:val="1D6F47AF"/>
    <w:rsid w:val="1D751802"/>
    <w:rsid w:val="1D76522A"/>
    <w:rsid w:val="1D7E5CA1"/>
    <w:rsid w:val="1D8A5318"/>
    <w:rsid w:val="1D920BFF"/>
    <w:rsid w:val="1DA33D00"/>
    <w:rsid w:val="1DA36120"/>
    <w:rsid w:val="1DA95DD2"/>
    <w:rsid w:val="1DAA642A"/>
    <w:rsid w:val="1DC35772"/>
    <w:rsid w:val="1DCF493A"/>
    <w:rsid w:val="1DE34F1F"/>
    <w:rsid w:val="1DF7659E"/>
    <w:rsid w:val="1DFF7A71"/>
    <w:rsid w:val="1E003A26"/>
    <w:rsid w:val="1E080009"/>
    <w:rsid w:val="1E1A1375"/>
    <w:rsid w:val="1E234E06"/>
    <w:rsid w:val="1E2C1658"/>
    <w:rsid w:val="1E2C1969"/>
    <w:rsid w:val="1E2D008F"/>
    <w:rsid w:val="1E2E46F6"/>
    <w:rsid w:val="1E2F388B"/>
    <w:rsid w:val="1E2F7E9D"/>
    <w:rsid w:val="1E352934"/>
    <w:rsid w:val="1E5D6124"/>
    <w:rsid w:val="1E696B3C"/>
    <w:rsid w:val="1E786D7F"/>
    <w:rsid w:val="1E7F5B46"/>
    <w:rsid w:val="1E8806AF"/>
    <w:rsid w:val="1EB34F18"/>
    <w:rsid w:val="1EC272B3"/>
    <w:rsid w:val="1EC637D0"/>
    <w:rsid w:val="1ED60CB4"/>
    <w:rsid w:val="1EDD0DA0"/>
    <w:rsid w:val="1EEE29E3"/>
    <w:rsid w:val="1EF72DB6"/>
    <w:rsid w:val="1F001EC5"/>
    <w:rsid w:val="1F14349D"/>
    <w:rsid w:val="1F262B22"/>
    <w:rsid w:val="1F2D360A"/>
    <w:rsid w:val="1F33745B"/>
    <w:rsid w:val="1F350728"/>
    <w:rsid w:val="1F43738D"/>
    <w:rsid w:val="1F5072EC"/>
    <w:rsid w:val="1F5478AB"/>
    <w:rsid w:val="1F581698"/>
    <w:rsid w:val="1F6325FE"/>
    <w:rsid w:val="1F6616CF"/>
    <w:rsid w:val="1F6743C0"/>
    <w:rsid w:val="1F6E213F"/>
    <w:rsid w:val="1F857D11"/>
    <w:rsid w:val="1FA31B8D"/>
    <w:rsid w:val="1FAB6CE1"/>
    <w:rsid w:val="1FAE4567"/>
    <w:rsid w:val="1FB90D9A"/>
    <w:rsid w:val="1FC810B4"/>
    <w:rsid w:val="1FD11701"/>
    <w:rsid w:val="1FE70154"/>
    <w:rsid w:val="1FEA2EF6"/>
    <w:rsid w:val="1FF1768E"/>
    <w:rsid w:val="1FF2016D"/>
    <w:rsid w:val="1FFE1B59"/>
    <w:rsid w:val="201265B6"/>
    <w:rsid w:val="20177481"/>
    <w:rsid w:val="20230F6D"/>
    <w:rsid w:val="20337402"/>
    <w:rsid w:val="20372AA3"/>
    <w:rsid w:val="20406CD3"/>
    <w:rsid w:val="204142F1"/>
    <w:rsid w:val="20414DDB"/>
    <w:rsid w:val="204F4127"/>
    <w:rsid w:val="205E05DF"/>
    <w:rsid w:val="205F5FBF"/>
    <w:rsid w:val="207012C3"/>
    <w:rsid w:val="209C4481"/>
    <w:rsid w:val="20A025BE"/>
    <w:rsid w:val="20A20EAC"/>
    <w:rsid w:val="20AC6B67"/>
    <w:rsid w:val="20B30D2E"/>
    <w:rsid w:val="20B802FC"/>
    <w:rsid w:val="20CF4C51"/>
    <w:rsid w:val="20DF6E1C"/>
    <w:rsid w:val="20E50DEB"/>
    <w:rsid w:val="20EA3839"/>
    <w:rsid w:val="20ED3692"/>
    <w:rsid w:val="21040D68"/>
    <w:rsid w:val="211104E7"/>
    <w:rsid w:val="211A6BC6"/>
    <w:rsid w:val="211B1C44"/>
    <w:rsid w:val="212B1C79"/>
    <w:rsid w:val="212E6BAA"/>
    <w:rsid w:val="212F796B"/>
    <w:rsid w:val="21371DF7"/>
    <w:rsid w:val="215D400B"/>
    <w:rsid w:val="21617CF3"/>
    <w:rsid w:val="21715D2F"/>
    <w:rsid w:val="21725571"/>
    <w:rsid w:val="217D3CDB"/>
    <w:rsid w:val="21887051"/>
    <w:rsid w:val="219646C6"/>
    <w:rsid w:val="21B82965"/>
    <w:rsid w:val="21BA04A7"/>
    <w:rsid w:val="21BC358A"/>
    <w:rsid w:val="21E1087A"/>
    <w:rsid w:val="21E176E1"/>
    <w:rsid w:val="21ED35E0"/>
    <w:rsid w:val="21F229A5"/>
    <w:rsid w:val="21FC40CC"/>
    <w:rsid w:val="220559F0"/>
    <w:rsid w:val="220C0CA9"/>
    <w:rsid w:val="2214696A"/>
    <w:rsid w:val="22196EC7"/>
    <w:rsid w:val="22342E4A"/>
    <w:rsid w:val="22395BB7"/>
    <w:rsid w:val="224257E9"/>
    <w:rsid w:val="22460F43"/>
    <w:rsid w:val="22485C40"/>
    <w:rsid w:val="225E2A1D"/>
    <w:rsid w:val="22613E6A"/>
    <w:rsid w:val="226265C6"/>
    <w:rsid w:val="226A79B6"/>
    <w:rsid w:val="2271251D"/>
    <w:rsid w:val="22794E1C"/>
    <w:rsid w:val="227D0828"/>
    <w:rsid w:val="229E5AD3"/>
    <w:rsid w:val="229F0FB4"/>
    <w:rsid w:val="22B20386"/>
    <w:rsid w:val="22BA387D"/>
    <w:rsid w:val="22BC4191"/>
    <w:rsid w:val="22BE7B97"/>
    <w:rsid w:val="22C53827"/>
    <w:rsid w:val="22CB75E1"/>
    <w:rsid w:val="22DB571D"/>
    <w:rsid w:val="22EE6E63"/>
    <w:rsid w:val="22FA49B0"/>
    <w:rsid w:val="230217F2"/>
    <w:rsid w:val="230C2312"/>
    <w:rsid w:val="231D6AE1"/>
    <w:rsid w:val="23352A00"/>
    <w:rsid w:val="23501FDB"/>
    <w:rsid w:val="23531B69"/>
    <w:rsid w:val="236C49D9"/>
    <w:rsid w:val="237C46C4"/>
    <w:rsid w:val="237F222E"/>
    <w:rsid w:val="23817861"/>
    <w:rsid w:val="238974AC"/>
    <w:rsid w:val="239D4BD9"/>
    <w:rsid w:val="23A92A5D"/>
    <w:rsid w:val="23A92D9E"/>
    <w:rsid w:val="23B24AE2"/>
    <w:rsid w:val="23C12C8E"/>
    <w:rsid w:val="23C23111"/>
    <w:rsid w:val="23C67966"/>
    <w:rsid w:val="23D82EDE"/>
    <w:rsid w:val="2402669B"/>
    <w:rsid w:val="24044C11"/>
    <w:rsid w:val="240931B9"/>
    <w:rsid w:val="24181A85"/>
    <w:rsid w:val="242E3C64"/>
    <w:rsid w:val="24310916"/>
    <w:rsid w:val="24330417"/>
    <w:rsid w:val="24343749"/>
    <w:rsid w:val="243C2970"/>
    <w:rsid w:val="24430EAE"/>
    <w:rsid w:val="245B0CD5"/>
    <w:rsid w:val="24643325"/>
    <w:rsid w:val="246B0D1B"/>
    <w:rsid w:val="24A57C75"/>
    <w:rsid w:val="24AD0163"/>
    <w:rsid w:val="24B421ED"/>
    <w:rsid w:val="24B64E89"/>
    <w:rsid w:val="24C543A1"/>
    <w:rsid w:val="24CB478F"/>
    <w:rsid w:val="24CB6C24"/>
    <w:rsid w:val="24D03CD9"/>
    <w:rsid w:val="24D15A62"/>
    <w:rsid w:val="24D24662"/>
    <w:rsid w:val="24D75CFE"/>
    <w:rsid w:val="24DB08BF"/>
    <w:rsid w:val="24E30833"/>
    <w:rsid w:val="24E915D8"/>
    <w:rsid w:val="24F237EE"/>
    <w:rsid w:val="24F56C8B"/>
    <w:rsid w:val="25071BCC"/>
    <w:rsid w:val="25091476"/>
    <w:rsid w:val="25113A8A"/>
    <w:rsid w:val="25123654"/>
    <w:rsid w:val="25155EAD"/>
    <w:rsid w:val="251B3DCE"/>
    <w:rsid w:val="25283D1B"/>
    <w:rsid w:val="25290DD3"/>
    <w:rsid w:val="252F3DD7"/>
    <w:rsid w:val="252F5D1E"/>
    <w:rsid w:val="254A4AA1"/>
    <w:rsid w:val="2553081A"/>
    <w:rsid w:val="256D7D02"/>
    <w:rsid w:val="2570301D"/>
    <w:rsid w:val="2573310A"/>
    <w:rsid w:val="25881E3C"/>
    <w:rsid w:val="25B05051"/>
    <w:rsid w:val="25BC404B"/>
    <w:rsid w:val="25EE374B"/>
    <w:rsid w:val="25F3318F"/>
    <w:rsid w:val="25FB30E3"/>
    <w:rsid w:val="26105599"/>
    <w:rsid w:val="26170279"/>
    <w:rsid w:val="26180A9D"/>
    <w:rsid w:val="261902D1"/>
    <w:rsid w:val="26261ADA"/>
    <w:rsid w:val="266B1EB9"/>
    <w:rsid w:val="267843B0"/>
    <w:rsid w:val="2678699C"/>
    <w:rsid w:val="26884BEE"/>
    <w:rsid w:val="268C4371"/>
    <w:rsid w:val="269E6B84"/>
    <w:rsid w:val="26AE1338"/>
    <w:rsid w:val="26AF31B5"/>
    <w:rsid w:val="26B318F9"/>
    <w:rsid w:val="26CC0DDC"/>
    <w:rsid w:val="26DD1E76"/>
    <w:rsid w:val="26E50D2A"/>
    <w:rsid w:val="26E63411"/>
    <w:rsid w:val="26EC030B"/>
    <w:rsid w:val="26F6076F"/>
    <w:rsid w:val="26F95B72"/>
    <w:rsid w:val="26FD5492"/>
    <w:rsid w:val="27012647"/>
    <w:rsid w:val="270D1B13"/>
    <w:rsid w:val="2734108E"/>
    <w:rsid w:val="27574463"/>
    <w:rsid w:val="275C2E5B"/>
    <w:rsid w:val="276E126F"/>
    <w:rsid w:val="277A04EC"/>
    <w:rsid w:val="2785395C"/>
    <w:rsid w:val="27855456"/>
    <w:rsid w:val="27874850"/>
    <w:rsid w:val="2788396D"/>
    <w:rsid w:val="27884D2D"/>
    <w:rsid w:val="278A123C"/>
    <w:rsid w:val="278B2A1B"/>
    <w:rsid w:val="279233F8"/>
    <w:rsid w:val="27951D99"/>
    <w:rsid w:val="27974D1E"/>
    <w:rsid w:val="27A6405E"/>
    <w:rsid w:val="27AA5353"/>
    <w:rsid w:val="27C222B8"/>
    <w:rsid w:val="27C2424A"/>
    <w:rsid w:val="27C923D4"/>
    <w:rsid w:val="27CE09EF"/>
    <w:rsid w:val="27DF6B59"/>
    <w:rsid w:val="27E20C51"/>
    <w:rsid w:val="27EF2AE2"/>
    <w:rsid w:val="27F979E2"/>
    <w:rsid w:val="281573ED"/>
    <w:rsid w:val="281713B7"/>
    <w:rsid w:val="28202567"/>
    <w:rsid w:val="28316592"/>
    <w:rsid w:val="28321167"/>
    <w:rsid w:val="283551FA"/>
    <w:rsid w:val="28385D57"/>
    <w:rsid w:val="28434993"/>
    <w:rsid w:val="28610884"/>
    <w:rsid w:val="28784795"/>
    <w:rsid w:val="287B4402"/>
    <w:rsid w:val="288558F5"/>
    <w:rsid w:val="28883EA3"/>
    <w:rsid w:val="288950DB"/>
    <w:rsid w:val="288C68DE"/>
    <w:rsid w:val="288D3427"/>
    <w:rsid w:val="28966FB0"/>
    <w:rsid w:val="28A21B3C"/>
    <w:rsid w:val="28A715E2"/>
    <w:rsid w:val="28AD3ACA"/>
    <w:rsid w:val="28C34CFC"/>
    <w:rsid w:val="28C4264D"/>
    <w:rsid w:val="28CA561E"/>
    <w:rsid w:val="28D50FBA"/>
    <w:rsid w:val="28DE6337"/>
    <w:rsid w:val="28E13535"/>
    <w:rsid w:val="28E73751"/>
    <w:rsid w:val="28E92A25"/>
    <w:rsid w:val="28EA206A"/>
    <w:rsid w:val="28EA6ACC"/>
    <w:rsid w:val="29080094"/>
    <w:rsid w:val="290F0294"/>
    <w:rsid w:val="29103956"/>
    <w:rsid w:val="2919278D"/>
    <w:rsid w:val="291F3FE9"/>
    <w:rsid w:val="29227B0E"/>
    <w:rsid w:val="293D6BFB"/>
    <w:rsid w:val="29440079"/>
    <w:rsid w:val="294477FD"/>
    <w:rsid w:val="294877AF"/>
    <w:rsid w:val="2951316E"/>
    <w:rsid w:val="29536220"/>
    <w:rsid w:val="29644054"/>
    <w:rsid w:val="29690999"/>
    <w:rsid w:val="296A5711"/>
    <w:rsid w:val="297C61D8"/>
    <w:rsid w:val="29873D39"/>
    <w:rsid w:val="298E4C0C"/>
    <w:rsid w:val="299A6280"/>
    <w:rsid w:val="29A273A6"/>
    <w:rsid w:val="29A6675D"/>
    <w:rsid w:val="29B11398"/>
    <w:rsid w:val="29B50E88"/>
    <w:rsid w:val="29B95226"/>
    <w:rsid w:val="29CB455F"/>
    <w:rsid w:val="29DA1ED4"/>
    <w:rsid w:val="29DD474B"/>
    <w:rsid w:val="29E6001E"/>
    <w:rsid w:val="29F0424B"/>
    <w:rsid w:val="2A1E5C2A"/>
    <w:rsid w:val="2A435B71"/>
    <w:rsid w:val="2A455140"/>
    <w:rsid w:val="2A482698"/>
    <w:rsid w:val="2A510485"/>
    <w:rsid w:val="2A523DB0"/>
    <w:rsid w:val="2A61691A"/>
    <w:rsid w:val="2A6960F6"/>
    <w:rsid w:val="2A6E5BE5"/>
    <w:rsid w:val="2A75021E"/>
    <w:rsid w:val="2A7803E4"/>
    <w:rsid w:val="2A7974AC"/>
    <w:rsid w:val="2A8028E0"/>
    <w:rsid w:val="2A8F784F"/>
    <w:rsid w:val="2A915A0E"/>
    <w:rsid w:val="2A936BAC"/>
    <w:rsid w:val="2A9F5694"/>
    <w:rsid w:val="2AA753C2"/>
    <w:rsid w:val="2AB121B1"/>
    <w:rsid w:val="2AD555EA"/>
    <w:rsid w:val="2AE544A0"/>
    <w:rsid w:val="2AF37EF3"/>
    <w:rsid w:val="2AF46D8F"/>
    <w:rsid w:val="2B290ABD"/>
    <w:rsid w:val="2B2A1401"/>
    <w:rsid w:val="2B2A4485"/>
    <w:rsid w:val="2B2E69F6"/>
    <w:rsid w:val="2B2F0000"/>
    <w:rsid w:val="2B471B3F"/>
    <w:rsid w:val="2B5F2E58"/>
    <w:rsid w:val="2B6D6BA7"/>
    <w:rsid w:val="2B736C54"/>
    <w:rsid w:val="2B955A10"/>
    <w:rsid w:val="2BA5123D"/>
    <w:rsid w:val="2BC02F87"/>
    <w:rsid w:val="2BC62991"/>
    <w:rsid w:val="2BD001FB"/>
    <w:rsid w:val="2BE43F38"/>
    <w:rsid w:val="2BE53950"/>
    <w:rsid w:val="2BEC6C4B"/>
    <w:rsid w:val="2BF51A0F"/>
    <w:rsid w:val="2BFA0C65"/>
    <w:rsid w:val="2C00749D"/>
    <w:rsid w:val="2C04115B"/>
    <w:rsid w:val="2C061C23"/>
    <w:rsid w:val="2C0C01B4"/>
    <w:rsid w:val="2C195BF9"/>
    <w:rsid w:val="2C242E3A"/>
    <w:rsid w:val="2C2F3172"/>
    <w:rsid w:val="2C555CB8"/>
    <w:rsid w:val="2C794ACC"/>
    <w:rsid w:val="2CB8488D"/>
    <w:rsid w:val="2CBA7CB1"/>
    <w:rsid w:val="2CC3253D"/>
    <w:rsid w:val="2CCA7499"/>
    <w:rsid w:val="2CD77343"/>
    <w:rsid w:val="2CE13D42"/>
    <w:rsid w:val="2CE82B7C"/>
    <w:rsid w:val="2CF75BF6"/>
    <w:rsid w:val="2D2D142C"/>
    <w:rsid w:val="2D3C381C"/>
    <w:rsid w:val="2D3D4F9F"/>
    <w:rsid w:val="2D521D2E"/>
    <w:rsid w:val="2D597D7C"/>
    <w:rsid w:val="2D646F5F"/>
    <w:rsid w:val="2D6F134E"/>
    <w:rsid w:val="2D7F5B8A"/>
    <w:rsid w:val="2D9634D1"/>
    <w:rsid w:val="2D9744F6"/>
    <w:rsid w:val="2DA831BF"/>
    <w:rsid w:val="2DB35827"/>
    <w:rsid w:val="2DD21C22"/>
    <w:rsid w:val="2DDB21DF"/>
    <w:rsid w:val="2DDB3ACF"/>
    <w:rsid w:val="2DE15D31"/>
    <w:rsid w:val="2DE51610"/>
    <w:rsid w:val="2DE9681E"/>
    <w:rsid w:val="2DF35D5C"/>
    <w:rsid w:val="2DF94B1E"/>
    <w:rsid w:val="2DFC7656"/>
    <w:rsid w:val="2DFE0330"/>
    <w:rsid w:val="2E056C42"/>
    <w:rsid w:val="2E1B1FA5"/>
    <w:rsid w:val="2E3878D2"/>
    <w:rsid w:val="2E3A6B55"/>
    <w:rsid w:val="2E652751"/>
    <w:rsid w:val="2E771240"/>
    <w:rsid w:val="2E7B74B5"/>
    <w:rsid w:val="2E8F49FF"/>
    <w:rsid w:val="2E9F1182"/>
    <w:rsid w:val="2EAB1F24"/>
    <w:rsid w:val="2EAD57EB"/>
    <w:rsid w:val="2EBB01C8"/>
    <w:rsid w:val="2EBC700B"/>
    <w:rsid w:val="2ECA4597"/>
    <w:rsid w:val="2ECA669A"/>
    <w:rsid w:val="2ECE13C5"/>
    <w:rsid w:val="2EDA7C7F"/>
    <w:rsid w:val="2EFD0590"/>
    <w:rsid w:val="2EFE507F"/>
    <w:rsid w:val="2F01372F"/>
    <w:rsid w:val="2F0D7A49"/>
    <w:rsid w:val="2F100BC8"/>
    <w:rsid w:val="2F104461"/>
    <w:rsid w:val="2F184960"/>
    <w:rsid w:val="2F1A10CB"/>
    <w:rsid w:val="2F234A47"/>
    <w:rsid w:val="2F39671F"/>
    <w:rsid w:val="2F4B3959"/>
    <w:rsid w:val="2F4D2249"/>
    <w:rsid w:val="2F515AEB"/>
    <w:rsid w:val="2F6847A5"/>
    <w:rsid w:val="2F6B333D"/>
    <w:rsid w:val="2F6D51AE"/>
    <w:rsid w:val="2F8131D9"/>
    <w:rsid w:val="2F8209AE"/>
    <w:rsid w:val="2F86602F"/>
    <w:rsid w:val="2F8F32DD"/>
    <w:rsid w:val="2F982AB5"/>
    <w:rsid w:val="2FBE77C5"/>
    <w:rsid w:val="2FC726AF"/>
    <w:rsid w:val="2FC95DFE"/>
    <w:rsid w:val="2FCF2577"/>
    <w:rsid w:val="2FD748EB"/>
    <w:rsid w:val="2FF16992"/>
    <w:rsid w:val="2FF52811"/>
    <w:rsid w:val="2FFD5337"/>
    <w:rsid w:val="301B08C4"/>
    <w:rsid w:val="302C7D96"/>
    <w:rsid w:val="302F1FB3"/>
    <w:rsid w:val="30314B47"/>
    <w:rsid w:val="30387FF2"/>
    <w:rsid w:val="303C2DE3"/>
    <w:rsid w:val="30664F9A"/>
    <w:rsid w:val="306D40EA"/>
    <w:rsid w:val="30725B22"/>
    <w:rsid w:val="308B10E8"/>
    <w:rsid w:val="30903935"/>
    <w:rsid w:val="309E62DE"/>
    <w:rsid w:val="30A9101A"/>
    <w:rsid w:val="30B11EBA"/>
    <w:rsid w:val="30CF3A5C"/>
    <w:rsid w:val="30D24087"/>
    <w:rsid w:val="30D46C02"/>
    <w:rsid w:val="30E32C7F"/>
    <w:rsid w:val="30E7150A"/>
    <w:rsid w:val="30ED0331"/>
    <w:rsid w:val="31010493"/>
    <w:rsid w:val="31093867"/>
    <w:rsid w:val="310B3146"/>
    <w:rsid w:val="3113431C"/>
    <w:rsid w:val="311741D6"/>
    <w:rsid w:val="311B342F"/>
    <w:rsid w:val="311B523E"/>
    <w:rsid w:val="311E64D8"/>
    <w:rsid w:val="312C6E78"/>
    <w:rsid w:val="31330872"/>
    <w:rsid w:val="31406FD5"/>
    <w:rsid w:val="3140784E"/>
    <w:rsid w:val="31413001"/>
    <w:rsid w:val="314A677E"/>
    <w:rsid w:val="314D3BD1"/>
    <w:rsid w:val="3163566D"/>
    <w:rsid w:val="316776D7"/>
    <w:rsid w:val="316778B6"/>
    <w:rsid w:val="31686BDC"/>
    <w:rsid w:val="317711D2"/>
    <w:rsid w:val="318712C2"/>
    <w:rsid w:val="318B46A0"/>
    <w:rsid w:val="31942B25"/>
    <w:rsid w:val="3194448B"/>
    <w:rsid w:val="31B61C41"/>
    <w:rsid w:val="31BF35F6"/>
    <w:rsid w:val="31D63257"/>
    <w:rsid w:val="31DA0763"/>
    <w:rsid w:val="31DA59AC"/>
    <w:rsid w:val="31DC2B61"/>
    <w:rsid w:val="31EA46AC"/>
    <w:rsid w:val="31EF6AFD"/>
    <w:rsid w:val="31FE7144"/>
    <w:rsid w:val="32116E77"/>
    <w:rsid w:val="321221B6"/>
    <w:rsid w:val="321223BC"/>
    <w:rsid w:val="32204A65"/>
    <w:rsid w:val="322E30BA"/>
    <w:rsid w:val="322F7B12"/>
    <w:rsid w:val="323B709E"/>
    <w:rsid w:val="32496611"/>
    <w:rsid w:val="32572E17"/>
    <w:rsid w:val="32666CDF"/>
    <w:rsid w:val="326E6078"/>
    <w:rsid w:val="326E7E26"/>
    <w:rsid w:val="32857205"/>
    <w:rsid w:val="32902319"/>
    <w:rsid w:val="329D5205"/>
    <w:rsid w:val="329D774F"/>
    <w:rsid w:val="32B44A1C"/>
    <w:rsid w:val="32BB299C"/>
    <w:rsid w:val="32BD0DAD"/>
    <w:rsid w:val="32D2756B"/>
    <w:rsid w:val="32DF368E"/>
    <w:rsid w:val="32EB76C8"/>
    <w:rsid w:val="32EF305C"/>
    <w:rsid w:val="32FF4F22"/>
    <w:rsid w:val="33012A39"/>
    <w:rsid w:val="330A7771"/>
    <w:rsid w:val="33151A4B"/>
    <w:rsid w:val="333D6683"/>
    <w:rsid w:val="334A6F13"/>
    <w:rsid w:val="334B563E"/>
    <w:rsid w:val="337B4EF0"/>
    <w:rsid w:val="33833DC7"/>
    <w:rsid w:val="338452B9"/>
    <w:rsid w:val="3386602F"/>
    <w:rsid w:val="338A6A48"/>
    <w:rsid w:val="33A539BF"/>
    <w:rsid w:val="33AB1F6B"/>
    <w:rsid w:val="33BC13DB"/>
    <w:rsid w:val="33C57F19"/>
    <w:rsid w:val="33C9467E"/>
    <w:rsid w:val="33CD5020"/>
    <w:rsid w:val="33CF2B46"/>
    <w:rsid w:val="33D32E9E"/>
    <w:rsid w:val="33D53ED4"/>
    <w:rsid w:val="33D82F1B"/>
    <w:rsid w:val="33E63CEE"/>
    <w:rsid w:val="3400145B"/>
    <w:rsid w:val="341C534A"/>
    <w:rsid w:val="3427297C"/>
    <w:rsid w:val="34285F81"/>
    <w:rsid w:val="342B5679"/>
    <w:rsid w:val="3435366F"/>
    <w:rsid w:val="344345B9"/>
    <w:rsid w:val="3449213D"/>
    <w:rsid w:val="344D5D74"/>
    <w:rsid w:val="34527F08"/>
    <w:rsid w:val="34534411"/>
    <w:rsid w:val="3459063B"/>
    <w:rsid w:val="34645D16"/>
    <w:rsid w:val="347100A1"/>
    <w:rsid w:val="348B2DD5"/>
    <w:rsid w:val="34A467D0"/>
    <w:rsid w:val="34A5245D"/>
    <w:rsid w:val="34CF23CE"/>
    <w:rsid w:val="34DD74E5"/>
    <w:rsid w:val="34DF500B"/>
    <w:rsid w:val="34E73BEA"/>
    <w:rsid w:val="34ED5511"/>
    <w:rsid w:val="34EE76E4"/>
    <w:rsid w:val="34F70DA6"/>
    <w:rsid w:val="351171F3"/>
    <w:rsid w:val="35134DD2"/>
    <w:rsid w:val="35153BC0"/>
    <w:rsid w:val="351565C9"/>
    <w:rsid w:val="35182185"/>
    <w:rsid w:val="35215623"/>
    <w:rsid w:val="3522433B"/>
    <w:rsid w:val="352F2590"/>
    <w:rsid w:val="35300635"/>
    <w:rsid w:val="353A4937"/>
    <w:rsid w:val="353E6368"/>
    <w:rsid w:val="35460A9A"/>
    <w:rsid w:val="35476989"/>
    <w:rsid w:val="35487436"/>
    <w:rsid w:val="35496928"/>
    <w:rsid w:val="35586B6B"/>
    <w:rsid w:val="355F3CED"/>
    <w:rsid w:val="3562717F"/>
    <w:rsid w:val="35643762"/>
    <w:rsid w:val="357A5A91"/>
    <w:rsid w:val="35872FA9"/>
    <w:rsid w:val="358B331D"/>
    <w:rsid w:val="358D2CB9"/>
    <w:rsid w:val="358D4A67"/>
    <w:rsid w:val="35A15276"/>
    <w:rsid w:val="35B03193"/>
    <w:rsid w:val="35B77802"/>
    <w:rsid w:val="35BC5F48"/>
    <w:rsid w:val="35C451C7"/>
    <w:rsid w:val="35C97A69"/>
    <w:rsid w:val="35CE1510"/>
    <w:rsid w:val="35E74D3A"/>
    <w:rsid w:val="35EB7C22"/>
    <w:rsid w:val="361909F0"/>
    <w:rsid w:val="361E1B63"/>
    <w:rsid w:val="3632560E"/>
    <w:rsid w:val="36341E61"/>
    <w:rsid w:val="36375C42"/>
    <w:rsid w:val="36394BEF"/>
    <w:rsid w:val="363D6170"/>
    <w:rsid w:val="364055DE"/>
    <w:rsid w:val="36407004"/>
    <w:rsid w:val="36487ED0"/>
    <w:rsid w:val="367E1551"/>
    <w:rsid w:val="368159A7"/>
    <w:rsid w:val="36905FD3"/>
    <w:rsid w:val="369969FF"/>
    <w:rsid w:val="36A14BAC"/>
    <w:rsid w:val="36B81FB7"/>
    <w:rsid w:val="36BA5D2F"/>
    <w:rsid w:val="36BD1909"/>
    <w:rsid w:val="36C4720C"/>
    <w:rsid w:val="36C73DF2"/>
    <w:rsid w:val="36C7429F"/>
    <w:rsid w:val="36D772D8"/>
    <w:rsid w:val="36DB506E"/>
    <w:rsid w:val="36E0147D"/>
    <w:rsid w:val="36E0150E"/>
    <w:rsid w:val="36E0473A"/>
    <w:rsid w:val="36EE59D0"/>
    <w:rsid w:val="36F62AE0"/>
    <w:rsid w:val="370156AA"/>
    <w:rsid w:val="370D6B0D"/>
    <w:rsid w:val="371177BA"/>
    <w:rsid w:val="371342E3"/>
    <w:rsid w:val="37154F50"/>
    <w:rsid w:val="371F6BA5"/>
    <w:rsid w:val="37242398"/>
    <w:rsid w:val="375C6C45"/>
    <w:rsid w:val="376A0C4B"/>
    <w:rsid w:val="376E599E"/>
    <w:rsid w:val="37751C56"/>
    <w:rsid w:val="377A1B09"/>
    <w:rsid w:val="3784188B"/>
    <w:rsid w:val="37857C22"/>
    <w:rsid w:val="37886710"/>
    <w:rsid w:val="378C17DC"/>
    <w:rsid w:val="378E2490"/>
    <w:rsid w:val="379956B4"/>
    <w:rsid w:val="37AC32BB"/>
    <w:rsid w:val="37B322B7"/>
    <w:rsid w:val="37CB2CF2"/>
    <w:rsid w:val="37D260A2"/>
    <w:rsid w:val="37DB5300"/>
    <w:rsid w:val="37ED5C91"/>
    <w:rsid w:val="37F22BA6"/>
    <w:rsid w:val="37F91C3E"/>
    <w:rsid w:val="38112C39"/>
    <w:rsid w:val="381C3679"/>
    <w:rsid w:val="382665EB"/>
    <w:rsid w:val="382A550C"/>
    <w:rsid w:val="38402264"/>
    <w:rsid w:val="38474CB8"/>
    <w:rsid w:val="384D0E6B"/>
    <w:rsid w:val="385C0836"/>
    <w:rsid w:val="385E093C"/>
    <w:rsid w:val="386A27FD"/>
    <w:rsid w:val="386A7FB6"/>
    <w:rsid w:val="38804E4E"/>
    <w:rsid w:val="38807E5C"/>
    <w:rsid w:val="38934BF8"/>
    <w:rsid w:val="38B91E08"/>
    <w:rsid w:val="38BA05C4"/>
    <w:rsid w:val="38BE7471"/>
    <w:rsid w:val="38CA0CD1"/>
    <w:rsid w:val="38D1017F"/>
    <w:rsid w:val="38D86941"/>
    <w:rsid w:val="38E40E66"/>
    <w:rsid w:val="38E96ED1"/>
    <w:rsid w:val="38EC7CF6"/>
    <w:rsid w:val="38F9042A"/>
    <w:rsid w:val="38FB2756"/>
    <w:rsid w:val="391B4E36"/>
    <w:rsid w:val="391E48A0"/>
    <w:rsid w:val="39236095"/>
    <w:rsid w:val="392A4223"/>
    <w:rsid w:val="393F47DD"/>
    <w:rsid w:val="395D29A2"/>
    <w:rsid w:val="39742F53"/>
    <w:rsid w:val="397D3044"/>
    <w:rsid w:val="398F0C47"/>
    <w:rsid w:val="39963727"/>
    <w:rsid w:val="3998582F"/>
    <w:rsid w:val="399E0316"/>
    <w:rsid w:val="39A405D1"/>
    <w:rsid w:val="39A71043"/>
    <w:rsid w:val="39AB5ED6"/>
    <w:rsid w:val="39B92CD2"/>
    <w:rsid w:val="39CE6ED0"/>
    <w:rsid w:val="39CF62E3"/>
    <w:rsid w:val="39D6302F"/>
    <w:rsid w:val="39E9321D"/>
    <w:rsid w:val="39F50E2C"/>
    <w:rsid w:val="39FB19A1"/>
    <w:rsid w:val="39FE23D7"/>
    <w:rsid w:val="3A064DE8"/>
    <w:rsid w:val="3A086016"/>
    <w:rsid w:val="3A232212"/>
    <w:rsid w:val="3A2366F2"/>
    <w:rsid w:val="3A282ADC"/>
    <w:rsid w:val="3A2F1A50"/>
    <w:rsid w:val="3A2F4AA7"/>
    <w:rsid w:val="3A336AE3"/>
    <w:rsid w:val="3A532BD6"/>
    <w:rsid w:val="3A574430"/>
    <w:rsid w:val="3A606BEE"/>
    <w:rsid w:val="3A6C11A6"/>
    <w:rsid w:val="3A7206CF"/>
    <w:rsid w:val="3A720D51"/>
    <w:rsid w:val="3A721910"/>
    <w:rsid w:val="3A722A45"/>
    <w:rsid w:val="3A7520A0"/>
    <w:rsid w:val="3A813B17"/>
    <w:rsid w:val="3A8723CC"/>
    <w:rsid w:val="3A9D45D1"/>
    <w:rsid w:val="3AB13AFF"/>
    <w:rsid w:val="3AD2085A"/>
    <w:rsid w:val="3AD8254E"/>
    <w:rsid w:val="3AED6A21"/>
    <w:rsid w:val="3AF01202"/>
    <w:rsid w:val="3AF63EA3"/>
    <w:rsid w:val="3AFC6560"/>
    <w:rsid w:val="3AFF5F84"/>
    <w:rsid w:val="3B0D21A6"/>
    <w:rsid w:val="3B131EB2"/>
    <w:rsid w:val="3B135A0E"/>
    <w:rsid w:val="3B1B27F6"/>
    <w:rsid w:val="3B2447C5"/>
    <w:rsid w:val="3B2B032F"/>
    <w:rsid w:val="3B2F72FD"/>
    <w:rsid w:val="3B3104C7"/>
    <w:rsid w:val="3B4D02BA"/>
    <w:rsid w:val="3B6528DC"/>
    <w:rsid w:val="3B69242B"/>
    <w:rsid w:val="3B712B29"/>
    <w:rsid w:val="3B726145"/>
    <w:rsid w:val="3B926EB9"/>
    <w:rsid w:val="3B9A2A95"/>
    <w:rsid w:val="3B9C47FF"/>
    <w:rsid w:val="3BA023EF"/>
    <w:rsid w:val="3BA26D92"/>
    <w:rsid w:val="3BB03F4E"/>
    <w:rsid w:val="3BBC0A3D"/>
    <w:rsid w:val="3BC95241"/>
    <w:rsid w:val="3BCC564F"/>
    <w:rsid w:val="3BD75A00"/>
    <w:rsid w:val="3BDE0FA3"/>
    <w:rsid w:val="3BF01606"/>
    <w:rsid w:val="3BFD6D6A"/>
    <w:rsid w:val="3C042AAE"/>
    <w:rsid w:val="3C05663F"/>
    <w:rsid w:val="3C0B2B89"/>
    <w:rsid w:val="3C17152E"/>
    <w:rsid w:val="3C186294"/>
    <w:rsid w:val="3C1C54DF"/>
    <w:rsid w:val="3C2961F4"/>
    <w:rsid w:val="3C361DB4"/>
    <w:rsid w:val="3C3D0ABF"/>
    <w:rsid w:val="3C4153B1"/>
    <w:rsid w:val="3C4D1660"/>
    <w:rsid w:val="3C660BC5"/>
    <w:rsid w:val="3C684260"/>
    <w:rsid w:val="3C6C637C"/>
    <w:rsid w:val="3C6D73A0"/>
    <w:rsid w:val="3C6F730F"/>
    <w:rsid w:val="3C7E36A4"/>
    <w:rsid w:val="3C9A7E87"/>
    <w:rsid w:val="3CAB7F16"/>
    <w:rsid w:val="3CBA010B"/>
    <w:rsid w:val="3CC164E8"/>
    <w:rsid w:val="3CD21B3E"/>
    <w:rsid w:val="3CF21F3A"/>
    <w:rsid w:val="3D0521F1"/>
    <w:rsid w:val="3D223D33"/>
    <w:rsid w:val="3D25453C"/>
    <w:rsid w:val="3D285F19"/>
    <w:rsid w:val="3D2D2354"/>
    <w:rsid w:val="3D325E7B"/>
    <w:rsid w:val="3D346110"/>
    <w:rsid w:val="3D373BF8"/>
    <w:rsid w:val="3D483383"/>
    <w:rsid w:val="3D540560"/>
    <w:rsid w:val="3D5707CF"/>
    <w:rsid w:val="3D5B369C"/>
    <w:rsid w:val="3D5C7187"/>
    <w:rsid w:val="3D673DEF"/>
    <w:rsid w:val="3D6E2290"/>
    <w:rsid w:val="3D7430F2"/>
    <w:rsid w:val="3D74779E"/>
    <w:rsid w:val="3D7B789B"/>
    <w:rsid w:val="3D9D4E93"/>
    <w:rsid w:val="3DBD6105"/>
    <w:rsid w:val="3DC170C4"/>
    <w:rsid w:val="3DD94FC6"/>
    <w:rsid w:val="3DF83E33"/>
    <w:rsid w:val="3DFF0DA8"/>
    <w:rsid w:val="3E1072C0"/>
    <w:rsid w:val="3E127AAF"/>
    <w:rsid w:val="3E134FF9"/>
    <w:rsid w:val="3E151A9D"/>
    <w:rsid w:val="3E1D4DD2"/>
    <w:rsid w:val="3E283C2A"/>
    <w:rsid w:val="3E35541F"/>
    <w:rsid w:val="3E3D29E4"/>
    <w:rsid w:val="3E4B69ED"/>
    <w:rsid w:val="3E5926FA"/>
    <w:rsid w:val="3E5975EF"/>
    <w:rsid w:val="3E6B790F"/>
    <w:rsid w:val="3E950E30"/>
    <w:rsid w:val="3E961849"/>
    <w:rsid w:val="3E9B570D"/>
    <w:rsid w:val="3EA705C0"/>
    <w:rsid w:val="3EA805F2"/>
    <w:rsid w:val="3EA958C2"/>
    <w:rsid w:val="3EAA6573"/>
    <w:rsid w:val="3EAC78A8"/>
    <w:rsid w:val="3EB54C4D"/>
    <w:rsid w:val="3EB64F36"/>
    <w:rsid w:val="3EBB3323"/>
    <w:rsid w:val="3ED15618"/>
    <w:rsid w:val="3ED30752"/>
    <w:rsid w:val="3ED61844"/>
    <w:rsid w:val="3EDC34DF"/>
    <w:rsid w:val="3EEF7D04"/>
    <w:rsid w:val="3F024F2C"/>
    <w:rsid w:val="3F200859"/>
    <w:rsid w:val="3F272CD8"/>
    <w:rsid w:val="3F2970B0"/>
    <w:rsid w:val="3F3024DB"/>
    <w:rsid w:val="3F372C52"/>
    <w:rsid w:val="3F422313"/>
    <w:rsid w:val="3F51556B"/>
    <w:rsid w:val="3F5211CD"/>
    <w:rsid w:val="3F54375B"/>
    <w:rsid w:val="3F6031EC"/>
    <w:rsid w:val="3F687097"/>
    <w:rsid w:val="3F6B12AB"/>
    <w:rsid w:val="3F857B0F"/>
    <w:rsid w:val="3F965BA1"/>
    <w:rsid w:val="3F9A75F9"/>
    <w:rsid w:val="3FA544A9"/>
    <w:rsid w:val="3FAC1D95"/>
    <w:rsid w:val="3FC6325B"/>
    <w:rsid w:val="3FCA33A4"/>
    <w:rsid w:val="3FCB1E77"/>
    <w:rsid w:val="3FCE32DD"/>
    <w:rsid w:val="3FD37592"/>
    <w:rsid w:val="3FDC28DE"/>
    <w:rsid w:val="3FE46809"/>
    <w:rsid w:val="3FF02E85"/>
    <w:rsid w:val="3FF51B86"/>
    <w:rsid w:val="40093CF1"/>
    <w:rsid w:val="400F3CD2"/>
    <w:rsid w:val="401452F0"/>
    <w:rsid w:val="40157FC0"/>
    <w:rsid w:val="40163B8F"/>
    <w:rsid w:val="4017129F"/>
    <w:rsid w:val="403A35A5"/>
    <w:rsid w:val="403F7352"/>
    <w:rsid w:val="40410736"/>
    <w:rsid w:val="4044134D"/>
    <w:rsid w:val="404470DE"/>
    <w:rsid w:val="40486C45"/>
    <w:rsid w:val="40592962"/>
    <w:rsid w:val="405A0477"/>
    <w:rsid w:val="405D6094"/>
    <w:rsid w:val="406C0987"/>
    <w:rsid w:val="40751A71"/>
    <w:rsid w:val="407C6C8D"/>
    <w:rsid w:val="407E7619"/>
    <w:rsid w:val="4081341A"/>
    <w:rsid w:val="40875571"/>
    <w:rsid w:val="40880C4C"/>
    <w:rsid w:val="40973DB9"/>
    <w:rsid w:val="409F031D"/>
    <w:rsid w:val="40A5552E"/>
    <w:rsid w:val="40A911CC"/>
    <w:rsid w:val="40AE3E16"/>
    <w:rsid w:val="40BE083D"/>
    <w:rsid w:val="40C55EEB"/>
    <w:rsid w:val="40CD3A0A"/>
    <w:rsid w:val="40D3661A"/>
    <w:rsid w:val="40D54F73"/>
    <w:rsid w:val="40E13EB9"/>
    <w:rsid w:val="40E763D9"/>
    <w:rsid w:val="40FC2769"/>
    <w:rsid w:val="41055EA0"/>
    <w:rsid w:val="41094611"/>
    <w:rsid w:val="41167687"/>
    <w:rsid w:val="411B1118"/>
    <w:rsid w:val="41226DA5"/>
    <w:rsid w:val="41252E4E"/>
    <w:rsid w:val="412978CC"/>
    <w:rsid w:val="413B4906"/>
    <w:rsid w:val="41434B73"/>
    <w:rsid w:val="41527566"/>
    <w:rsid w:val="41743599"/>
    <w:rsid w:val="417C349A"/>
    <w:rsid w:val="41872984"/>
    <w:rsid w:val="41882CA8"/>
    <w:rsid w:val="41887ED0"/>
    <w:rsid w:val="418F63A1"/>
    <w:rsid w:val="41932688"/>
    <w:rsid w:val="41953601"/>
    <w:rsid w:val="41A71805"/>
    <w:rsid w:val="41B26463"/>
    <w:rsid w:val="41B357DB"/>
    <w:rsid w:val="41B466C0"/>
    <w:rsid w:val="41BF712B"/>
    <w:rsid w:val="41DD28D2"/>
    <w:rsid w:val="41E029C4"/>
    <w:rsid w:val="41F00F53"/>
    <w:rsid w:val="41F60A9F"/>
    <w:rsid w:val="41F61DFA"/>
    <w:rsid w:val="41F86E87"/>
    <w:rsid w:val="41FA6005"/>
    <w:rsid w:val="41FC2EA7"/>
    <w:rsid w:val="42063C4E"/>
    <w:rsid w:val="420A5A9F"/>
    <w:rsid w:val="420D122E"/>
    <w:rsid w:val="42135E0B"/>
    <w:rsid w:val="423A6FAE"/>
    <w:rsid w:val="423C255F"/>
    <w:rsid w:val="42417305"/>
    <w:rsid w:val="425E6C79"/>
    <w:rsid w:val="426D7AC3"/>
    <w:rsid w:val="42780B6F"/>
    <w:rsid w:val="427A1E8D"/>
    <w:rsid w:val="428A4398"/>
    <w:rsid w:val="428A5910"/>
    <w:rsid w:val="42A72EE0"/>
    <w:rsid w:val="42AB263F"/>
    <w:rsid w:val="42AD1049"/>
    <w:rsid w:val="42AF057E"/>
    <w:rsid w:val="42B0448A"/>
    <w:rsid w:val="42C05453"/>
    <w:rsid w:val="42C76E30"/>
    <w:rsid w:val="42D77BC6"/>
    <w:rsid w:val="42E307B8"/>
    <w:rsid w:val="42F32A1E"/>
    <w:rsid w:val="42F51076"/>
    <w:rsid w:val="43045AEF"/>
    <w:rsid w:val="4331560D"/>
    <w:rsid w:val="433556A0"/>
    <w:rsid w:val="43366D16"/>
    <w:rsid w:val="433B78AD"/>
    <w:rsid w:val="434512B4"/>
    <w:rsid w:val="43456981"/>
    <w:rsid w:val="43736092"/>
    <w:rsid w:val="437A15DA"/>
    <w:rsid w:val="43813731"/>
    <w:rsid w:val="43956A04"/>
    <w:rsid w:val="43987CBD"/>
    <w:rsid w:val="439A5AF9"/>
    <w:rsid w:val="43C94F9C"/>
    <w:rsid w:val="43CA06DD"/>
    <w:rsid w:val="43CC1C3B"/>
    <w:rsid w:val="43D1290A"/>
    <w:rsid w:val="43DC6DE4"/>
    <w:rsid w:val="43DD12AF"/>
    <w:rsid w:val="43FE1C95"/>
    <w:rsid w:val="44011837"/>
    <w:rsid w:val="44072EA8"/>
    <w:rsid w:val="440B63B3"/>
    <w:rsid w:val="440F6043"/>
    <w:rsid w:val="441E1CBD"/>
    <w:rsid w:val="442135F9"/>
    <w:rsid w:val="442639AC"/>
    <w:rsid w:val="442D73A2"/>
    <w:rsid w:val="44372E90"/>
    <w:rsid w:val="443D6494"/>
    <w:rsid w:val="44427307"/>
    <w:rsid w:val="445926E0"/>
    <w:rsid w:val="445B33B8"/>
    <w:rsid w:val="446875DC"/>
    <w:rsid w:val="446F1BF3"/>
    <w:rsid w:val="447078A0"/>
    <w:rsid w:val="44707D42"/>
    <w:rsid w:val="447242AA"/>
    <w:rsid w:val="4473509A"/>
    <w:rsid w:val="4477101E"/>
    <w:rsid w:val="44777C51"/>
    <w:rsid w:val="447A27D2"/>
    <w:rsid w:val="44804AF1"/>
    <w:rsid w:val="44851285"/>
    <w:rsid w:val="44917BA1"/>
    <w:rsid w:val="44931BF3"/>
    <w:rsid w:val="44946C9D"/>
    <w:rsid w:val="449B0822"/>
    <w:rsid w:val="44B4278E"/>
    <w:rsid w:val="44B829F2"/>
    <w:rsid w:val="44BA5C98"/>
    <w:rsid w:val="44BE3F3F"/>
    <w:rsid w:val="44C74646"/>
    <w:rsid w:val="44DC6A82"/>
    <w:rsid w:val="44DD05F5"/>
    <w:rsid w:val="44E0134C"/>
    <w:rsid w:val="44E42595"/>
    <w:rsid w:val="44FA6B1C"/>
    <w:rsid w:val="44FE276C"/>
    <w:rsid w:val="45091C30"/>
    <w:rsid w:val="451829F4"/>
    <w:rsid w:val="45191B8D"/>
    <w:rsid w:val="452376A8"/>
    <w:rsid w:val="453676A4"/>
    <w:rsid w:val="454B2248"/>
    <w:rsid w:val="45507FC1"/>
    <w:rsid w:val="45654513"/>
    <w:rsid w:val="4566080E"/>
    <w:rsid w:val="45672435"/>
    <w:rsid w:val="45695941"/>
    <w:rsid w:val="456D4AE1"/>
    <w:rsid w:val="45727793"/>
    <w:rsid w:val="458C6B55"/>
    <w:rsid w:val="458E7C4E"/>
    <w:rsid w:val="45964849"/>
    <w:rsid w:val="45B62526"/>
    <w:rsid w:val="45BC4091"/>
    <w:rsid w:val="45C31511"/>
    <w:rsid w:val="45DC670F"/>
    <w:rsid w:val="45E84C14"/>
    <w:rsid w:val="45EF0E26"/>
    <w:rsid w:val="45F163C0"/>
    <w:rsid w:val="45F47FDC"/>
    <w:rsid w:val="45FB3A1B"/>
    <w:rsid w:val="45FF7B7D"/>
    <w:rsid w:val="46003B7E"/>
    <w:rsid w:val="46111165"/>
    <w:rsid w:val="46160AA8"/>
    <w:rsid w:val="46206B1E"/>
    <w:rsid w:val="46332488"/>
    <w:rsid w:val="4657282F"/>
    <w:rsid w:val="466369D6"/>
    <w:rsid w:val="467712F2"/>
    <w:rsid w:val="467C7C7D"/>
    <w:rsid w:val="46853787"/>
    <w:rsid w:val="469A5D07"/>
    <w:rsid w:val="46AE3679"/>
    <w:rsid w:val="46C82EE4"/>
    <w:rsid w:val="46ED0A3C"/>
    <w:rsid w:val="46EE732F"/>
    <w:rsid w:val="46FA2F4D"/>
    <w:rsid w:val="46FA5557"/>
    <w:rsid w:val="46FF6CBD"/>
    <w:rsid w:val="47216142"/>
    <w:rsid w:val="47466816"/>
    <w:rsid w:val="47475FFF"/>
    <w:rsid w:val="47495F86"/>
    <w:rsid w:val="47502C34"/>
    <w:rsid w:val="475D7C3F"/>
    <w:rsid w:val="476720B6"/>
    <w:rsid w:val="47674467"/>
    <w:rsid w:val="47760497"/>
    <w:rsid w:val="479B074E"/>
    <w:rsid w:val="479C6D8B"/>
    <w:rsid w:val="479D0F58"/>
    <w:rsid w:val="47B32128"/>
    <w:rsid w:val="47BF47F2"/>
    <w:rsid w:val="47CD33E9"/>
    <w:rsid w:val="47D00CA8"/>
    <w:rsid w:val="47D100B0"/>
    <w:rsid w:val="47D14E54"/>
    <w:rsid w:val="47D84234"/>
    <w:rsid w:val="47DC403F"/>
    <w:rsid w:val="47E66CB3"/>
    <w:rsid w:val="47F36D77"/>
    <w:rsid w:val="47F42E34"/>
    <w:rsid w:val="47F64CAB"/>
    <w:rsid w:val="47FD6E91"/>
    <w:rsid w:val="481A425C"/>
    <w:rsid w:val="481C1C7A"/>
    <w:rsid w:val="482254E2"/>
    <w:rsid w:val="48397FF9"/>
    <w:rsid w:val="48440396"/>
    <w:rsid w:val="48531B40"/>
    <w:rsid w:val="48584943"/>
    <w:rsid w:val="486024AF"/>
    <w:rsid w:val="48626AC8"/>
    <w:rsid w:val="48627FD5"/>
    <w:rsid w:val="48647F3F"/>
    <w:rsid w:val="48673571"/>
    <w:rsid w:val="48783354"/>
    <w:rsid w:val="4881610C"/>
    <w:rsid w:val="48A522A3"/>
    <w:rsid w:val="48AD5549"/>
    <w:rsid w:val="48B27CCC"/>
    <w:rsid w:val="48B3797B"/>
    <w:rsid w:val="48BF3746"/>
    <w:rsid w:val="48D16207"/>
    <w:rsid w:val="48D46F14"/>
    <w:rsid w:val="48E3641D"/>
    <w:rsid w:val="48E92B52"/>
    <w:rsid w:val="48EB0A27"/>
    <w:rsid w:val="48EC5AF0"/>
    <w:rsid w:val="48FB4C3A"/>
    <w:rsid w:val="48FD327C"/>
    <w:rsid w:val="49000E72"/>
    <w:rsid w:val="49256982"/>
    <w:rsid w:val="4927356A"/>
    <w:rsid w:val="49341828"/>
    <w:rsid w:val="494408DA"/>
    <w:rsid w:val="494704E0"/>
    <w:rsid w:val="495D7293"/>
    <w:rsid w:val="497E0FD4"/>
    <w:rsid w:val="49842D3D"/>
    <w:rsid w:val="498A6D34"/>
    <w:rsid w:val="498B107D"/>
    <w:rsid w:val="498B5693"/>
    <w:rsid w:val="49976C0C"/>
    <w:rsid w:val="499917D4"/>
    <w:rsid w:val="499F46D9"/>
    <w:rsid w:val="49A42BA5"/>
    <w:rsid w:val="49B00F1C"/>
    <w:rsid w:val="49B61B88"/>
    <w:rsid w:val="49B75620"/>
    <w:rsid w:val="49BA3B55"/>
    <w:rsid w:val="49BB0E3E"/>
    <w:rsid w:val="49BB3FF8"/>
    <w:rsid w:val="49CA17EE"/>
    <w:rsid w:val="49CB4931"/>
    <w:rsid w:val="49E60786"/>
    <w:rsid w:val="49F70B2F"/>
    <w:rsid w:val="4A085F0B"/>
    <w:rsid w:val="4A0A30EB"/>
    <w:rsid w:val="4A0D051E"/>
    <w:rsid w:val="4A130B2B"/>
    <w:rsid w:val="4A1B27F0"/>
    <w:rsid w:val="4A1D6937"/>
    <w:rsid w:val="4A22400E"/>
    <w:rsid w:val="4A2E73F3"/>
    <w:rsid w:val="4A3D5F71"/>
    <w:rsid w:val="4A420E7D"/>
    <w:rsid w:val="4A5D73F2"/>
    <w:rsid w:val="4A6C7DC8"/>
    <w:rsid w:val="4A6E154F"/>
    <w:rsid w:val="4A6E2C61"/>
    <w:rsid w:val="4A714135"/>
    <w:rsid w:val="4A75245C"/>
    <w:rsid w:val="4A7C183E"/>
    <w:rsid w:val="4A8E13D2"/>
    <w:rsid w:val="4A9038CF"/>
    <w:rsid w:val="4A905945"/>
    <w:rsid w:val="4ABA40F8"/>
    <w:rsid w:val="4AD46348"/>
    <w:rsid w:val="4AD55620"/>
    <w:rsid w:val="4B12176B"/>
    <w:rsid w:val="4B185B5D"/>
    <w:rsid w:val="4B206553"/>
    <w:rsid w:val="4B395ABD"/>
    <w:rsid w:val="4B5131A5"/>
    <w:rsid w:val="4B525FA5"/>
    <w:rsid w:val="4B572A35"/>
    <w:rsid w:val="4B5761A8"/>
    <w:rsid w:val="4B6169B0"/>
    <w:rsid w:val="4B6E4EE3"/>
    <w:rsid w:val="4B867F20"/>
    <w:rsid w:val="4BA601D9"/>
    <w:rsid w:val="4BB676BE"/>
    <w:rsid w:val="4BD619A4"/>
    <w:rsid w:val="4BD842B1"/>
    <w:rsid w:val="4BDC39C5"/>
    <w:rsid w:val="4BEA7622"/>
    <w:rsid w:val="4BFE4B21"/>
    <w:rsid w:val="4C0848A6"/>
    <w:rsid w:val="4C1B22C9"/>
    <w:rsid w:val="4C1B6798"/>
    <w:rsid w:val="4C203473"/>
    <w:rsid w:val="4C215AB1"/>
    <w:rsid w:val="4C291379"/>
    <w:rsid w:val="4C306D78"/>
    <w:rsid w:val="4C421D03"/>
    <w:rsid w:val="4C4B010C"/>
    <w:rsid w:val="4C653893"/>
    <w:rsid w:val="4C663C42"/>
    <w:rsid w:val="4C7477B1"/>
    <w:rsid w:val="4C752A23"/>
    <w:rsid w:val="4C787051"/>
    <w:rsid w:val="4C7E4694"/>
    <w:rsid w:val="4C803D18"/>
    <w:rsid w:val="4C8B3F74"/>
    <w:rsid w:val="4C8D1398"/>
    <w:rsid w:val="4C940EBC"/>
    <w:rsid w:val="4CA44B0F"/>
    <w:rsid w:val="4CB14997"/>
    <w:rsid w:val="4CCC5A9A"/>
    <w:rsid w:val="4CD85F81"/>
    <w:rsid w:val="4CE643B7"/>
    <w:rsid w:val="4CE732E9"/>
    <w:rsid w:val="4CF0171D"/>
    <w:rsid w:val="4CF24760"/>
    <w:rsid w:val="4CF56670"/>
    <w:rsid w:val="4CFF0CB7"/>
    <w:rsid w:val="4D017D85"/>
    <w:rsid w:val="4D062465"/>
    <w:rsid w:val="4D090A1F"/>
    <w:rsid w:val="4D0A2BD9"/>
    <w:rsid w:val="4D0B140E"/>
    <w:rsid w:val="4D0D0F41"/>
    <w:rsid w:val="4D1259D9"/>
    <w:rsid w:val="4D2438CA"/>
    <w:rsid w:val="4D293E28"/>
    <w:rsid w:val="4D3A272E"/>
    <w:rsid w:val="4D4001B9"/>
    <w:rsid w:val="4D431C95"/>
    <w:rsid w:val="4D4834DA"/>
    <w:rsid w:val="4D4D3BF7"/>
    <w:rsid w:val="4D515160"/>
    <w:rsid w:val="4D7B3B78"/>
    <w:rsid w:val="4D864393"/>
    <w:rsid w:val="4D8C539F"/>
    <w:rsid w:val="4DB14BA7"/>
    <w:rsid w:val="4DC542BD"/>
    <w:rsid w:val="4DCD5753"/>
    <w:rsid w:val="4DD10DDD"/>
    <w:rsid w:val="4DDF6E63"/>
    <w:rsid w:val="4DF1632F"/>
    <w:rsid w:val="4DFA4123"/>
    <w:rsid w:val="4DFA66AD"/>
    <w:rsid w:val="4DFD7704"/>
    <w:rsid w:val="4DFE10C7"/>
    <w:rsid w:val="4E031912"/>
    <w:rsid w:val="4E0A5195"/>
    <w:rsid w:val="4E2452EE"/>
    <w:rsid w:val="4E2663B0"/>
    <w:rsid w:val="4E2F7DD6"/>
    <w:rsid w:val="4E3A10AC"/>
    <w:rsid w:val="4E4273E5"/>
    <w:rsid w:val="4E4361B3"/>
    <w:rsid w:val="4E5B329D"/>
    <w:rsid w:val="4E5C73CF"/>
    <w:rsid w:val="4E5F0754"/>
    <w:rsid w:val="4E64213F"/>
    <w:rsid w:val="4E796078"/>
    <w:rsid w:val="4E820D84"/>
    <w:rsid w:val="4E8B1863"/>
    <w:rsid w:val="4E966134"/>
    <w:rsid w:val="4EB721F3"/>
    <w:rsid w:val="4EB95002"/>
    <w:rsid w:val="4EC554CC"/>
    <w:rsid w:val="4ECD02FB"/>
    <w:rsid w:val="4EEF29D9"/>
    <w:rsid w:val="4EF52140"/>
    <w:rsid w:val="4F066798"/>
    <w:rsid w:val="4F0948DA"/>
    <w:rsid w:val="4F0F4ADA"/>
    <w:rsid w:val="4F112915"/>
    <w:rsid w:val="4F1A71C1"/>
    <w:rsid w:val="4F290522"/>
    <w:rsid w:val="4F2F0039"/>
    <w:rsid w:val="4F34262B"/>
    <w:rsid w:val="4F381582"/>
    <w:rsid w:val="4F405F24"/>
    <w:rsid w:val="4F481F74"/>
    <w:rsid w:val="4F4E6C19"/>
    <w:rsid w:val="4F507DBE"/>
    <w:rsid w:val="4F56611D"/>
    <w:rsid w:val="4F7124C8"/>
    <w:rsid w:val="4F74553D"/>
    <w:rsid w:val="4F78005C"/>
    <w:rsid w:val="4F7A3E56"/>
    <w:rsid w:val="4F834295"/>
    <w:rsid w:val="4F8612A7"/>
    <w:rsid w:val="4FA7451F"/>
    <w:rsid w:val="4FAB48F5"/>
    <w:rsid w:val="4FB66C7A"/>
    <w:rsid w:val="4FB97C67"/>
    <w:rsid w:val="4FC52697"/>
    <w:rsid w:val="4FCE0C79"/>
    <w:rsid w:val="4FD9484A"/>
    <w:rsid w:val="50005847"/>
    <w:rsid w:val="502B38A3"/>
    <w:rsid w:val="502D5CA5"/>
    <w:rsid w:val="50472CB2"/>
    <w:rsid w:val="505B05A6"/>
    <w:rsid w:val="506E473E"/>
    <w:rsid w:val="506F5C0D"/>
    <w:rsid w:val="50753CCC"/>
    <w:rsid w:val="507E34D2"/>
    <w:rsid w:val="508077C4"/>
    <w:rsid w:val="50835832"/>
    <w:rsid w:val="50872D85"/>
    <w:rsid w:val="50967DFF"/>
    <w:rsid w:val="50972065"/>
    <w:rsid w:val="509A0C0E"/>
    <w:rsid w:val="509D6D3A"/>
    <w:rsid w:val="50AF4AC7"/>
    <w:rsid w:val="50C36BA5"/>
    <w:rsid w:val="50DD042E"/>
    <w:rsid w:val="50DD3CA6"/>
    <w:rsid w:val="50E11646"/>
    <w:rsid w:val="50EA5340"/>
    <w:rsid w:val="50F53CF4"/>
    <w:rsid w:val="50FC089B"/>
    <w:rsid w:val="5107345C"/>
    <w:rsid w:val="510F734A"/>
    <w:rsid w:val="511A0094"/>
    <w:rsid w:val="51202C5E"/>
    <w:rsid w:val="512656C9"/>
    <w:rsid w:val="51277CCF"/>
    <w:rsid w:val="513F36CC"/>
    <w:rsid w:val="51410C38"/>
    <w:rsid w:val="5145493C"/>
    <w:rsid w:val="5149015D"/>
    <w:rsid w:val="51497F84"/>
    <w:rsid w:val="514F6E6A"/>
    <w:rsid w:val="5159663A"/>
    <w:rsid w:val="517058F0"/>
    <w:rsid w:val="51813034"/>
    <w:rsid w:val="518B2F61"/>
    <w:rsid w:val="518B704B"/>
    <w:rsid w:val="518E0FFF"/>
    <w:rsid w:val="518E3BE9"/>
    <w:rsid w:val="519A258E"/>
    <w:rsid w:val="51AC406F"/>
    <w:rsid w:val="51B3364F"/>
    <w:rsid w:val="51C12734"/>
    <w:rsid w:val="51DA6E2E"/>
    <w:rsid w:val="51E35C59"/>
    <w:rsid w:val="51E9104C"/>
    <w:rsid w:val="51F00CEC"/>
    <w:rsid w:val="51F87257"/>
    <w:rsid w:val="51FA302C"/>
    <w:rsid w:val="51FD5166"/>
    <w:rsid w:val="51FF6CBF"/>
    <w:rsid w:val="52066A89"/>
    <w:rsid w:val="520C730D"/>
    <w:rsid w:val="5213777C"/>
    <w:rsid w:val="521C1D39"/>
    <w:rsid w:val="52282717"/>
    <w:rsid w:val="52514668"/>
    <w:rsid w:val="525A13CE"/>
    <w:rsid w:val="525D2328"/>
    <w:rsid w:val="526020A0"/>
    <w:rsid w:val="526E232A"/>
    <w:rsid w:val="52773E7B"/>
    <w:rsid w:val="528E09F8"/>
    <w:rsid w:val="52A13F64"/>
    <w:rsid w:val="52AC2CC3"/>
    <w:rsid w:val="52BA6283"/>
    <w:rsid w:val="52C368CB"/>
    <w:rsid w:val="52D6006E"/>
    <w:rsid w:val="52D72187"/>
    <w:rsid w:val="52E54233"/>
    <w:rsid w:val="52F94C78"/>
    <w:rsid w:val="530841BE"/>
    <w:rsid w:val="530D2BD6"/>
    <w:rsid w:val="532865EB"/>
    <w:rsid w:val="532B1C98"/>
    <w:rsid w:val="532B202E"/>
    <w:rsid w:val="532C190B"/>
    <w:rsid w:val="533559C1"/>
    <w:rsid w:val="53362DD6"/>
    <w:rsid w:val="5340225F"/>
    <w:rsid w:val="53456529"/>
    <w:rsid w:val="53465BC3"/>
    <w:rsid w:val="534A5564"/>
    <w:rsid w:val="534F73A8"/>
    <w:rsid w:val="53677497"/>
    <w:rsid w:val="536C3CFB"/>
    <w:rsid w:val="53786725"/>
    <w:rsid w:val="537F4A7B"/>
    <w:rsid w:val="53810198"/>
    <w:rsid w:val="538267E2"/>
    <w:rsid w:val="538911AA"/>
    <w:rsid w:val="538B24C2"/>
    <w:rsid w:val="539C4C08"/>
    <w:rsid w:val="53AB0DF7"/>
    <w:rsid w:val="53AC2029"/>
    <w:rsid w:val="53B41BF6"/>
    <w:rsid w:val="53B5420C"/>
    <w:rsid w:val="53C02053"/>
    <w:rsid w:val="53C61E16"/>
    <w:rsid w:val="53C716E5"/>
    <w:rsid w:val="53D42756"/>
    <w:rsid w:val="53D953AC"/>
    <w:rsid w:val="53E10EA0"/>
    <w:rsid w:val="53F648FB"/>
    <w:rsid w:val="53FF2B7C"/>
    <w:rsid w:val="53FF4C57"/>
    <w:rsid w:val="5400759E"/>
    <w:rsid w:val="54011D8E"/>
    <w:rsid w:val="54113F8B"/>
    <w:rsid w:val="54132A40"/>
    <w:rsid w:val="541D3D50"/>
    <w:rsid w:val="543872F9"/>
    <w:rsid w:val="543A5017"/>
    <w:rsid w:val="54465BC6"/>
    <w:rsid w:val="54492650"/>
    <w:rsid w:val="544A0734"/>
    <w:rsid w:val="54582370"/>
    <w:rsid w:val="54654205"/>
    <w:rsid w:val="546565AB"/>
    <w:rsid w:val="54777DD0"/>
    <w:rsid w:val="548E33E1"/>
    <w:rsid w:val="54912A4F"/>
    <w:rsid w:val="549E1875"/>
    <w:rsid w:val="54AB6735"/>
    <w:rsid w:val="54AB7B4F"/>
    <w:rsid w:val="54D95AA9"/>
    <w:rsid w:val="54DA255D"/>
    <w:rsid w:val="54F045E9"/>
    <w:rsid w:val="54F06BB3"/>
    <w:rsid w:val="5510298B"/>
    <w:rsid w:val="551C72A3"/>
    <w:rsid w:val="551F583B"/>
    <w:rsid w:val="552679D1"/>
    <w:rsid w:val="554F6CA4"/>
    <w:rsid w:val="554F7CCD"/>
    <w:rsid w:val="555D6EF4"/>
    <w:rsid w:val="5563194A"/>
    <w:rsid w:val="556C7B55"/>
    <w:rsid w:val="557E414B"/>
    <w:rsid w:val="559334FE"/>
    <w:rsid w:val="559C6964"/>
    <w:rsid w:val="559D01E6"/>
    <w:rsid w:val="55A439DB"/>
    <w:rsid w:val="55AA1075"/>
    <w:rsid w:val="55AC228E"/>
    <w:rsid w:val="55C63F4F"/>
    <w:rsid w:val="55D03959"/>
    <w:rsid w:val="55D900DC"/>
    <w:rsid w:val="56055178"/>
    <w:rsid w:val="560614AB"/>
    <w:rsid w:val="560A154E"/>
    <w:rsid w:val="560A3D1C"/>
    <w:rsid w:val="56156687"/>
    <w:rsid w:val="561661CB"/>
    <w:rsid w:val="5622196D"/>
    <w:rsid w:val="56233E5D"/>
    <w:rsid w:val="5629735B"/>
    <w:rsid w:val="56317F8E"/>
    <w:rsid w:val="56425E27"/>
    <w:rsid w:val="564D4440"/>
    <w:rsid w:val="565A30DD"/>
    <w:rsid w:val="56690B33"/>
    <w:rsid w:val="567052AD"/>
    <w:rsid w:val="567B1298"/>
    <w:rsid w:val="567E6F8B"/>
    <w:rsid w:val="568026D6"/>
    <w:rsid w:val="568D03C0"/>
    <w:rsid w:val="56905DB3"/>
    <w:rsid w:val="56945139"/>
    <w:rsid w:val="56AC0C41"/>
    <w:rsid w:val="56B41035"/>
    <w:rsid w:val="56C105BC"/>
    <w:rsid w:val="56CC20E2"/>
    <w:rsid w:val="56D226EC"/>
    <w:rsid w:val="56E13974"/>
    <w:rsid w:val="56E95632"/>
    <w:rsid w:val="56EA23D7"/>
    <w:rsid w:val="56F62A3A"/>
    <w:rsid w:val="57030461"/>
    <w:rsid w:val="57076E92"/>
    <w:rsid w:val="571B3829"/>
    <w:rsid w:val="572148B7"/>
    <w:rsid w:val="572847B7"/>
    <w:rsid w:val="57361DA3"/>
    <w:rsid w:val="57545163"/>
    <w:rsid w:val="575C0516"/>
    <w:rsid w:val="575F345D"/>
    <w:rsid w:val="576E0ECB"/>
    <w:rsid w:val="577D7748"/>
    <w:rsid w:val="577F106E"/>
    <w:rsid w:val="57897440"/>
    <w:rsid w:val="578B48A1"/>
    <w:rsid w:val="57961A49"/>
    <w:rsid w:val="57AC697F"/>
    <w:rsid w:val="57B722F7"/>
    <w:rsid w:val="57B948FF"/>
    <w:rsid w:val="57C51E4A"/>
    <w:rsid w:val="57D22858"/>
    <w:rsid w:val="57D30411"/>
    <w:rsid w:val="57D72641"/>
    <w:rsid w:val="57DC1C9C"/>
    <w:rsid w:val="57E0528C"/>
    <w:rsid w:val="57E97DCB"/>
    <w:rsid w:val="581808C6"/>
    <w:rsid w:val="581A3FF3"/>
    <w:rsid w:val="581B5AAA"/>
    <w:rsid w:val="58421F4F"/>
    <w:rsid w:val="58472D43"/>
    <w:rsid w:val="584C3174"/>
    <w:rsid w:val="584D65AC"/>
    <w:rsid w:val="585817E2"/>
    <w:rsid w:val="58583F6C"/>
    <w:rsid w:val="586E23A8"/>
    <w:rsid w:val="5881135D"/>
    <w:rsid w:val="5895564B"/>
    <w:rsid w:val="58A26EBE"/>
    <w:rsid w:val="58B420A7"/>
    <w:rsid w:val="58BD3B40"/>
    <w:rsid w:val="58D071F7"/>
    <w:rsid w:val="58D1291A"/>
    <w:rsid w:val="58E061D2"/>
    <w:rsid w:val="58E114AB"/>
    <w:rsid w:val="58E27F10"/>
    <w:rsid w:val="58ED488E"/>
    <w:rsid w:val="58F8330E"/>
    <w:rsid w:val="58FB78F7"/>
    <w:rsid w:val="59086C25"/>
    <w:rsid w:val="590A624B"/>
    <w:rsid w:val="590C7650"/>
    <w:rsid w:val="59205A6E"/>
    <w:rsid w:val="59337BDA"/>
    <w:rsid w:val="59411FEE"/>
    <w:rsid w:val="594F7B98"/>
    <w:rsid w:val="59524EDF"/>
    <w:rsid w:val="5958534F"/>
    <w:rsid w:val="59647FC8"/>
    <w:rsid w:val="59694B3F"/>
    <w:rsid w:val="59722ED5"/>
    <w:rsid w:val="59743F87"/>
    <w:rsid w:val="597A44EB"/>
    <w:rsid w:val="59AA16C9"/>
    <w:rsid w:val="59BB5797"/>
    <w:rsid w:val="59CA65E2"/>
    <w:rsid w:val="59E91B9D"/>
    <w:rsid w:val="59F10B9E"/>
    <w:rsid w:val="59F732FD"/>
    <w:rsid w:val="5A00378F"/>
    <w:rsid w:val="5A114290"/>
    <w:rsid w:val="5A146660"/>
    <w:rsid w:val="5A151C64"/>
    <w:rsid w:val="5A312F50"/>
    <w:rsid w:val="5A4237C2"/>
    <w:rsid w:val="5A425D1E"/>
    <w:rsid w:val="5A522B6B"/>
    <w:rsid w:val="5A5877D0"/>
    <w:rsid w:val="5A5D684E"/>
    <w:rsid w:val="5A612DDC"/>
    <w:rsid w:val="5A653434"/>
    <w:rsid w:val="5A6C515F"/>
    <w:rsid w:val="5A6F4DFA"/>
    <w:rsid w:val="5A715F87"/>
    <w:rsid w:val="5A786D86"/>
    <w:rsid w:val="5A7871E4"/>
    <w:rsid w:val="5A7E2AEB"/>
    <w:rsid w:val="5A8A123F"/>
    <w:rsid w:val="5A8C626D"/>
    <w:rsid w:val="5A9545B4"/>
    <w:rsid w:val="5A973FED"/>
    <w:rsid w:val="5AC4056A"/>
    <w:rsid w:val="5AC75247"/>
    <w:rsid w:val="5AC93156"/>
    <w:rsid w:val="5AC95688"/>
    <w:rsid w:val="5AD303E8"/>
    <w:rsid w:val="5AEF07F6"/>
    <w:rsid w:val="5AEF16BE"/>
    <w:rsid w:val="5B0D39ED"/>
    <w:rsid w:val="5B1D629A"/>
    <w:rsid w:val="5B2762EA"/>
    <w:rsid w:val="5B2D3F26"/>
    <w:rsid w:val="5B3601D7"/>
    <w:rsid w:val="5B516E00"/>
    <w:rsid w:val="5B667377"/>
    <w:rsid w:val="5B7420A1"/>
    <w:rsid w:val="5B8357DB"/>
    <w:rsid w:val="5B8467CA"/>
    <w:rsid w:val="5B88266D"/>
    <w:rsid w:val="5BA875CA"/>
    <w:rsid w:val="5BAA76EC"/>
    <w:rsid w:val="5BB53449"/>
    <w:rsid w:val="5BC40053"/>
    <w:rsid w:val="5BD63952"/>
    <w:rsid w:val="5BDA145F"/>
    <w:rsid w:val="5BDC6232"/>
    <w:rsid w:val="5BEB0F0F"/>
    <w:rsid w:val="5BF22FC6"/>
    <w:rsid w:val="5C02145B"/>
    <w:rsid w:val="5C304720"/>
    <w:rsid w:val="5C3D06E5"/>
    <w:rsid w:val="5C3F2BDC"/>
    <w:rsid w:val="5C454BC6"/>
    <w:rsid w:val="5C4815BF"/>
    <w:rsid w:val="5C495D0E"/>
    <w:rsid w:val="5C4E31CD"/>
    <w:rsid w:val="5C531CB7"/>
    <w:rsid w:val="5C5B7DB7"/>
    <w:rsid w:val="5C5F23AF"/>
    <w:rsid w:val="5C62639E"/>
    <w:rsid w:val="5C653798"/>
    <w:rsid w:val="5C752096"/>
    <w:rsid w:val="5C78171D"/>
    <w:rsid w:val="5C843DD5"/>
    <w:rsid w:val="5C8E296B"/>
    <w:rsid w:val="5C930236"/>
    <w:rsid w:val="5C983B6D"/>
    <w:rsid w:val="5CA51446"/>
    <w:rsid w:val="5CAB0770"/>
    <w:rsid w:val="5CC56FEF"/>
    <w:rsid w:val="5CD0455A"/>
    <w:rsid w:val="5CD8040E"/>
    <w:rsid w:val="5CD96B56"/>
    <w:rsid w:val="5CED3EB9"/>
    <w:rsid w:val="5CEF3BA3"/>
    <w:rsid w:val="5CF34C76"/>
    <w:rsid w:val="5CF65653"/>
    <w:rsid w:val="5CF84143"/>
    <w:rsid w:val="5D111E10"/>
    <w:rsid w:val="5D1913E2"/>
    <w:rsid w:val="5D1F2D3E"/>
    <w:rsid w:val="5D231167"/>
    <w:rsid w:val="5D243653"/>
    <w:rsid w:val="5D245E7C"/>
    <w:rsid w:val="5D2651CC"/>
    <w:rsid w:val="5D2A1D4B"/>
    <w:rsid w:val="5D2B3869"/>
    <w:rsid w:val="5D5760CC"/>
    <w:rsid w:val="5D624D00"/>
    <w:rsid w:val="5D691457"/>
    <w:rsid w:val="5D7E577B"/>
    <w:rsid w:val="5D8F4C51"/>
    <w:rsid w:val="5DA7325E"/>
    <w:rsid w:val="5DAF5581"/>
    <w:rsid w:val="5DB669A1"/>
    <w:rsid w:val="5DB70512"/>
    <w:rsid w:val="5DBA30A0"/>
    <w:rsid w:val="5DBC253F"/>
    <w:rsid w:val="5DCF41BF"/>
    <w:rsid w:val="5DE42ED7"/>
    <w:rsid w:val="5DF469E0"/>
    <w:rsid w:val="5DF63332"/>
    <w:rsid w:val="5DFA04F9"/>
    <w:rsid w:val="5DFB43B4"/>
    <w:rsid w:val="5DFD2D89"/>
    <w:rsid w:val="5DFD4EA2"/>
    <w:rsid w:val="5E0C03AB"/>
    <w:rsid w:val="5E102666"/>
    <w:rsid w:val="5E130FAC"/>
    <w:rsid w:val="5E143D6C"/>
    <w:rsid w:val="5E150011"/>
    <w:rsid w:val="5E214C70"/>
    <w:rsid w:val="5E2A0097"/>
    <w:rsid w:val="5E4A0E97"/>
    <w:rsid w:val="5E4A0FDA"/>
    <w:rsid w:val="5E4D6BA6"/>
    <w:rsid w:val="5E615E81"/>
    <w:rsid w:val="5E6F39EE"/>
    <w:rsid w:val="5E8033F0"/>
    <w:rsid w:val="5E8A4DFE"/>
    <w:rsid w:val="5E9470C4"/>
    <w:rsid w:val="5EA35CEE"/>
    <w:rsid w:val="5EAE3FBA"/>
    <w:rsid w:val="5EB13F4E"/>
    <w:rsid w:val="5EBB3D4B"/>
    <w:rsid w:val="5ED926F2"/>
    <w:rsid w:val="5EDC5CFA"/>
    <w:rsid w:val="5EDD735A"/>
    <w:rsid w:val="5EE65064"/>
    <w:rsid w:val="5EF6739E"/>
    <w:rsid w:val="5EF712E7"/>
    <w:rsid w:val="5EF85FA0"/>
    <w:rsid w:val="5F064133"/>
    <w:rsid w:val="5F1A244A"/>
    <w:rsid w:val="5F205E31"/>
    <w:rsid w:val="5F216618"/>
    <w:rsid w:val="5F3128BD"/>
    <w:rsid w:val="5F3457CD"/>
    <w:rsid w:val="5F3570E1"/>
    <w:rsid w:val="5F38637A"/>
    <w:rsid w:val="5F482419"/>
    <w:rsid w:val="5F496E36"/>
    <w:rsid w:val="5F733036"/>
    <w:rsid w:val="5F7620CB"/>
    <w:rsid w:val="5F8306FC"/>
    <w:rsid w:val="5F9B26CE"/>
    <w:rsid w:val="5FBE2F53"/>
    <w:rsid w:val="5FBF1411"/>
    <w:rsid w:val="5FCC2DB3"/>
    <w:rsid w:val="5FDC1718"/>
    <w:rsid w:val="5FE060E0"/>
    <w:rsid w:val="5FEF717B"/>
    <w:rsid w:val="5FF90DC7"/>
    <w:rsid w:val="5FFA4CFF"/>
    <w:rsid w:val="60200102"/>
    <w:rsid w:val="60216705"/>
    <w:rsid w:val="6025339A"/>
    <w:rsid w:val="604D1A7A"/>
    <w:rsid w:val="605C56DD"/>
    <w:rsid w:val="60795A64"/>
    <w:rsid w:val="607D37A6"/>
    <w:rsid w:val="608B0A02"/>
    <w:rsid w:val="6090322E"/>
    <w:rsid w:val="60B76BF1"/>
    <w:rsid w:val="60B81AE3"/>
    <w:rsid w:val="60BE084B"/>
    <w:rsid w:val="60DF7B8C"/>
    <w:rsid w:val="60DF7FBD"/>
    <w:rsid w:val="6108185D"/>
    <w:rsid w:val="610A2B60"/>
    <w:rsid w:val="611341E6"/>
    <w:rsid w:val="611E6A54"/>
    <w:rsid w:val="61235739"/>
    <w:rsid w:val="612B7DE7"/>
    <w:rsid w:val="615A637D"/>
    <w:rsid w:val="6173429D"/>
    <w:rsid w:val="61A154CB"/>
    <w:rsid w:val="61A62889"/>
    <w:rsid w:val="61AC54CE"/>
    <w:rsid w:val="61CD4827"/>
    <w:rsid w:val="61CD6067"/>
    <w:rsid w:val="61D54F1C"/>
    <w:rsid w:val="61D848C7"/>
    <w:rsid w:val="62006C8D"/>
    <w:rsid w:val="6208223B"/>
    <w:rsid w:val="620B70F9"/>
    <w:rsid w:val="621350BB"/>
    <w:rsid w:val="621D366A"/>
    <w:rsid w:val="62230C27"/>
    <w:rsid w:val="62366ABA"/>
    <w:rsid w:val="623D6F01"/>
    <w:rsid w:val="624502F4"/>
    <w:rsid w:val="624808C4"/>
    <w:rsid w:val="624D0F56"/>
    <w:rsid w:val="62662018"/>
    <w:rsid w:val="626752F4"/>
    <w:rsid w:val="6267532D"/>
    <w:rsid w:val="626F0C35"/>
    <w:rsid w:val="628722AF"/>
    <w:rsid w:val="62902E24"/>
    <w:rsid w:val="629C6180"/>
    <w:rsid w:val="62A651D4"/>
    <w:rsid w:val="62B3171E"/>
    <w:rsid w:val="62BD0C49"/>
    <w:rsid w:val="62BD2580"/>
    <w:rsid w:val="62C9568B"/>
    <w:rsid w:val="62D14A47"/>
    <w:rsid w:val="62DD729A"/>
    <w:rsid w:val="62EA5428"/>
    <w:rsid w:val="62ED018A"/>
    <w:rsid w:val="62F17F78"/>
    <w:rsid w:val="62F334AF"/>
    <w:rsid w:val="62FA6006"/>
    <w:rsid w:val="630B4921"/>
    <w:rsid w:val="630E2DDB"/>
    <w:rsid w:val="630E5861"/>
    <w:rsid w:val="630F4BD1"/>
    <w:rsid w:val="63131CE3"/>
    <w:rsid w:val="6314530D"/>
    <w:rsid w:val="63281184"/>
    <w:rsid w:val="63467098"/>
    <w:rsid w:val="634E1CFE"/>
    <w:rsid w:val="634E61A5"/>
    <w:rsid w:val="635C07D0"/>
    <w:rsid w:val="63696650"/>
    <w:rsid w:val="636D6B30"/>
    <w:rsid w:val="638B7F88"/>
    <w:rsid w:val="638D2D9F"/>
    <w:rsid w:val="63906679"/>
    <w:rsid w:val="6391355F"/>
    <w:rsid w:val="639C1066"/>
    <w:rsid w:val="639F147C"/>
    <w:rsid w:val="63A4789A"/>
    <w:rsid w:val="63A70779"/>
    <w:rsid w:val="63A84AB8"/>
    <w:rsid w:val="63AA7C11"/>
    <w:rsid w:val="63BE337B"/>
    <w:rsid w:val="63C618D7"/>
    <w:rsid w:val="63C75E8E"/>
    <w:rsid w:val="63CD67F3"/>
    <w:rsid w:val="63D81112"/>
    <w:rsid w:val="63DD6D29"/>
    <w:rsid w:val="63DF6271"/>
    <w:rsid w:val="63F0428F"/>
    <w:rsid w:val="63FC2972"/>
    <w:rsid w:val="64072A79"/>
    <w:rsid w:val="640B302E"/>
    <w:rsid w:val="64132ED0"/>
    <w:rsid w:val="6414679C"/>
    <w:rsid w:val="641D7240"/>
    <w:rsid w:val="64202DC6"/>
    <w:rsid w:val="64227CB1"/>
    <w:rsid w:val="64273E5D"/>
    <w:rsid w:val="64393E88"/>
    <w:rsid w:val="64762876"/>
    <w:rsid w:val="647631C3"/>
    <w:rsid w:val="647B139C"/>
    <w:rsid w:val="647C5B23"/>
    <w:rsid w:val="648925F0"/>
    <w:rsid w:val="64993547"/>
    <w:rsid w:val="64AF3E73"/>
    <w:rsid w:val="64BC23C3"/>
    <w:rsid w:val="64BE01BC"/>
    <w:rsid w:val="64DD4D69"/>
    <w:rsid w:val="64E2399D"/>
    <w:rsid w:val="65032FD6"/>
    <w:rsid w:val="650D7132"/>
    <w:rsid w:val="652D758E"/>
    <w:rsid w:val="652F2B95"/>
    <w:rsid w:val="65363915"/>
    <w:rsid w:val="65457510"/>
    <w:rsid w:val="659375C8"/>
    <w:rsid w:val="65966AE9"/>
    <w:rsid w:val="65A511CB"/>
    <w:rsid w:val="65AA60C2"/>
    <w:rsid w:val="65AE11B0"/>
    <w:rsid w:val="65B06DF2"/>
    <w:rsid w:val="65B53448"/>
    <w:rsid w:val="65BA6903"/>
    <w:rsid w:val="65C82364"/>
    <w:rsid w:val="65CE54E1"/>
    <w:rsid w:val="65EB2F60"/>
    <w:rsid w:val="65EE2DA5"/>
    <w:rsid w:val="65EE463A"/>
    <w:rsid w:val="65EF7919"/>
    <w:rsid w:val="660B26D0"/>
    <w:rsid w:val="660C2602"/>
    <w:rsid w:val="66111138"/>
    <w:rsid w:val="6612683F"/>
    <w:rsid w:val="6621749A"/>
    <w:rsid w:val="66333925"/>
    <w:rsid w:val="6634542B"/>
    <w:rsid w:val="6638144D"/>
    <w:rsid w:val="66666A62"/>
    <w:rsid w:val="66674001"/>
    <w:rsid w:val="66874310"/>
    <w:rsid w:val="66881E12"/>
    <w:rsid w:val="668A471D"/>
    <w:rsid w:val="669867E4"/>
    <w:rsid w:val="66A02C7C"/>
    <w:rsid w:val="66BB0BBA"/>
    <w:rsid w:val="66BF5470"/>
    <w:rsid w:val="66C820F3"/>
    <w:rsid w:val="66D32CE3"/>
    <w:rsid w:val="66D66B40"/>
    <w:rsid w:val="66DF3E2E"/>
    <w:rsid w:val="66F2332B"/>
    <w:rsid w:val="66FF5F16"/>
    <w:rsid w:val="6706140E"/>
    <w:rsid w:val="670D26E6"/>
    <w:rsid w:val="6712276E"/>
    <w:rsid w:val="67122F78"/>
    <w:rsid w:val="671870B3"/>
    <w:rsid w:val="672B167F"/>
    <w:rsid w:val="672F1572"/>
    <w:rsid w:val="67410B4A"/>
    <w:rsid w:val="675039C2"/>
    <w:rsid w:val="67553975"/>
    <w:rsid w:val="677355F6"/>
    <w:rsid w:val="6777002C"/>
    <w:rsid w:val="679160BA"/>
    <w:rsid w:val="67A61729"/>
    <w:rsid w:val="67B6134C"/>
    <w:rsid w:val="67B83C2E"/>
    <w:rsid w:val="67C617E3"/>
    <w:rsid w:val="67D86FDD"/>
    <w:rsid w:val="680504DD"/>
    <w:rsid w:val="68091A4E"/>
    <w:rsid w:val="680B79CC"/>
    <w:rsid w:val="681F3E1E"/>
    <w:rsid w:val="6821710D"/>
    <w:rsid w:val="68381629"/>
    <w:rsid w:val="684A4111"/>
    <w:rsid w:val="685B6F82"/>
    <w:rsid w:val="68660FC4"/>
    <w:rsid w:val="6871684C"/>
    <w:rsid w:val="68793D29"/>
    <w:rsid w:val="688606ED"/>
    <w:rsid w:val="68865C3A"/>
    <w:rsid w:val="688D02FE"/>
    <w:rsid w:val="689F0DB1"/>
    <w:rsid w:val="68A07B3D"/>
    <w:rsid w:val="68B976AA"/>
    <w:rsid w:val="68C64435"/>
    <w:rsid w:val="68DB30B6"/>
    <w:rsid w:val="68DB7CFF"/>
    <w:rsid w:val="68DE73BB"/>
    <w:rsid w:val="68E50BF1"/>
    <w:rsid w:val="68F955C9"/>
    <w:rsid w:val="68FB03B5"/>
    <w:rsid w:val="690A194F"/>
    <w:rsid w:val="691E2330"/>
    <w:rsid w:val="69215045"/>
    <w:rsid w:val="692517EC"/>
    <w:rsid w:val="69282D7C"/>
    <w:rsid w:val="692B5555"/>
    <w:rsid w:val="693B5FAC"/>
    <w:rsid w:val="693F345A"/>
    <w:rsid w:val="694168D5"/>
    <w:rsid w:val="694A399F"/>
    <w:rsid w:val="69564B94"/>
    <w:rsid w:val="6978759F"/>
    <w:rsid w:val="697F2563"/>
    <w:rsid w:val="698461F3"/>
    <w:rsid w:val="698F2DD5"/>
    <w:rsid w:val="69A30537"/>
    <w:rsid w:val="69AB55EA"/>
    <w:rsid w:val="69AC3622"/>
    <w:rsid w:val="69B23922"/>
    <w:rsid w:val="69BF7E0F"/>
    <w:rsid w:val="69CC01E7"/>
    <w:rsid w:val="69FC398E"/>
    <w:rsid w:val="6A0806F3"/>
    <w:rsid w:val="6A0811A9"/>
    <w:rsid w:val="6A203073"/>
    <w:rsid w:val="6A2E73C3"/>
    <w:rsid w:val="6A762BCC"/>
    <w:rsid w:val="6A791C2C"/>
    <w:rsid w:val="6A7D43A3"/>
    <w:rsid w:val="6A832FC0"/>
    <w:rsid w:val="6A8F2543"/>
    <w:rsid w:val="6A924318"/>
    <w:rsid w:val="6AA06E5D"/>
    <w:rsid w:val="6ABC136F"/>
    <w:rsid w:val="6AC35FC2"/>
    <w:rsid w:val="6AEB70B9"/>
    <w:rsid w:val="6AFB2EE7"/>
    <w:rsid w:val="6B0C4C7B"/>
    <w:rsid w:val="6B0D6E58"/>
    <w:rsid w:val="6B110FA1"/>
    <w:rsid w:val="6B1157A1"/>
    <w:rsid w:val="6B2018FE"/>
    <w:rsid w:val="6B2A452A"/>
    <w:rsid w:val="6B386F76"/>
    <w:rsid w:val="6B403722"/>
    <w:rsid w:val="6B4F63AC"/>
    <w:rsid w:val="6B5E41D4"/>
    <w:rsid w:val="6B721A2E"/>
    <w:rsid w:val="6B8154B0"/>
    <w:rsid w:val="6B8A16B0"/>
    <w:rsid w:val="6B8D2D05"/>
    <w:rsid w:val="6BAE7FE6"/>
    <w:rsid w:val="6BAF1268"/>
    <w:rsid w:val="6BB33237"/>
    <w:rsid w:val="6BB9756E"/>
    <w:rsid w:val="6BBA3B00"/>
    <w:rsid w:val="6BBD714D"/>
    <w:rsid w:val="6BBF1FF7"/>
    <w:rsid w:val="6BC67097"/>
    <w:rsid w:val="6BCC5978"/>
    <w:rsid w:val="6BD06A97"/>
    <w:rsid w:val="6BD12254"/>
    <w:rsid w:val="6BD26297"/>
    <w:rsid w:val="6BD358B1"/>
    <w:rsid w:val="6BE110DD"/>
    <w:rsid w:val="6BE95B28"/>
    <w:rsid w:val="6BEA6AAD"/>
    <w:rsid w:val="6BED7707"/>
    <w:rsid w:val="6BFC5194"/>
    <w:rsid w:val="6C07212D"/>
    <w:rsid w:val="6C147EDA"/>
    <w:rsid w:val="6C495C7D"/>
    <w:rsid w:val="6C5F706E"/>
    <w:rsid w:val="6C6455BD"/>
    <w:rsid w:val="6C675562"/>
    <w:rsid w:val="6C701687"/>
    <w:rsid w:val="6C7622AA"/>
    <w:rsid w:val="6C8332D0"/>
    <w:rsid w:val="6C8B0F54"/>
    <w:rsid w:val="6CA91E55"/>
    <w:rsid w:val="6CAF7CD9"/>
    <w:rsid w:val="6CB00A5F"/>
    <w:rsid w:val="6CBB699A"/>
    <w:rsid w:val="6CCC752F"/>
    <w:rsid w:val="6CCD1519"/>
    <w:rsid w:val="6CD16B0B"/>
    <w:rsid w:val="6CD72490"/>
    <w:rsid w:val="6CE15C5B"/>
    <w:rsid w:val="6CE16D40"/>
    <w:rsid w:val="6CE250E1"/>
    <w:rsid w:val="6CF5179E"/>
    <w:rsid w:val="6D0918D8"/>
    <w:rsid w:val="6D0F3EC2"/>
    <w:rsid w:val="6D204E14"/>
    <w:rsid w:val="6D227B5D"/>
    <w:rsid w:val="6D417BCF"/>
    <w:rsid w:val="6D427CAB"/>
    <w:rsid w:val="6D4E6C28"/>
    <w:rsid w:val="6D532791"/>
    <w:rsid w:val="6D590C14"/>
    <w:rsid w:val="6D5B5893"/>
    <w:rsid w:val="6D927922"/>
    <w:rsid w:val="6DA9249F"/>
    <w:rsid w:val="6DAE7C8E"/>
    <w:rsid w:val="6DB141F4"/>
    <w:rsid w:val="6DB5181B"/>
    <w:rsid w:val="6DD73BA8"/>
    <w:rsid w:val="6DDE6DA6"/>
    <w:rsid w:val="6DED00D0"/>
    <w:rsid w:val="6DF53E3B"/>
    <w:rsid w:val="6E080E99"/>
    <w:rsid w:val="6E1A3A72"/>
    <w:rsid w:val="6E251A97"/>
    <w:rsid w:val="6E2934E6"/>
    <w:rsid w:val="6E2E6124"/>
    <w:rsid w:val="6E2F6729"/>
    <w:rsid w:val="6E35359F"/>
    <w:rsid w:val="6E3927C6"/>
    <w:rsid w:val="6E392C7F"/>
    <w:rsid w:val="6E474300"/>
    <w:rsid w:val="6E503B9C"/>
    <w:rsid w:val="6E5767AF"/>
    <w:rsid w:val="6E664E9E"/>
    <w:rsid w:val="6E730F37"/>
    <w:rsid w:val="6E7748FC"/>
    <w:rsid w:val="6E833533"/>
    <w:rsid w:val="6E873A42"/>
    <w:rsid w:val="6EAA53B7"/>
    <w:rsid w:val="6EBC193D"/>
    <w:rsid w:val="6ECB1B80"/>
    <w:rsid w:val="6ECC50E5"/>
    <w:rsid w:val="6ECD2127"/>
    <w:rsid w:val="6ED31F37"/>
    <w:rsid w:val="6ED372AA"/>
    <w:rsid w:val="6EE53D1C"/>
    <w:rsid w:val="6EF72B2E"/>
    <w:rsid w:val="6EF84829"/>
    <w:rsid w:val="6F093115"/>
    <w:rsid w:val="6F0D792B"/>
    <w:rsid w:val="6F142B54"/>
    <w:rsid w:val="6F1B2704"/>
    <w:rsid w:val="6F1B5BBC"/>
    <w:rsid w:val="6F280CCC"/>
    <w:rsid w:val="6F2C47AE"/>
    <w:rsid w:val="6F3574FF"/>
    <w:rsid w:val="6F3E67F6"/>
    <w:rsid w:val="6F470B30"/>
    <w:rsid w:val="6F5445D5"/>
    <w:rsid w:val="6F5C23B9"/>
    <w:rsid w:val="6F683E2F"/>
    <w:rsid w:val="6F8A182F"/>
    <w:rsid w:val="6F913D09"/>
    <w:rsid w:val="6FB6774A"/>
    <w:rsid w:val="6FBA7B15"/>
    <w:rsid w:val="6FBF54FE"/>
    <w:rsid w:val="6FC0545D"/>
    <w:rsid w:val="6FCD36D6"/>
    <w:rsid w:val="6FD824F5"/>
    <w:rsid w:val="6FDB62C6"/>
    <w:rsid w:val="6FE77CD0"/>
    <w:rsid w:val="6FF47218"/>
    <w:rsid w:val="70086B93"/>
    <w:rsid w:val="702968C6"/>
    <w:rsid w:val="705F4924"/>
    <w:rsid w:val="705F6B8C"/>
    <w:rsid w:val="70620CE5"/>
    <w:rsid w:val="706625BD"/>
    <w:rsid w:val="707149AA"/>
    <w:rsid w:val="707236CB"/>
    <w:rsid w:val="707453F5"/>
    <w:rsid w:val="707463DF"/>
    <w:rsid w:val="70790522"/>
    <w:rsid w:val="708C6590"/>
    <w:rsid w:val="708D2AD7"/>
    <w:rsid w:val="708E757F"/>
    <w:rsid w:val="70917A01"/>
    <w:rsid w:val="70934AE7"/>
    <w:rsid w:val="70947251"/>
    <w:rsid w:val="709B7A4C"/>
    <w:rsid w:val="709C378B"/>
    <w:rsid w:val="709E294A"/>
    <w:rsid w:val="70AF0296"/>
    <w:rsid w:val="70B851C5"/>
    <w:rsid w:val="70BF436A"/>
    <w:rsid w:val="70C97C1F"/>
    <w:rsid w:val="70CB30DF"/>
    <w:rsid w:val="70EE6F3E"/>
    <w:rsid w:val="70F20F84"/>
    <w:rsid w:val="70F45D35"/>
    <w:rsid w:val="70F60EE1"/>
    <w:rsid w:val="71016A26"/>
    <w:rsid w:val="710D04BD"/>
    <w:rsid w:val="710D0B0D"/>
    <w:rsid w:val="710F6A10"/>
    <w:rsid w:val="71155335"/>
    <w:rsid w:val="71163F95"/>
    <w:rsid w:val="712C77F8"/>
    <w:rsid w:val="71353498"/>
    <w:rsid w:val="713B7C30"/>
    <w:rsid w:val="71431EA2"/>
    <w:rsid w:val="714B6075"/>
    <w:rsid w:val="71573776"/>
    <w:rsid w:val="715B1FF8"/>
    <w:rsid w:val="716B0C86"/>
    <w:rsid w:val="716F646F"/>
    <w:rsid w:val="7175107B"/>
    <w:rsid w:val="718118C7"/>
    <w:rsid w:val="718318FF"/>
    <w:rsid w:val="719426FE"/>
    <w:rsid w:val="71C12079"/>
    <w:rsid w:val="71C90274"/>
    <w:rsid w:val="71C975EB"/>
    <w:rsid w:val="71D91609"/>
    <w:rsid w:val="71DC40A5"/>
    <w:rsid w:val="71E55D71"/>
    <w:rsid w:val="71EA0570"/>
    <w:rsid w:val="71F64F7F"/>
    <w:rsid w:val="71FD5535"/>
    <w:rsid w:val="720D4F4C"/>
    <w:rsid w:val="721F3CCB"/>
    <w:rsid w:val="722F3986"/>
    <w:rsid w:val="723637B5"/>
    <w:rsid w:val="724831E8"/>
    <w:rsid w:val="725C7AE9"/>
    <w:rsid w:val="726634F8"/>
    <w:rsid w:val="72732400"/>
    <w:rsid w:val="72786A5B"/>
    <w:rsid w:val="72846677"/>
    <w:rsid w:val="728B3C7D"/>
    <w:rsid w:val="72DE64B2"/>
    <w:rsid w:val="72E4194F"/>
    <w:rsid w:val="72EE48AD"/>
    <w:rsid w:val="72EE6ECA"/>
    <w:rsid w:val="72FE1494"/>
    <w:rsid w:val="73065182"/>
    <w:rsid w:val="730D083E"/>
    <w:rsid w:val="73216191"/>
    <w:rsid w:val="732206A5"/>
    <w:rsid w:val="73275D2D"/>
    <w:rsid w:val="73320C4B"/>
    <w:rsid w:val="733B7E17"/>
    <w:rsid w:val="734D5287"/>
    <w:rsid w:val="735008A6"/>
    <w:rsid w:val="735A3E63"/>
    <w:rsid w:val="735A7E0A"/>
    <w:rsid w:val="735B6F50"/>
    <w:rsid w:val="7367491E"/>
    <w:rsid w:val="736A4B90"/>
    <w:rsid w:val="736D2877"/>
    <w:rsid w:val="73796BAF"/>
    <w:rsid w:val="73797DFD"/>
    <w:rsid w:val="73850F1A"/>
    <w:rsid w:val="739E3178"/>
    <w:rsid w:val="73A7127A"/>
    <w:rsid w:val="73A86934"/>
    <w:rsid w:val="73C67785"/>
    <w:rsid w:val="73C752F1"/>
    <w:rsid w:val="73D019E7"/>
    <w:rsid w:val="73E57CBD"/>
    <w:rsid w:val="73F32E50"/>
    <w:rsid w:val="73FA16CE"/>
    <w:rsid w:val="73FA760A"/>
    <w:rsid w:val="73FC458A"/>
    <w:rsid w:val="741B1CAD"/>
    <w:rsid w:val="741F13FA"/>
    <w:rsid w:val="74211C10"/>
    <w:rsid w:val="74274FCC"/>
    <w:rsid w:val="743957DE"/>
    <w:rsid w:val="744639CE"/>
    <w:rsid w:val="744A5C91"/>
    <w:rsid w:val="74653E91"/>
    <w:rsid w:val="747E437F"/>
    <w:rsid w:val="749F2517"/>
    <w:rsid w:val="74A25132"/>
    <w:rsid w:val="74A55D17"/>
    <w:rsid w:val="74AB66DC"/>
    <w:rsid w:val="74B02002"/>
    <w:rsid w:val="74B65081"/>
    <w:rsid w:val="74B827AD"/>
    <w:rsid w:val="74BE6A54"/>
    <w:rsid w:val="74C75F64"/>
    <w:rsid w:val="74C93F13"/>
    <w:rsid w:val="74CB74C3"/>
    <w:rsid w:val="74D53759"/>
    <w:rsid w:val="74DA0D6F"/>
    <w:rsid w:val="74E045AD"/>
    <w:rsid w:val="74E32EA1"/>
    <w:rsid w:val="74E56356"/>
    <w:rsid w:val="74EC10E0"/>
    <w:rsid w:val="75011E8F"/>
    <w:rsid w:val="7511490C"/>
    <w:rsid w:val="75202C3A"/>
    <w:rsid w:val="75215F88"/>
    <w:rsid w:val="75520687"/>
    <w:rsid w:val="75551A99"/>
    <w:rsid w:val="755A2324"/>
    <w:rsid w:val="756F0E18"/>
    <w:rsid w:val="756F1962"/>
    <w:rsid w:val="75735A9C"/>
    <w:rsid w:val="757B4D17"/>
    <w:rsid w:val="757C1E26"/>
    <w:rsid w:val="75842A89"/>
    <w:rsid w:val="75A81C51"/>
    <w:rsid w:val="75AD4E65"/>
    <w:rsid w:val="75B23B5E"/>
    <w:rsid w:val="75B3253F"/>
    <w:rsid w:val="75BA3CCB"/>
    <w:rsid w:val="75C457C3"/>
    <w:rsid w:val="75D37C5C"/>
    <w:rsid w:val="75EE1721"/>
    <w:rsid w:val="76185BCA"/>
    <w:rsid w:val="761B1016"/>
    <w:rsid w:val="761B33ED"/>
    <w:rsid w:val="761D2274"/>
    <w:rsid w:val="76262EEE"/>
    <w:rsid w:val="762D480D"/>
    <w:rsid w:val="76513E62"/>
    <w:rsid w:val="7668647C"/>
    <w:rsid w:val="76741E31"/>
    <w:rsid w:val="7684228F"/>
    <w:rsid w:val="768B63DD"/>
    <w:rsid w:val="768D4D1F"/>
    <w:rsid w:val="76C577FD"/>
    <w:rsid w:val="76C679B4"/>
    <w:rsid w:val="76E30F6E"/>
    <w:rsid w:val="76E47F0D"/>
    <w:rsid w:val="76E51177"/>
    <w:rsid w:val="76E658F0"/>
    <w:rsid w:val="76FB4FCD"/>
    <w:rsid w:val="77001E35"/>
    <w:rsid w:val="77003E03"/>
    <w:rsid w:val="7716397A"/>
    <w:rsid w:val="771A3F28"/>
    <w:rsid w:val="772269FE"/>
    <w:rsid w:val="77251269"/>
    <w:rsid w:val="774C4A2E"/>
    <w:rsid w:val="77544335"/>
    <w:rsid w:val="775E7AE3"/>
    <w:rsid w:val="77602A1E"/>
    <w:rsid w:val="77606FFC"/>
    <w:rsid w:val="77666AF8"/>
    <w:rsid w:val="778A68BE"/>
    <w:rsid w:val="77A54B7F"/>
    <w:rsid w:val="77B8321E"/>
    <w:rsid w:val="77BE6403"/>
    <w:rsid w:val="77C32CE4"/>
    <w:rsid w:val="77CB11A6"/>
    <w:rsid w:val="77E22052"/>
    <w:rsid w:val="77F425A8"/>
    <w:rsid w:val="77FA6B0C"/>
    <w:rsid w:val="780F6F82"/>
    <w:rsid w:val="781F7CCC"/>
    <w:rsid w:val="78212811"/>
    <w:rsid w:val="78232A2D"/>
    <w:rsid w:val="78325013"/>
    <w:rsid w:val="784D730B"/>
    <w:rsid w:val="784F2599"/>
    <w:rsid w:val="78565729"/>
    <w:rsid w:val="785A5BC1"/>
    <w:rsid w:val="785C7CED"/>
    <w:rsid w:val="786374ED"/>
    <w:rsid w:val="786C1D18"/>
    <w:rsid w:val="78753424"/>
    <w:rsid w:val="788564CD"/>
    <w:rsid w:val="78892A6D"/>
    <w:rsid w:val="7890363C"/>
    <w:rsid w:val="78AE4E12"/>
    <w:rsid w:val="78B14C85"/>
    <w:rsid w:val="78C27547"/>
    <w:rsid w:val="78CA27CE"/>
    <w:rsid w:val="78D83818"/>
    <w:rsid w:val="78DA0387"/>
    <w:rsid w:val="78DC637B"/>
    <w:rsid w:val="78E26444"/>
    <w:rsid w:val="78F67AE5"/>
    <w:rsid w:val="78FA10D4"/>
    <w:rsid w:val="78FB3BDE"/>
    <w:rsid w:val="78FE2B22"/>
    <w:rsid w:val="790520F4"/>
    <w:rsid w:val="790E49BA"/>
    <w:rsid w:val="791408A3"/>
    <w:rsid w:val="79151CFF"/>
    <w:rsid w:val="79181E66"/>
    <w:rsid w:val="79272AC6"/>
    <w:rsid w:val="7928016C"/>
    <w:rsid w:val="7937029C"/>
    <w:rsid w:val="79375400"/>
    <w:rsid w:val="793D5605"/>
    <w:rsid w:val="79517741"/>
    <w:rsid w:val="79553815"/>
    <w:rsid w:val="795A247F"/>
    <w:rsid w:val="796665BB"/>
    <w:rsid w:val="79672462"/>
    <w:rsid w:val="796D195C"/>
    <w:rsid w:val="798E14DF"/>
    <w:rsid w:val="799867D8"/>
    <w:rsid w:val="79A5229A"/>
    <w:rsid w:val="79B71AE0"/>
    <w:rsid w:val="79B81EF9"/>
    <w:rsid w:val="79B95F37"/>
    <w:rsid w:val="79C046BE"/>
    <w:rsid w:val="79C50ED6"/>
    <w:rsid w:val="79D264B9"/>
    <w:rsid w:val="79D434E2"/>
    <w:rsid w:val="79E0279F"/>
    <w:rsid w:val="79E44478"/>
    <w:rsid w:val="79F924DF"/>
    <w:rsid w:val="7A0B7F5A"/>
    <w:rsid w:val="7A1229E1"/>
    <w:rsid w:val="7A217334"/>
    <w:rsid w:val="7A281898"/>
    <w:rsid w:val="7A510D55"/>
    <w:rsid w:val="7A532DF5"/>
    <w:rsid w:val="7A5E3CD1"/>
    <w:rsid w:val="7A7343E4"/>
    <w:rsid w:val="7A861B27"/>
    <w:rsid w:val="7A8B34B3"/>
    <w:rsid w:val="7A8B38E2"/>
    <w:rsid w:val="7A9356FF"/>
    <w:rsid w:val="7A9907AE"/>
    <w:rsid w:val="7AB33A77"/>
    <w:rsid w:val="7AB47433"/>
    <w:rsid w:val="7AB86896"/>
    <w:rsid w:val="7AE014C7"/>
    <w:rsid w:val="7AF65466"/>
    <w:rsid w:val="7B0546E5"/>
    <w:rsid w:val="7B065F18"/>
    <w:rsid w:val="7B17460B"/>
    <w:rsid w:val="7B1D3C75"/>
    <w:rsid w:val="7B377548"/>
    <w:rsid w:val="7B451E91"/>
    <w:rsid w:val="7B4E06B3"/>
    <w:rsid w:val="7B5326DD"/>
    <w:rsid w:val="7B542880"/>
    <w:rsid w:val="7B5749CC"/>
    <w:rsid w:val="7B5D479D"/>
    <w:rsid w:val="7B5E0048"/>
    <w:rsid w:val="7B6B202D"/>
    <w:rsid w:val="7B6E0354"/>
    <w:rsid w:val="7B741841"/>
    <w:rsid w:val="7B75029D"/>
    <w:rsid w:val="7B7D4202"/>
    <w:rsid w:val="7B7F21FF"/>
    <w:rsid w:val="7B823207"/>
    <w:rsid w:val="7B887A22"/>
    <w:rsid w:val="7B8B4A70"/>
    <w:rsid w:val="7B8C483B"/>
    <w:rsid w:val="7B9A3247"/>
    <w:rsid w:val="7BA15613"/>
    <w:rsid w:val="7BAD4B00"/>
    <w:rsid w:val="7BB972EC"/>
    <w:rsid w:val="7BC94D97"/>
    <w:rsid w:val="7BCC774B"/>
    <w:rsid w:val="7BCE618A"/>
    <w:rsid w:val="7BD02277"/>
    <w:rsid w:val="7BD540D7"/>
    <w:rsid w:val="7BF16FB7"/>
    <w:rsid w:val="7BF368B0"/>
    <w:rsid w:val="7BFA3B7C"/>
    <w:rsid w:val="7C0A1723"/>
    <w:rsid w:val="7C151165"/>
    <w:rsid w:val="7C1E3C37"/>
    <w:rsid w:val="7C2A7CDB"/>
    <w:rsid w:val="7C3C49BB"/>
    <w:rsid w:val="7C495EDE"/>
    <w:rsid w:val="7C5125AF"/>
    <w:rsid w:val="7C5A1B64"/>
    <w:rsid w:val="7C66113B"/>
    <w:rsid w:val="7C6676D5"/>
    <w:rsid w:val="7C7533CA"/>
    <w:rsid w:val="7C7712E1"/>
    <w:rsid w:val="7CD504FE"/>
    <w:rsid w:val="7CDF163E"/>
    <w:rsid w:val="7CFF725B"/>
    <w:rsid w:val="7D0A35CC"/>
    <w:rsid w:val="7D1A6962"/>
    <w:rsid w:val="7D2B7798"/>
    <w:rsid w:val="7D462289"/>
    <w:rsid w:val="7D584F27"/>
    <w:rsid w:val="7D675E12"/>
    <w:rsid w:val="7D857F10"/>
    <w:rsid w:val="7D93704D"/>
    <w:rsid w:val="7D950ECF"/>
    <w:rsid w:val="7D9D00D9"/>
    <w:rsid w:val="7DA163A4"/>
    <w:rsid w:val="7DAC15F3"/>
    <w:rsid w:val="7DAD6AC1"/>
    <w:rsid w:val="7DB01E05"/>
    <w:rsid w:val="7DBA0813"/>
    <w:rsid w:val="7DC13336"/>
    <w:rsid w:val="7DC72DA2"/>
    <w:rsid w:val="7DCE7973"/>
    <w:rsid w:val="7DD841E8"/>
    <w:rsid w:val="7DDA10E0"/>
    <w:rsid w:val="7DE83602"/>
    <w:rsid w:val="7DED77AF"/>
    <w:rsid w:val="7DF22318"/>
    <w:rsid w:val="7E056F00"/>
    <w:rsid w:val="7E09450F"/>
    <w:rsid w:val="7E164407"/>
    <w:rsid w:val="7E1C1725"/>
    <w:rsid w:val="7E1E7F5A"/>
    <w:rsid w:val="7E303E7A"/>
    <w:rsid w:val="7E331BB7"/>
    <w:rsid w:val="7E374B3D"/>
    <w:rsid w:val="7E4161D1"/>
    <w:rsid w:val="7E4D31E7"/>
    <w:rsid w:val="7E5901D4"/>
    <w:rsid w:val="7E5E5DBD"/>
    <w:rsid w:val="7E6B4CA7"/>
    <w:rsid w:val="7E754AB1"/>
    <w:rsid w:val="7E770ECB"/>
    <w:rsid w:val="7E857F9E"/>
    <w:rsid w:val="7EA826E8"/>
    <w:rsid w:val="7EAB6080"/>
    <w:rsid w:val="7EAD3DF3"/>
    <w:rsid w:val="7EB02C6C"/>
    <w:rsid w:val="7ED13574"/>
    <w:rsid w:val="7ED859F0"/>
    <w:rsid w:val="7ED9246B"/>
    <w:rsid w:val="7EDA196C"/>
    <w:rsid w:val="7F1072E5"/>
    <w:rsid w:val="7F154332"/>
    <w:rsid w:val="7F1A6DA7"/>
    <w:rsid w:val="7F1E5CFC"/>
    <w:rsid w:val="7F1F3980"/>
    <w:rsid w:val="7F214F2D"/>
    <w:rsid w:val="7F2B657D"/>
    <w:rsid w:val="7F2F3C3C"/>
    <w:rsid w:val="7F376DBE"/>
    <w:rsid w:val="7F4514DB"/>
    <w:rsid w:val="7F5C4A03"/>
    <w:rsid w:val="7F637BB3"/>
    <w:rsid w:val="7F645B0B"/>
    <w:rsid w:val="7F6865A8"/>
    <w:rsid w:val="7F714A2B"/>
    <w:rsid w:val="7F7A739C"/>
    <w:rsid w:val="7F852AFA"/>
    <w:rsid w:val="7F945FBF"/>
    <w:rsid w:val="7FA154F4"/>
    <w:rsid w:val="7FA7115D"/>
    <w:rsid w:val="7FAA64FE"/>
    <w:rsid w:val="7FB021B0"/>
    <w:rsid w:val="7FB81F28"/>
    <w:rsid w:val="7FBA5A25"/>
    <w:rsid w:val="7FBC688F"/>
    <w:rsid w:val="7FC742A4"/>
    <w:rsid w:val="7FF240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9" w:semiHidden="0" w:name="heading 2"/>
    <w:lsdException w:qFormat="1" w:uiPriority="0" w:semiHidden="0" w:name="heading 3"/>
    <w:lsdException w:qFormat="1"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iPriority="99"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360" w:lineRule="auto"/>
      <w:ind w:firstLine="482"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59"/>
    <w:qFormat/>
    <w:uiPriority w:val="0"/>
    <w:pPr>
      <w:keepNext/>
      <w:keepLines/>
      <w:numPr>
        <w:ilvl w:val="0"/>
        <w:numId w:val="1"/>
      </w:numPr>
      <w:spacing w:before="300" w:after="300" w:line="520" w:lineRule="exact"/>
      <w:ind w:firstLineChars="0"/>
      <w:jc w:val="center"/>
      <w:outlineLvl w:val="0"/>
    </w:pPr>
    <w:rPr>
      <w:rFonts w:eastAsia="黑体"/>
      <w:b/>
      <w:bCs/>
      <w:kern w:val="44"/>
      <w:sz w:val="36"/>
      <w:szCs w:val="36"/>
    </w:rPr>
  </w:style>
  <w:style w:type="paragraph" w:styleId="4">
    <w:name w:val="heading 2"/>
    <w:basedOn w:val="1"/>
    <w:next w:val="1"/>
    <w:link w:val="55"/>
    <w:unhideWhenUsed/>
    <w:qFormat/>
    <w:uiPriority w:val="99"/>
    <w:pPr>
      <w:keepNext/>
      <w:keepLines/>
      <w:numPr>
        <w:ilvl w:val="1"/>
        <w:numId w:val="1"/>
      </w:numPr>
      <w:spacing w:before="50" w:beforeLines="50" w:after="50" w:afterLines="50"/>
      <w:ind w:firstLineChars="0"/>
      <w:jc w:val="left"/>
      <w:textAlignment w:val="baseline"/>
      <w:outlineLvl w:val="1"/>
    </w:pPr>
    <w:rPr>
      <w:rFonts w:eastAsia="黑体"/>
      <w:b/>
      <w:bCs/>
      <w:kern w:val="28"/>
      <w:sz w:val="30"/>
      <w:szCs w:val="30"/>
    </w:rPr>
  </w:style>
  <w:style w:type="paragraph" w:styleId="5">
    <w:name w:val="heading 3"/>
    <w:basedOn w:val="1"/>
    <w:next w:val="1"/>
    <w:link w:val="56"/>
    <w:unhideWhenUsed/>
    <w:qFormat/>
    <w:uiPriority w:val="0"/>
    <w:pPr>
      <w:keepNext/>
      <w:keepLines/>
      <w:numPr>
        <w:ilvl w:val="2"/>
        <w:numId w:val="1"/>
      </w:numPr>
      <w:spacing w:before="50" w:beforeLines="50" w:after="50" w:afterLines="50"/>
      <w:ind w:left="0" w:firstLineChars="0"/>
      <w:jc w:val="left"/>
      <w:outlineLvl w:val="2"/>
    </w:pPr>
    <w:rPr>
      <w:rFonts w:ascii="Times New Roman" w:hAnsi="Times New Roman" w:eastAsia="黑体"/>
      <w:b/>
      <w:bCs/>
    </w:rPr>
  </w:style>
  <w:style w:type="paragraph" w:styleId="6">
    <w:name w:val="heading 4"/>
    <w:basedOn w:val="1"/>
    <w:next w:val="1"/>
    <w:link w:val="98"/>
    <w:unhideWhenUsed/>
    <w:qFormat/>
    <w:uiPriority w:val="0"/>
    <w:pPr>
      <w:keepNext/>
      <w:keepLines/>
      <w:numPr>
        <w:ilvl w:val="3"/>
        <w:numId w:val="1"/>
      </w:numPr>
      <w:spacing w:before="280" w:after="290" w:line="372" w:lineRule="auto"/>
      <w:ind w:firstLineChars="0"/>
      <w:outlineLvl w:val="3"/>
    </w:pPr>
    <w:rPr>
      <w:rFonts w:ascii="Arial" w:hAnsi="Arial" w:eastAsia="黑体"/>
      <w:b/>
      <w:sz w:val="28"/>
    </w:rPr>
  </w:style>
  <w:style w:type="paragraph" w:styleId="7">
    <w:name w:val="heading 5"/>
    <w:basedOn w:val="1"/>
    <w:next w:val="1"/>
    <w:link w:val="111"/>
    <w:qFormat/>
    <w:uiPriority w:val="0"/>
    <w:pPr>
      <w:keepNext/>
      <w:keepLines/>
      <w:tabs>
        <w:tab w:val="left" w:pos="1008"/>
      </w:tabs>
      <w:spacing w:line="400" w:lineRule="exact"/>
      <w:ind w:left="1008" w:hanging="1008"/>
      <w:outlineLvl w:val="4"/>
    </w:pPr>
    <w:rPr>
      <w:rFonts w:ascii="Times New Roman" w:hAnsi="Times New Roman" w:eastAsia="黑体" w:cs="Times New Roman"/>
      <w:bCs/>
      <w:sz w:val="24"/>
      <w:szCs w:val="24"/>
      <w:lang w:val="en-US" w:eastAsia="zh-CN" w:bidi="ar-SA"/>
    </w:rPr>
  </w:style>
  <w:style w:type="paragraph" w:styleId="8">
    <w:name w:val="heading 6"/>
    <w:basedOn w:val="1"/>
    <w:next w:val="1"/>
    <w:link w:val="112"/>
    <w:qFormat/>
    <w:uiPriority w:val="0"/>
    <w:pPr>
      <w:keepNext/>
      <w:keepLines/>
      <w:tabs>
        <w:tab w:val="left" w:pos="1152"/>
      </w:tabs>
      <w:spacing w:before="240" w:after="64" w:line="320" w:lineRule="auto"/>
      <w:ind w:left="1152" w:hanging="1152" w:firstLineChars="0"/>
      <w:outlineLvl w:val="5"/>
    </w:pPr>
    <w:rPr>
      <w:rFonts w:ascii="Arial" w:hAnsi="Arial" w:eastAsia="黑体"/>
      <w:b/>
      <w:bCs/>
      <w:kern w:val="0"/>
      <w:lang w:val="zh-CN"/>
    </w:rPr>
  </w:style>
  <w:style w:type="paragraph" w:styleId="9">
    <w:name w:val="heading 7"/>
    <w:basedOn w:val="1"/>
    <w:next w:val="1"/>
    <w:link w:val="113"/>
    <w:qFormat/>
    <w:uiPriority w:val="0"/>
    <w:pPr>
      <w:keepNext/>
      <w:keepLines/>
      <w:tabs>
        <w:tab w:val="left" w:pos="1296"/>
      </w:tabs>
      <w:spacing w:before="240" w:after="64" w:line="320" w:lineRule="auto"/>
      <w:ind w:left="1296" w:hanging="1296" w:firstLineChars="0"/>
      <w:outlineLvl w:val="6"/>
    </w:pPr>
    <w:rPr>
      <w:b/>
      <w:bCs/>
      <w:kern w:val="0"/>
      <w:lang w:val="zh-CN"/>
    </w:rPr>
  </w:style>
  <w:style w:type="paragraph" w:styleId="10">
    <w:name w:val="heading 8"/>
    <w:basedOn w:val="1"/>
    <w:next w:val="1"/>
    <w:link w:val="114"/>
    <w:qFormat/>
    <w:uiPriority w:val="0"/>
    <w:pPr>
      <w:keepNext/>
      <w:keepLines/>
      <w:tabs>
        <w:tab w:val="left" w:pos="1440"/>
      </w:tabs>
      <w:spacing w:before="240" w:after="64" w:line="320" w:lineRule="auto"/>
      <w:ind w:left="1440" w:hanging="1440" w:firstLineChars="0"/>
      <w:outlineLvl w:val="7"/>
    </w:pPr>
    <w:rPr>
      <w:rFonts w:ascii="Arial" w:hAnsi="Arial" w:eastAsia="黑体"/>
      <w:kern w:val="0"/>
      <w:lang w:val="zh-CN"/>
    </w:rPr>
  </w:style>
  <w:style w:type="paragraph" w:styleId="11">
    <w:name w:val="heading 9"/>
    <w:basedOn w:val="1"/>
    <w:next w:val="1"/>
    <w:link w:val="115"/>
    <w:qFormat/>
    <w:uiPriority w:val="0"/>
    <w:pPr>
      <w:keepNext/>
      <w:keepLines/>
      <w:tabs>
        <w:tab w:val="left" w:pos="1584"/>
      </w:tabs>
      <w:spacing w:before="240" w:after="64" w:line="320" w:lineRule="auto"/>
      <w:ind w:left="1584" w:hanging="1584" w:firstLineChars="0"/>
      <w:outlineLvl w:val="8"/>
    </w:pPr>
    <w:rPr>
      <w:rFonts w:ascii="Arial" w:hAnsi="Arial" w:eastAsia="黑体"/>
      <w:kern w:val="0"/>
      <w:sz w:val="20"/>
      <w:szCs w:val="21"/>
      <w:lang w:val="zh-CN"/>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2">
    <w:name w:val="table of figures"/>
    <w:basedOn w:val="1"/>
    <w:next w:val="1"/>
    <w:qFormat/>
    <w:uiPriority w:val="0"/>
    <w:pPr>
      <w:ind w:left="200" w:leftChars="200" w:hanging="200" w:hangingChars="200"/>
    </w:pPr>
  </w:style>
  <w:style w:type="paragraph" w:styleId="12">
    <w:name w:val="toc 7"/>
    <w:basedOn w:val="1"/>
    <w:next w:val="1"/>
    <w:qFormat/>
    <w:uiPriority w:val="39"/>
    <w:pPr>
      <w:ind w:left="1440" w:firstLine="200"/>
      <w:jc w:val="left"/>
    </w:pPr>
    <w:rPr>
      <w:sz w:val="18"/>
      <w:szCs w:val="18"/>
    </w:rPr>
  </w:style>
  <w:style w:type="paragraph" w:styleId="13">
    <w:name w:val="Note Heading"/>
    <w:basedOn w:val="1"/>
    <w:next w:val="1"/>
    <w:link w:val="120"/>
    <w:qFormat/>
    <w:uiPriority w:val="0"/>
    <w:pPr>
      <w:jc w:val="center"/>
    </w:pPr>
    <w:rPr>
      <w:rFonts w:cstheme="minorBidi"/>
      <w:sz w:val="21"/>
    </w:rPr>
  </w:style>
  <w:style w:type="paragraph" w:styleId="14">
    <w:name w:val="Normal Indent"/>
    <w:basedOn w:val="1"/>
    <w:next w:val="1"/>
    <w:link w:val="116"/>
    <w:qFormat/>
    <w:uiPriority w:val="0"/>
    <w:pPr>
      <w:ind w:firstLine="0" w:firstLineChars="0"/>
      <w:jc w:val="center"/>
    </w:pPr>
    <w:rPr>
      <w:rFonts w:ascii="Times New Roman" w:hAnsi="Times New Roman"/>
      <w:color w:val="000000"/>
      <w:kern w:val="0"/>
      <w:sz w:val="21"/>
      <w:szCs w:val="18"/>
    </w:rPr>
  </w:style>
  <w:style w:type="paragraph" w:styleId="15">
    <w:name w:val="caption"/>
    <w:basedOn w:val="1"/>
    <w:next w:val="1"/>
    <w:link w:val="121"/>
    <w:qFormat/>
    <w:uiPriority w:val="35"/>
    <w:pPr>
      <w:ind w:firstLine="200"/>
    </w:pPr>
    <w:rPr>
      <w:rFonts w:ascii="Arial" w:hAnsi="Arial" w:eastAsia="黑体"/>
      <w:sz w:val="20"/>
      <w:szCs w:val="20"/>
      <w:lang w:val="zh-CN"/>
    </w:rPr>
  </w:style>
  <w:style w:type="paragraph" w:styleId="16">
    <w:name w:val="List Bullet"/>
    <w:basedOn w:val="1"/>
    <w:qFormat/>
    <w:uiPriority w:val="0"/>
    <w:pPr>
      <w:tabs>
        <w:tab w:val="left" w:pos="360"/>
      </w:tabs>
      <w:ind w:left="360" w:hanging="360" w:hangingChars="200"/>
    </w:pPr>
  </w:style>
  <w:style w:type="paragraph" w:styleId="17">
    <w:name w:val="Document Map"/>
    <w:basedOn w:val="1"/>
    <w:link w:val="123"/>
    <w:unhideWhenUsed/>
    <w:qFormat/>
    <w:uiPriority w:val="99"/>
    <w:pPr>
      <w:ind w:firstLine="200"/>
    </w:pPr>
    <w:rPr>
      <w:rFonts w:ascii="宋体"/>
      <w:sz w:val="18"/>
      <w:szCs w:val="18"/>
      <w:lang w:val="zh-CN"/>
    </w:rPr>
  </w:style>
  <w:style w:type="paragraph" w:styleId="18">
    <w:name w:val="annotation text"/>
    <w:basedOn w:val="1"/>
    <w:link w:val="124"/>
    <w:qFormat/>
    <w:uiPriority w:val="99"/>
    <w:pPr>
      <w:jc w:val="left"/>
    </w:pPr>
    <w:rPr>
      <w:rFonts w:cstheme="minorBidi"/>
    </w:rPr>
  </w:style>
  <w:style w:type="paragraph" w:styleId="19">
    <w:name w:val="Body Text"/>
    <w:basedOn w:val="1"/>
    <w:next w:val="20"/>
    <w:link w:val="99"/>
    <w:unhideWhenUsed/>
    <w:qFormat/>
    <w:uiPriority w:val="0"/>
    <w:pPr>
      <w:spacing w:after="120"/>
    </w:pPr>
  </w:style>
  <w:style w:type="paragraph" w:customStyle="1" w:styleId="20">
    <w:name w:val="Default"/>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paragraph" w:styleId="21">
    <w:name w:val="Body Text Indent"/>
    <w:basedOn w:val="1"/>
    <w:link w:val="100"/>
    <w:qFormat/>
    <w:uiPriority w:val="0"/>
    <w:pPr>
      <w:spacing w:after="120"/>
      <w:ind w:left="420" w:leftChars="200"/>
    </w:pPr>
  </w:style>
  <w:style w:type="paragraph" w:styleId="22">
    <w:name w:val="toc 5"/>
    <w:basedOn w:val="1"/>
    <w:next w:val="1"/>
    <w:qFormat/>
    <w:uiPriority w:val="39"/>
    <w:pPr>
      <w:ind w:left="960" w:firstLine="200"/>
      <w:jc w:val="left"/>
    </w:pPr>
    <w:rPr>
      <w:sz w:val="18"/>
      <w:szCs w:val="18"/>
    </w:rPr>
  </w:style>
  <w:style w:type="paragraph" w:styleId="23">
    <w:name w:val="toc 3"/>
    <w:basedOn w:val="1"/>
    <w:next w:val="1"/>
    <w:qFormat/>
    <w:uiPriority w:val="39"/>
    <w:pPr>
      <w:ind w:left="840" w:leftChars="400" w:firstLine="200"/>
    </w:pPr>
  </w:style>
  <w:style w:type="paragraph" w:styleId="24">
    <w:name w:val="Plain Text"/>
    <w:basedOn w:val="1"/>
    <w:link w:val="101"/>
    <w:qFormat/>
    <w:uiPriority w:val="99"/>
    <w:rPr>
      <w:rFonts w:ascii="宋体" w:hAnsi="Courier New"/>
      <w:kern w:val="0"/>
      <w:sz w:val="20"/>
      <w:szCs w:val="21"/>
    </w:rPr>
  </w:style>
  <w:style w:type="paragraph" w:styleId="25">
    <w:name w:val="toc 8"/>
    <w:basedOn w:val="1"/>
    <w:next w:val="1"/>
    <w:qFormat/>
    <w:uiPriority w:val="39"/>
    <w:pPr>
      <w:ind w:left="1680" w:firstLine="200"/>
      <w:jc w:val="left"/>
    </w:pPr>
    <w:rPr>
      <w:sz w:val="18"/>
      <w:szCs w:val="18"/>
    </w:rPr>
  </w:style>
  <w:style w:type="paragraph" w:styleId="26">
    <w:name w:val="Date"/>
    <w:basedOn w:val="1"/>
    <w:next w:val="1"/>
    <w:link w:val="125"/>
    <w:qFormat/>
    <w:uiPriority w:val="0"/>
    <w:pPr>
      <w:ind w:left="100" w:leftChars="2500"/>
    </w:pPr>
    <w:rPr>
      <w:rFonts w:cstheme="minorBidi"/>
    </w:rPr>
  </w:style>
  <w:style w:type="paragraph" w:styleId="27">
    <w:name w:val="Body Text Indent 2"/>
    <w:basedOn w:val="1"/>
    <w:next w:val="1"/>
    <w:link w:val="97"/>
    <w:qFormat/>
    <w:uiPriority w:val="0"/>
    <w:pPr>
      <w:spacing w:after="120" w:line="480" w:lineRule="auto"/>
      <w:ind w:left="420" w:leftChars="200"/>
    </w:pPr>
  </w:style>
  <w:style w:type="paragraph" w:styleId="28">
    <w:name w:val="Balloon Text"/>
    <w:basedOn w:val="1"/>
    <w:link w:val="105"/>
    <w:qFormat/>
    <w:uiPriority w:val="0"/>
    <w:pPr>
      <w:spacing w:line="240" w:lineRule="auto"/>
    </w:pPr>
    <w:rPr>
      <w:sz w:val="18"/>
      <w:szCs w:val="18"/>
    </w:rPr>
  </w:style>
  <w:style w:type="paragraph" w:styleId="29">
    <w:name w:val="footer"/>
    <w:basedOn w:val="1"/>
    <w:link w:val="332"/>
    <w:qFormat/>
    <w:uiPriority w:val="99"/>
    <w:pPr>
      <w:tabs>
        <w:tab w:val="center" w:pos="4153"/>
        <w:tab w:val="right" w:pos="8306"/>
      </w:tabs>
      <w:jc w:val="left"/>
    </w:pPr>
    <w:rPr>
      <w:sz w:val="18"/>
    </w:rPr>
  </w:style>
  <w:style w:type="paragraph" w:styleId="30">
    <w:name w:val="header"/>
    <w:basedOn w:val="1"/>
    <w:link w:val="338"/>
    <w:qFormat/>
    <w:uiPriority w:val="0"/>
    <w:pPr>
      <w:pBdr>
        <w:top w:val="none" w:color="auto" w:sz="0" w:space="1"/>
        <w:left w:val="none" w:color="auto" w:sz="0" w:space="4"/>
        <w:bottom w:val="none" w:color="auto" w:sz="0" w:space="1"/>
        <w:right w:val="none" w:color="auto" w:sz="0" w:space="4"/>
      </w:pBdr>
      <w:tabs>
        <w:tab w:val="center" w:pos="4153"/>
        <w:tab w:val="right" w:pos="8306"/>
      </w:tabs>
      <w:spacing w:line="240" w:lineRule="auto"/>
    </w:pPr>
    <w:rPr>
      <w:sz w:val="18"/>
    </w:rPr>
  </w:style>
  <w:style w:type="paragraph" w:styleId="31">
    <w:name w:val="toc 1"/>
    <w:basedOn w:val="1"/>
    <w:next w:val="1"/>
    <w:qFormat/>
    <w:uiPriority w:val="39"/>
    <w:rPr>
      <w:rFonts w:cstheme="minorBidi"/>
    </w:rPr>
  </w:style>
  <w:style w:type="paragraph" w:styleId="32">
    <w:name w:val="toc 4"/>
    <w:basedOn w:val="1"/>
    <w:next w:val="1"/>
    <w:qFormat/>
    <w:uiPriority w:val="39"/>
    <w:pPr>
      <w:ind w:left="720" w:firstLine="200"/>
      <w:jc w:val="left"/>
    </w:pPr>
    <w:rPr>
      <w:sz w:val="18"/>
      <w:szCs w:val="18"/>
    </w:rPr>
  </w:style>
  <w:style w:type="paragraph" w:styleId="33">
    <w:name w:val="List"/>
    <w:basedOn w:val="1"/>
    <w:qFormat/>
    <w:uiPriority w:val="0"/>
    <w:pPr>
      <w:adjustRightInd/>
      <w:snapToGrid/>
      <w:spacing w:line="240" w:lineRule="auto"/>
      <w:ind w:left="200" w:hanging="200" w:hangingChars="200"/>
      <w:contextualSpacing/>
    </w:pPr>
    <w:rPr>
      <w:rFonts w:ascii="Calibri" w:hAnsi="Calibri" w:cs="宋体"/>
      <w:sz w:val="21"/>
    </w:rPr>
  </w:style>
  <w:style w:type="paragraph" w:styleId="34">
    <w:name w:val="footnote text"/>
    <w:basedOn w:val="1"/>
    <w:link w:val="127"/>
    <w:qFormat/>
    <w:uiPriority w:val="0"/>
    <w:pPr>
      <w:ind w:firstLine="200"/>
      <w:jc w:val="left"/>
    </w:pPr>
    <w:rPr>
      <w:rFonts w:eastAsia="仿宋_GB2312"/>
      <w:kern w:val="0"/>
      <w:sz w:val="18"/>
      <w:szCs w:val="18"/>
    </w:rPr>
  </w:style>
  <w:style w:type="paragraph" w:styleId="35">
    <w:name w:val="toc 6"/>
    <w:basedOn w:val="1"/>
    <w:next w:val="1"/>
    <w:qFormat/>
    <w:uiPriority w:val="39"/>
    <w:pPr>
      <w:ind w:left="1200" w:firstLine="200"/>
      <w:jc w:val="left"/>
    </w:pPr>
    <w:rPr>
      <w:sz w:val="18"/>
      <w:szCs w:val="18"/>
    </w:rPr>
  </w:style>
  <w:style w:type="paragraph" w:styleId="36">
    <w:name w:val="Body Text Indent 3"/>
    <w:basedOn w:val="1"/>
    <w:link w:val="102"/>
    <w:unhideWhenUsed/>
    <w:qFormat/>
    <w:uiPriority w:val="99"/>
    <w:pPr>
      <w:spacing w:after="120"/>
      <w:ind w:left="420" w:leftChars="200"/>
    </w:pPr>
    <w:rPr>
      <w:sz w:val="16"/>
      <w:szCs w:val="16"/>
    </w:rPr>
  </w:style>
  <w:style w:type="paragraph" w:styleId="37">
    <w:name w:val="toc 2"/>
    <w:basedOn w:val="1"/>
    <w:next w:val="1"/>
    <w:qFormat/>
    <w:uiPriority w:val="39"/>
    <w:pPr>
      <w:ind w:left="420" w:leftChars="200"/>
    </w:pPr>
    <w:rPr>
      <w:rFonts w:cstheme="minorBidi"/>
    </w:rPr>
  </w:style>
  <w:style w:type="paragraph" w:styleId="38">
    <w:name w:val="toc 9"/>
    <w:basedOn w:val="1"/>
    <w:next w:val="1"/>
    <w:qFormat/>
    <w:uiPriority w:val="39"/>
    <w:pPr>
      <w:ind w:left="1920" w:firstLine="200"/>
      <w:jc w:val="left"/>
    </w:pPr>
    <w:rPr>
      <w:sz w:val="18"/>
      <w:szCs w:val="18"/>
    </w:rPr>
  </w:style>
  <w:style w:type="paragraph" w:styleId="39">
    <w:name w:val="Normal (Web)"/>
    <w:basedOn w:val="1"/>
    <w:link w:val="117"/>
    <w:qFormat/>
    <w:uiPriority w:val="99"/>
    <w:pPr>
      <w:jc w:val="left"/>
    </w:pPr>
    <w:rPr>
      <w:rFonts w:ascii="Calibri" w:hAnsi="Calibri"/>
      <w:kern w:val="0"/>
    </w:rPr>
  </w:style>
  <w:style w:type="paragraph" w:styleId="40">
    <w:name w:val="index 1"/>
    <w:basedOn w:val="1"/>
    <w:next w:val="1"/>
    <w:qFormat/>
    <w:uiPriority w:val="0"/>
    <w:rPr>
      <w:rFonts w:hAnsi="宋体"/>
      <w:sz w:val="24"/>
    </w:rPr>
  </w:style>
  <w:style w:type="paragraph" w:styleId="41">
    <w:name w:val="Title"/>
    <w:basedOn w:val="1"/>
    <w:next w:val="1"/>
    <w:link w:val="103"/>
    <w:qFormat/>
    <w:uiPriority w:val="0"/>
    <w:pPr>
      <w:spacing w:before="240" w:after="60"/>
      <w:jc w:val="center"/>
      <w:outlineLvl w:val="0"/>
    </w:pPr>
    <w:rPr>
      <w:rFonts w:ascii="Cambria" w:hAnsi="Cambria"/>
      <w:b/>
      <w:bCs/>
      <w:kern w:val="0"/>
      <w:sz w:val="32"/>
      <w:szCs w:val="32"/>
    </w:rPr>
  </w:style>
  <w:style w:type="paragraph" w:styleId="42">
    <w:name w:val="annotation subject"/>
    <w:basedOn w:val="18"/>
    <w:next w:val="18"/>
    <w:link w:val="128"/>
    <w:qFormat/>
    <w:uiPriority w:val="99"/>
    <w:rPr>
      <w:b/>
      <w:bCs/>
    </w:rPr>
  </w:style>
  <w:style w:type="paragraph" w:styleId="43">
    <w:name w:val="Body Text First Indent"/>
    <w:basedOn w:val="19"/>
    <w:link w:val="119"/>
    <w:qFormat/>
    <w:uiPriority w:val="99"/>
    <w:pPr>
      <w:ind w:firstLine="420" w:firstLineChars="100"/>
    </w:pPr>
  </w:style>
  <w:style w:type="paragraph" w:styleId="44">
    <w:name w:val="Body Text First Indent 2"/>
    <w:basedOn w:val="21"/>
    <w:next w:val="1"/>
    <w:qFormat/>
    <w:uiPriority w:val="0"/>
    <w:pPr>
      <w:spacing w:after="120"/>
      <w:ind w:left="420" w:leftChars="200" w:firstLine="420" w:firstLineChars="200"/>
    </w:pPr>
    <w:rPr>
      <w:rFonts w:ascii="Times New Roman" w:eastAsia="宋体"/>
      <w:sz w:val="21"/>
    </w:rPr>
  </w:style>
  <w:style w:type="table" w:styleId="46">
    <w:name w:val="Table Grid"/>
    <w:basedOn w:val="4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character" w:styleId="48">
    <w:name w:val="Strong"/>
    <w:basedOn w:val="47"/>
    <w:qFormat/>
    <w:uiPriority w:val="0"/>
  </w:style>
  <w:style w:type="character" w:styleId="49">
    <w:name w:val="page number"/>
    <w:basedOn w:val="47"/>
    <w:qFormat/>
    <w:uiPriority w:val="0"/>
  </w:style>
  <w:style w:type="character" w:styleId="50">
    <w:name w:val="FollowedHyperlink"/>
    <w:basedOn w:val="47"/>
    <w:qFormat/>
    <w:uiPriority w:val="0"/>
    <w:rPr>
      <w:color w:val="000000"/>
      <w:u w:val="none"/>
    </w:rPr>
  </w:style>
  <w:style w:type="character" w:styleId="51">
    <w:name w:val="Emphasis"/>
    <w:basedOn w:val="47"/>
    <w:qFormat/>
    <w:uiPriority w:val="0"/>
  </w:style>
  <w:style w:type="character" w:styleId="52">
    <w:name w:val="HTML Variable"/>
    <w:basedOn w:val="47"/>
    <w:qFormat/>
    <w:uiPriority w:val="0"/>
    <w:rPr>
      <w:color w:val="355E92"/>
    </w:rPr>
  </w:style>
  <w:style w:type="character" w:styleId="53">
    <w:name w:val="Hyperlink"/>
    <w:basedOn w:val="47"/>
    <w:qFormat/>
    <w:uiPriority w:val="99"/>
    <w:rPr>
      <w:color w:val="000000"/>
      <w:u w:val="none"/>
    </w:rPr>
  </w:style>
  <w:style w:type="character" w:styleId="54">
    <w:name w:val="annotation reference"/>
    <w:basedOn w:val="47"/>
    <w:qFormat/>
    <w:uiPriority w:val="99"/>
    <w:rPr>
      <w:sz w:val="21"/>
      <w:szCs w:val="21"/>
    </w:rPr>
  </w:style>
  <w:style w:type="character" w:customStyle="1" w:styleId="55">
    <w:name w:val="标题 2 Char"/>
    <w:link w:val="4"/>
    <w:qFormat/>
    <w:uiPriority w:val="99"/>
    <w:rPr>
      <w:rFonts w:eastAsia="黑体"/>
      <w:b/>
      <w:bCs/>
      <w:kern w:val="28"/>
      <w:sz w:val="30"/>
      <w:szCs w:val="30"/>
    </w:rPr>
  </w:style>
  <w:style w:type="character" w:customStyle="1" w:styleId="56">
    <w:name w:val="标题 3 Char"/>
    <w:link w:val="5"/>
    <w:qFormat/>
    <w:uiPriority w:val="0"/>
    <w:rPr>
      <w:rFonts w:ascii="Times New Roman" w:hAnsi="Times New Roman" w:eastAsia="黑体"/>
      <w:b/>
      <w:bCs/>
      <w:kern w:val="2"/>
      <w:sz w:val="24"/>
      <w:szCs w:val="24"/>
    </w:rPr>
  </w:style>
  <w:style w:type="paragraph" w:customStyle="1" w:styleId="57">
    <w:name w:val="表格"/>
    <w:basedOn w:val="1"/>
    <w:link w:val="321"/>
    <w:qFormat/>
    <w:uiPriority w:val="0"/>
    <w:pPr>
      <w:spacing w:beforeLines="20" w:afterLines="20"/>
      <w:jc w:val="center"/>
    </w:pPr>
    <w:rPr>
      <w:kern w:val="0"/>
      <w:sz w:val="20"/>
      <w:szCs w:val="21"/>
    </w:rPr>
  </w:style>
  <w:style w:type="paragraph" w:customStyle="1" w:styleId="58">
    <w:name w:val="样式 样式 左侧:  2 字符 + 左侧:  0.85 厘米 首行缩进:  2 字符1"/>
    <w:basedOn w:val="1"/>
    <w:qFormat/>
    <w:uiPriority w:val="0"/>
    <w:pPr>
      <w:widowControl w:val="0"/>
      <w:ind w:left="482" w:firstLine="200" w:firstLineChars="200"/>
    </w:pPr>
    <w:rPr>
      <w:kern w:val="2"/>
    </w:rPr>
  </w:style>
  <w:style w:type="character" w:customStyle="1" w:styleId="59">
    <w:name w:val="标题 1 Char"/>
    <w:link w:val="3"/>
    <w:qFormat/>
    <w:uiPriority w:val="0"/>
    <w:rPr>
      <w:rFonts w:eastAsia="黑体"/>
      <w:b/>
      <w:bCs/>
      <w:kern w:val="44"/>
      <w:sz w:val="36"/>
      <w:szCs w:val="36"/>
    </w:rPr>
  </w:style>
  <w:style w:type="paragraph" w:customStyle="1" w:styleId="60">
    <w:name w:val="表头"/>
    <w:basedOn w:val="1"/>
    <w:link w:val="317"/>
    <w:qFormat/>
    <w:uiPriority w:val="0"/>
    <w:pPr>
      <w:spacing w:before="80" w:after="80"/>
      <w:jc w:val="center"/>
      <w:textAlignment w:val="baseline"/>
    </w:pPr>
    <w:rPr>
      <w:rFonts w:ascii="仿宋_GB2312" w:eastAsia="仿宋_GB2312"/>
      <w:kern w:val="0"/>
      <w:szCs w:val="20"/>
    </w:rPr>
  </w:style>
  <w:style w:type="paragraph" w:customStyle="1" w:styleId="61">
    <w:name w:val="09.12.10"/>
    <w:basedOn w:val="1"/>
    <w:qFormat/>
    <w:uiPriority w:val="0"/>
    <w:pPr>
      <w:spacing w:line="336" w:lineRule="auto"/>
      <w:ind w:firstLine="200"/>
    </w:pPr>
    <w:rPr>
      <w:rFonts w:ascii="宋体"/>
      <w:bCs/>
      <w:kern w:val="0"/>
      <w:sz w:val="28"/>
      <w:szCs w:val="20"/>
    </w:rPr>
  </w:style>
  <w:style w:type="paragraph" w:customStyle="1" w:styleId="62">
    <w:name w:val="正文3"/>
    <w:basedOn w:val="1"/>
    <w:next w:val="1"/>
    <w:link w:val="316"/>
    <w:qFormat/>
    <w:uiPriority w:val="0"/>
    <w:pPr>
      <w:spacing w:line="529" w:lineRule="exact"/>
      <w:ind w:firstLine="200"/>
    </w:pPr>
    <w:rPr>
      <w:rFonts w:ascii="宋体" w:hAnsi="宋体" w:cs="宋体"/>
    </w:rPr>
  </w:style>
  <w:style w:type="character" w:customStyle="1" w:styleId="63">
    <w:name w:val="页眉 Char"/>
    <w:basedOn w:val="47"/>
    <w:link w:val="30"/>
    <w:qFormat/>
    <w:uiPriority w:val="0"/>
    <w:rPr>
      <w:rFonts w:hint="default" w:ascii="Calibri" w:hAnsi="Calibri" w:cs="Calibri"/>
    </w:rPr>
  </w:style>
  <w:style w:type="character" w:customStyle="1" w:styleId="64">
    <w:name w:val="页脚 Char"/>
    <w:basedOn w:val="47"/>
    <w:link w:val="29"/>
    <w:qFormat/>
    <w:uiPriority w:val="99"/>
    <w:rPr>
      <w:rFonts w:hint="default" w:ascii="Calibri" w:hAnsi="Calibri" w:cs="Calibri"/>
    </w:rPr>
  </w:style>
  <w:style w:type="character" w:customStyle="1" w:styleId="65">
    <w:name w:val="titbg1"/>
    <w:basedOn w:val="47"/>
    <w:qFormat/>
    <w:uiPriority w:val="0"/>
    <w:rPr>
      <w:shd w:val="clear" w:color="auto" w:fill="378ED7"/>
    </w:rPr>
  </w:style>
  <w:style w:type="character" w:customStyle="1" w:styleId="66">
    <w:name w:val="bsharetext"/>
    <w:basedOn w:val="47"/>
    <w:qFormat/>
    <w:uiPriority w:val="0"/>
  </w:style>
  <w:style w:type="character" w:customStyle="1" w:styleId="67">
    <w:name w:val="hover27"/>
    <w:basedOn w:val="47"/>
    <w:qFormat/>
    <w:uiPriority w:val="0"/>
  </w:style>
  <w:style w:type="character" w:customStyle="1" w:styleId="68">
    <w:name w:val="titbg2"/>
    <w:basedOn w:val="47"/>
    <w:qFormat/>
    <w:uiPriority w:val="0"/>
    <w:rPr>
      <w:shd w:val="clear" w:color="auto" w:fill="378ED7"/>
    </w:rPr>
  </w:style>
  <w:style w:type="paragraph" w:customStyle="1" w:styleId="69">
    <w:name w:val="表格文字"/>
    <w:basedOn w:val="1"/>
    <w:qFormat/>
    <w:uiPriority w:val="0"/>
    <w:pPr>
      <w:autoSpaceDE w:val="0"/>
      <w:autoSpaceDN w:val="0"/>
      <w:spacing w:before="40" w:after="40" w:line="400" w:lineRule="exact"/>
      <w:jc w:val="center"/>
      <w:textAlignment w:val="baseline"/>
    </w:pPr>
    <w:rPr>
      <w:kern w:val="24"/>
      <w:sz w:val="20"/>
      <w:szCs w:val="20"/>
    </w:rPr>
  </w:style>
  <w:style w:type="paragraph" w:customStyle="1" w:styleId="70">
    <w:name w:val="表文字"/>
    <w:basedOn w:val="1"/>
    <w:link w:val="322"/>
    <w:qFormat/>
    <w:uiPriority w:val="0"/>
    <w:pPr>
      <w:topLinePunct/>
      <w:spacing w:line="240" w:lineRule="exact"/>
      <w:jc w:val="center"/>
      <w:textAlignment w:val="baseline"/>
    </w:pPr>
    <w:rPr>
      <w:szCs w:val="21"/>
    </w:rPr>
  </w:style>
  <w:style w:type="character" w:customStyle="1" w:styleId="71">
    <w:name w:val="font01"/>
    <w:basedOn w:val="47"/>
    <w:qFormat/>
    <w:uiPriority w:val="0"/>
    <w:rPr>
      <w:rFonts w:hint="default" w:ascii="Times New Roman" w:hAnsi="Times New Roman" w:cs="Times New Roman"/>
      <w:color w:val="000000"/>
      <w:sz w:val="24"/>
      <w:szCs w:val="24"/>
      <w:u w:val="none"/>
    </w:rPr>
  </w:style>
  <w:style w:type="character" w:customStyle="1" w:styleId="72">
    <w:name w:val="font11"/>
    <w:basedOn w:val="47"/>
    <w:qFormat/>
    <w:uiPriority w:val="0"/>
    <w:rPr>
      <w:rFonts w:hint="eastAsia" w:ascii="宋体" w:hAnsi="宋体" w:eastAsia="宋体" w:cs="宋体"/>
      <w:color w:val="000000"/>
      <w:sz w:val="24"/>
      <w:szCs w:val="24"/>
      <w:u w:val="none"/>
    </w:rPr>
  </w:style>
  <w:style w:type="paragraph" w:customStyle="1" w:styleId="73">
    <w:name w:val="表格（窄）"/>
    <w:basedOn w:val="1"/>
    <w:qFormat/>
    <w:uiPriority w:val="0"/>
    <w:pPr>
      <w:jc w:val="center"/>
    </w:pPr>
    <w:rPr>
      <w:kern w:val="0"/>
    </w:rPr>
  </w:style>
  <w:style w:type="paragraph" w:customStyle="1" w:styleId="74">
    <w:name w:val="0正文"/>
    <w:unhideWhenUsed/>
    <w:qFormat/>
    <w:uiPriority w:val="0"/>
    <w:pPr>
      <w:widowControl w:val="0"/>
      <w:spacing w:line="360" w:lineRule="auto"/>
    </w:pPr>
    <w:rPr>
      <w:rFonts w:asciiTheme="minorHAnsi" w:hAnsiTheme="minorHAnsi" w:eastAsiaTheme="minorEastAsia" w:cstheme="minorBidi"/>
      <w:sz w:val="24"/>
      <w:szCs w:val="22"/>
      <w:lang w:val="en-US" w:eastAsia="zh-CN" w:bidi="ar-SA"/>
    </w:rPr>
  </w:style>
  <w:style w:type="paragraph" w:customStyle="1" w:styleId="75">
    <w:name w:val="图片标题"/>
    <w:basedOn w:val="1"/>
    <w:qFormat/>
    <w:uiPriority w:val="0"/>
    <w:pPr>
      <w:adjustRightInd/>
      <w:snapToGrid/>
      <w:ind w:firstLine="0" w:firstLineChars="0"/>
      <w:jc w:val="center"/>
    </w:pPr>
    <w:rPr>
      <w:b/>
      <w:sz w:val="21"/>
      <w:szCs w:val="22"/>
    </w:rPr>
  </w:style>
  <w:style w:type="paragraph" w:customStyle="1" w:styleId="76">
    <w:name w:val="普通(网站)1"/>
    <w:basedOn w:val="1"/>
    <w:qFormat/>
    <w:uiPriority w:val="0"/>
    <w:pPr>
      <w:widowControl/>
      <w:spacing w:before="100" w:beforeAutospacing="1" w:after="100" w:afterAutospacing="1" w:line="240" w:lineRule="auto"/>
      <w:ind w:firstLine="0" w:firstLineChars="0"/>
      <w:jc w:val="left"/>
    </w:pPr>
    <w:rPr>
      <w:rFonts w:hint="eastAsia" w:ascii="宋体" w:hAnsi="宋体"/>
      <w:szCs w:val="20"/>
    </w:rPr>
  </w:style>
  <w:style w:type="paragraph" w:customStyle="1" w:styleId="77">
    <w:name w:val="普通(网站)11"/>
    <w:basedOn w:val="1"/>
    <w:qFormat/>
    <w:uiPriority w:val="0"/>
    <w:pPr>
      <w:widowControl/>
      <w:spacing w:before="100" w:beforeAutospacing="1" w:after="100" w:afterAutospacing="1" w:line="240" w:lineRule="auto"/>
      <w:ind w:firstLine="0" w:firstLineChars="0"/>
      <w:jc w:val="left"/>
    </w:pPr>
    <w:rPr>
      <w:rFonts w:hint="eastAsia" w:ascii="宋体" w:hAnsi="宋体"/>
      <w:szCs w:val="20"/>
    </w:rPr>
  </w:style>
  <w:style w:type="paragraph" w:customStyle="1" w:styleId="78">
    <w:name w:val="1正文段落"/>
    <w:basedOn w:val="1"/>
    <w:link w:val="320"/>
    <w:qFormat/>
    <w:uiPriority w:val="0"/>
    <w:pPr>
      <w:ind w:firstLine="200"/>
      <w:jc w:val="left"/>
    </w:pPr>
    <w:rPr>
      <w:color w:val="000000" w:themeColor="text1"/>
      <w:spacing w:val="2"/>
      <w:kern w:val="0"/>
      <w:szCs w:val="21"/>
      <w14:textFill>
        <w14:solidFill>
          <w14:schemeClr w14:val="tx1"/>
        </w14:solidFill>
      </w14:textFill>
    </w:rPr>
  </w:style>
  <w:style w:type="paragraph" w:customStyle="1" w:styleId="79">
    <w:name w:val="说明书正文"/>
    <w:basedOn w:val="1"/>
    <w:qFormat/>
    <w:uiPriority w:val="0"/>
    <w:pPr>
      <w:spacing w:line="480" w:lineRule="exact"/>
      <w:ind w:firstLine="600"/>
    </w:pPr>
    <w:rPr>
      <w:rFonts w:eastAsia="仿宋_GB2312"/>
      <w:color w:val="000000"/>
      <w:sz w:val="30"/>
    </w:rPr>
  </w:style>
  <w:style w:type="paragraph" w:customStyle="1" w:styleId="80">
    <w:name w:val="0 图表"/>
    <w:basedOn w:val="1"/>
    <w:qFormat/>
    <w:uiPriority w:val="0"/>
    <w:pPr>
      <w:jc w:val="center"/>
    </w:pPr>
    <w:rPr>
      <w:rFonts w:eastAsia="黑体"/>
      <w:b/>
      <w:szCs w:val="21"/>
    </w:rPr>
  </w:style>
  <w:style w:type="paragraph" w:customStyle="1" w:styleId="81">
    <w:name w:val="标题c"/>
    <w:basedOn w:val="82"/>
    <w:qFormat/>
    <w:uiPriority w:val="0"/>
    <w:pPr>
      <w:spacing w:before="20" w:beforeLines="20" w:after="20" w:afterLines="20"/>
      <w:outlineLvl w:val="2"/>
    </w:pPr>
    <w:rPr>
      <w:rFonts w:cs="仿宋_GB2312"/>
      <w:sz w:val="28"/>
    </w:rPr>
  </w:style>
  <w:style w:type="paragraph" w:customStyle="1" w:styleId="82">
    <w:name w:val="标题b"/>
    <w:basedOn w:val="1"/>
    <w:link w:val="325"/>
    <w:qFormat/>
    <w:uiPriority w:val="0"/>
    <w:pPr>
      <w:autoSpaceDE w:val="0"/>
      <w:autoSpaceDN w:val="0"/>
      <w:spacing w:beforeLines="50" w:afterLines="50"/>
      <w:outlineLvl w:val="1"/>
    </w:pPr>
    <w:rPr>
      <w:rFonts w:ascii="宋体" w:hAnsi="宋体" w:eastAsia="黑体"/>
      <w:b/>
      <w:color w:val="000000"/>
      <w:kern w:val="0"/>
      <w:sz w:val="32"/>
    </w:rPr>
  </w:style>
  <w:style w:type="paragraph" w:customStyle="1" w:styleId="83">
    <w:name w:val="正文(首行缩进)"/>
    <w:basedOn w:val="1"/>
    <w:qFormat/>
    <w:uiPriority w:val="0"/>
    <w:rPr>
      <w:rFonts w:ascii="宋体" w:hAnsi="宋体"/>
      <w:bCs/>
      <w:spacing w:val="2"/>
      <w:kern w:val="0"/>
    </w:rPr>
  </w:style>
  <w:style w:type="paragraph" w:customStyle="1" w:styleId="84">
    <w:name w:val="表头1"/>
    <w:basedOn w:val="1"/>
    <w:qFormat/>
    <w:uiPriority w:val="0"/>
    <w:pPr>
      <w:spacing w:beforeLines="50"/>
      <w:jc w:val="center"/>
    </w:pPr>
    <w:rPr>
      <w:rFonts w:eastAsia="黑体"/>
      <w:b/>
    </w:rPr>
  </w:style>
  <w:style w:type="paragraph" w:customStyle="1" w:styleId="85">
    <w:name w:val="li-正文"/>
    <w:basedOn w:val="1"/>
    <w:qFormat/>
    <w:uiPriority w:val="0"/>
    <w:pPr>
      <w:ind w:firstLine="480"/>
    </w:pPr>
    <w:rPr>
      <w:szCs w:val="20"/>
    </w:rPr>
  </w:style>
  <w:style w:type="character" w:customStyle="1" w:styleId="86">
    <w:name w:val="unnamed21"/>
    <w:qFormat/>
    <w:uiPriority w:val="0"/>
    <w:rPr>
      <w:rFonts w:hint="eastAsia" w:ascii="宋体" w:hAnsi="宋体" w:eastAsia="宋体"/>
      <w:color w:val="000000"/>
      <w:sz w:val="20"/>
      <w:szCs w:val="20"/>
      <w:u w:val="none"/>
    </w:rPr>
  </w:style>
  <w:style w:type="paragraph" w:customStyle="1" w:styleId="87">
    <w:name w:val="表、图名"/>
    <w:basedOn w:val="1"/>
    <w:qFormat/>
    <w:uiPriority w:val="0"/>
    <w:pPr>
      <w:jc w:val="center"/>
    </w:pPr>
    <w:rPr>
      <w:rFonts w:ascii="黑体" w:hAnsi="宋体" w:eastAsia="黑体"/>
      <w:color w:val="000000"/>
      <w:kern w:val="0"/>
    </w:rPr>
  </w:style>
  <w:style w:type="paragraph" w:customStyle="1" w:styleId="88">
    <w:name w:val="环保表内字（五号）"/>
    <w:basedOn w:val="1"/>
    <w:qFormat/>
    <w:uiPriority w:val="0"/>
    <w:pPr>
      <w:autoSpaceDE w:val="0"/>
      <w:autoSpaceDN w:val="0"/>
      <w:ind w:left="-1" w:leftChars="-1" w:hanging="2" w:hangingChars="1"/>
      <w:jc w:val="center"/>
    </w:pPr>
    <w:rPr>
      <w:snapToGrid w:val="0"/>
      <w:color w:val="000000"/>
      <w:kern w:val="0"/>
      <w:szCs w:val="21"/>
      <w:lang w:val="zh-CN"/>
    </w:rPr>
  </w:style>
  <w:style w:type="paragraph" w:customStyle="1" w:styleId="89">
    <w:name w:val="表体"/>
    <w:basedOn w:val="1"/>
    <w:qFormat/>
    <w:uiPriority w:val="0"/>
    <w:pPr>
      <w:spacing w:line="280" w:lineRule="exact"/>
      <w:jc w:val="center"/>
    </w:pPr>
    <w:rPr>
      <w:rFonts w:ascii="宋体" w:hAnsi="宋体"/>
      <w:sz w:val="18"/>
    </w:rPr>
  </w:style>
  <w:style w:type="paragraph" w:customStyle="1" w:styleId="90">
    <w:name w:val="正文（首行缩进）"/>
    <w:basedOn w:val="1"/>
    <w:qFormat/>
    <w:uiPriority w:val="0"/>
    <w:pPr>
      <w:widowControl/>
      <w:ind w:firstLine="200"/>
      <w:jc w:val="left"/>
    </w:pPr>
    <w:rPr>
      <w:rFonts w:ascii="宋体" w:hAnsi="宋体"/>
      <w:color w:val="000000"/>
      <w:szCs w:val="20"/>
    </w:rPr>
  </w:style>
  <w:style w:type="paragraph" w:customStyle="1" w:styleId="91">
    <w:name w:val="表格内容自定"/>
    <w:basedOn w:val="1"/>
    <w:qFormat/>
    <w:uiPriority w:val="0"/>
    <w:pPr>
      <w:spacing w:line="280" w:lineRule="exact"/>
      <w:jc w:val="center"/>
    </w:pPr>
    <w:rPr>
      <w:rFonts w:ascii="宋体" w:hAnsi="宋体"/>
      <w:kern w:val="0"/>
      <w:sz w:val="18"/>
      <w:szCs w:val="20"/>
    </w:rPr>
  </w:style>
  <w:style w:type="character" w:customStyle="1" w:styleId="92">
    <w:name w:val="apple-style-span"/>
    <w:basedOn w:val="47"/>
    <w:qFormat/>
    <w:uiPriority w:val="0"/>
  </w:style>
  <w:style w:type="paragraph" w:customStyle="1" w:styleId="93">
    <w:name w:val="hb3"/>
    <w:basedOn w:val="5"/>
    <w:qFormat/>
    <w:uiPriority w:val="0"/>
    <w:pPr>
      <w:spacing w:before="156" w:after="156"/>
      <w:textAlignment w:val="baseline"/>
    </w:pPr>
    <w:rPr>
      <w:rFonts w:ascii="宋体" w:hAnsi="宋体"/>
      <w:bCs w:val="0"/>
      <w:szCs w:val="20"/>
    </w:rPr>
  </w:style>
  <w:style w:type="paragraph" w:customStyle="1" w:styleId="94">
    <w:name w:val="样式13"/>
    <w:basedOn w:val="1"/>
    <w:qFormat/>
    <w:uiPriority w:val="0"/>
    <w:pPr>
      <w:pBdr>
        <w:top w:val="thinThickSmallGap" w:color="auto" w:sz="12" w:space="1"/>
      </w:pBdr>
      <w:jc w:val="left"/>
    </w:pPr>
    <w:rPr>
      <w:rFonts w:ascii="宋体" w:hAnsi="宋体"/>
      <w:b/>
      <w:sz w:val="18"/>
      <w:szCs w:val="18"/>
    </w:rPr>
  </w:style>
  <w:style w:type="paragraph" w:customStyle="1" w:styleId="95">
    <w:name w:val="hb2"/>
    <w:basedOn w:val="4"/>
    <w:qFormat/>
    <w:uiPriority w:val="0"/>
    <w:rPr>
      <w:rFonts w:eastAsia="宋体"/>
      <w:kern w:val="0"/>
    </w:rPr>
  </w:style>
  <w:style w:type="paragraph" w:styleId="96">
    <w:name w:val="List Paragraph"/>
    <w:basedOn w:val="1"/>
    <w:link w:val="118"/>
    <w:qFormat/>
    <w:uiPriority w:val="34"/>
    <w:pPr>
      <w:ind w:firstLine="420"/>
    </w:pPr>
  </w:style>
  <w:style w:type="character" w:customStyle="1" w:styleId="97">
    <w:name w:val="正文文本缩进 2 Char"/>
    <w:basedOn w:val="47"/>
    <w:link w:val="27"/>
    <w:qFormat/>
    <w:uiPriority w:val="0"/>
    <w:rPr>
      <w:rFonts w:ascii="Times New Roman" w:hAnsi="Times New Roman" w:eastAsia="宋体" w:cs="Times New Roman"/>
      <w:kern w:val="2"/>
      <w:sz w:val="24"/>
      <w:szCs w:val="24"/>
    </w:rPr>
  </w:style>
  <w:style w:type="character" w:customStyle="1" w:styleId="98">
    <w:name w:val="标题 4 Char"/>
    <w:basedOn w:val="47"/>
    <w:link w:val="6"/>
    <w:qFormat/>
    <w:uiPriority w:val="0"/>
    <w:rPr>
      <w:rFonts w:ascii="Arial" w:hAnsi="Arial" w:eastAsia="黑体"/>
      <w:b/>
      <w:kern w:val="2"/>
      <w:sz w:val="28"/>
      <w:szCs w:val="24"/>
    </w:rPr>
  </w:style>
  <w:style w:type="character" w:customStyle="1" w:styleId="99">
    <w:name w:val="正文文本 Char"/>
    <w:basedOn w:val="47"/>
    <w:link w:val="19"/>
    <w:qFormat/>
    <w:uiPriority w:val="0"/>
    <w:rPr>
      <w:rFonts w:ascii="Times New Roman" w:hAnsi="Times New Roman" w:eastAsia="宋体" w:cs="Times New Roman"/>
      <w:kern w:val="2"/>
      <w:sz w:val="24"/>
      <w:szCs w:val="24"/>
    </w:rPr>
  </w:style>
  <w:style w:type="character" w:customStyle="1" w:styleId="100">
    <w:name w:val="正文文本缩进 Char"/>
    <w:basedOn w:val="47"/>
    <w:link w:val="21"/>
    <w:qFormat/>
    <w:uiPriority w:val="0"/>
    <w:rPr>
      <w:rFonts w:ascii="Times New Roman" w:hAnsi="Times New Roman" w:eastAsia="宋体" w:cs="Times New Roman"/>
      <w:kern w:val="2"/>
      <w:sz w:val="24"/>
      <w:szCs w:val="24"/>
    </w:rPr>
  </w:style>
  <w:style w:type="character" w:customStyle="1" w:styleId="101">
    <w:name w:val="纯文本 Char"/>
    <w:basedOn w:val="47"/>
    <w:link w:val="24"/>
    <w:qFormat/>
    <w:uiPriority w:val="99"/>
    <w:rPr>
      <w:rFonts w:ascii="宋体" w:hAnsi="Courier New" w:eastAsia="宋体" w:cs="Times New Roman"/>
      <w:szCs w:val="21"/>
    </w:rPr>
  </w:style>
  <w:style w:type="character" w:customStyle="1" w:styleId="102">
    <w:name w:val="正文文本缩进 3 Char"/>
    <w:basedOn w:val="47"/>
    <w:link w:val="36"/>
    <w:qFormat/>
    <w:uiPriority w:val="99"/>
    <w:rPr>
      <w:rFonts w:ascii="Times New Roman" w:hAnsi="Times New Roman" w:eastAsia="宋体" w:cs="Times New Roman"/>
      <w:kern w:val="2"/>
      <w:sz w:val="16"/>
      <w:szCs w:val="16"/>
    </w:rPr>
  </w:style>
  <w:style w:type="character" w:customStyle="1" w:styleId="103">
    <w:name w:val="标题 Char"/>
    <w:basedOn w:val="47"/>
    <w:link w:val="41"/>
    <w:qFormat/>
    <w:uiPriority w:val="0"/>
    <w:rPr>
      <w:rFonts w:ascii="Cambria" w:hAnsi="Cambria" w:eastAsia="宋体" w:cs="Times New Roman"/>
      <w:b/>
      <w:bCs/>
      <w:sz w:val="32"/>
      <w:szCs w:val="32"/>
    </w:rPr>
  </w:style>
  <w:style w:type="paragraph" w:customStyle="1" w:styleId="104">
    <w:name w:val="_Style 4"/>
    <w:basedOn w:val="1"/>
    <w:next w:val="1"/>
    <w:qFormat/>
    <w:uiPriority w:val="0"/>
    <w:pPr>
      <w:adjustRightInd/>
      <w:snapToGrid/>
      <w:spacing w:line="240" w:lineRule="auto"/>
      <w:ind w:firstLine="0" w:firstLineChars="0"/>
    </w:pPr>
    <w:rPr>
      <w:sz w:val="21"/>
      <w:szCs w:val="20"/>
    </w:rPr>
  </w:style>
  <w:style w:type="character" w:customStyle="1" w:styleId="105">
    <w:name w:val="批注框文本 Char"/>
    <w:basedOn w:val="47"/>
    <w:link w:val="28"/>
    <w:qFormat/>
    <w:uiPriority w:val="0"/>
    <w:rPr>
      <w:rFonts w:ascii="Times New Roman" w:hAnsi="Times New Roman" w:eastAsia="宋体" w:cs="Times New Roman"/>
      <w:kern w:val="2"/>
      <w:sz w:val="18"/>
      <w:szCs w:val="18"/>
    </w:rPr>
  </w:style>
  <w:style w:type="character" w:customStyle="1" w:styleId="106">
    <w:name w:val="标题 5 Char"/>
    <w:basedOn w:val="47"/>
    <w:semiHidden/>
    <w:qFormat/>
    <w:uiPriority w:val="0"/>
    <w:rPr>
      <w:b/>
      <w:bCs/>
      <w:kern w:val="2"/>
      <w:sz w:val="28"/>
      <w:szCs w:val="28"/>
    </w:rPr>
  </w:style>
  <w:style w:type="character" w:customStyle="1" w:styleId="107">
    <w:name w:val="标题 6 Char"/>
    <w:basedOn w:val="47"/>
    <w:semiHidden/>
    <w:qFormat/>
    <w:uiPriority w:val="0"/>
    <w:rPr>
      <w:rFonts w:asciiTheme="majorHAnsi" w:hAnsiTheme="majorHAnsi" w:eastAsiaTheme="majorEastAsia" w:cstheme="majorBidi"/>
      <w:b/>
      <w:bCs/>
      <w:kern w:val="2"/>
      <w:sz w:val="24"/>
      <w:szCs w:val="24"/>
    </w:rPr>
  </w:style>
  <w:style w:type="character" w:customStyle="1" w:styleId="108">
    <w:name w:val="标题 7 Char"/>
    <w:basedOn w:val="47"/>
    <w:semiHidden/>
    <w:qFormat/>
    <w:uiPriority w:val="0"/>
    <w:rPr>
      <w:b/>
      <w:bCs/>
      <w:kern w:val="2"/>
      <w:sz w:val="24"/>
      <w:szCs w:val="24"/>
    </w:rPr>
  </w:style>
  <w:style w:type="character" w:customStyle="1" w:styleId="109">
    <w:name w:val="标题 8 Char"/>
    <w:basedOn w:val="47"/>
    <w:semiHidden/>
    <w:qFormat/>
    <w:uiPriority w:val="0"/>
    <w:rPr>
      <w:rFonts w:asciiTheme="majorHAnsi" w:hAnsiTheme="majorHAnsi" w:eastAsiaTheme="majorEastAsia" w:cstheme="majorBidi"/>
      <w:kern w:val="2"/>
      <w:sz w:val="24"/>
      <w:szCs w:val="24"/>
    </w:rPr>
  </w:style>
  <w:style w:type="character" w:customStyle="1" w:styleId="110">
    <w:name w:val="标题 9 Char"/>
    <w:basedOn w:val="47"/>
    <w:semiHidden/>
    <w:qFormat/>
    <w:uiPriority w:val="0"/>
    <w:rPr>
      <w:rFonts w:asciiTheme="majorHAnsi" w:hAnsiTheme="majorHAnsi" w:eastAsiaTheme="majorEastAsia" w:cstheme="majorBidi"/>
      <w:kern w:val="2"/>
      <w:sz w:val="21"/>
      <w:szCs w:val="21"/>
    </w:rPr>
  </w:style>
  <w:style w:type="character" w:customStyle="1" w:styleId="111">
    <w:name w:val="标题 5 Char1"/>
    <w:link w:val="7"/>
    <w:qFormat/>
    <w:uiPriority w:val="0"/>
    <w:rPr>
      <w:rFonts w:eastAsia="黑体"/>
      <w:bCs/>
      <w:sz w:val="24"/>
      <w:szCs w:val="24"/>
    </w:rPr>
  </w:style>
  <w:style w:type="character" w:customStyle="1" w:styleId="112">
    <w:name w:val="标题 6 Char1"/>
    <w:link w:val="8"/>
    <w:qFormat/>
    <w:uiPriority w:val="0"/>
    <w:rPr>
      <w:rFonts w:ascii="Arial" w:hAnsi="Arial" w:eastAsia="黑体"/>
      <w:b/>
      <w:bCs/>
      <w:sz w:val="24"/>
      <w:szCs w:val="24"/>
      <w:lang w:val="zh-CN"/>
    </w:rPr>
  </w:style>
  <w:style w:type="character" w:customStyle="1" w:styleId="113">
    <w:name w:val="标题 7 Char1"/>
    <w:link w:val="9"/>
    <w:qFormat/>
    <w:uiPriority w:val="0"/>
    <w:rPr>
      <w:b/>
      <w:bCs/>
      <w:sz w:val="24"/>
      <w:szCs w:val="24"/>
      <w:lang w:val="zh-CN"/>
    </w:rPr>
  </w:style>
  <w:style w:type="character" w:customStyle="1" w:styleId="114">
    <w:name w:val="标题 8 Char1"/>
    <w:link w:val="10"/>
    <w:qFormat/>
    <w:uiPriority w:val="0"/>
    <w:rPr>
      <w:rFonts w:ascii="Arial" w:hAnsi="Arial" w:eastAsia="黑体"/>
      <w:sz w:val="24"/>
      <w:szCs w:val="24"/>
      <w:lang w:val="zh-CN"/>
    </w:rPr>
  </w:style>
  <w:style w:type="character" w:customStyle="1" w:styleId="115">
    <w:name w:val="标题 9 Char1"/>
    <w:link w:val="11"/>
    <w:qFormat/>
    <w:uiPriority w:val="0"/>
    <w:rPr>
      <w:rFonts w:ascii="Arial" w:hAnsi="Arial" w:eastAsia="黑体"/>
      <w:szCs w:val="21"/>
      <w:lang w:val="zh-CN"/>
    </w:rPr>
  </w:style>
  <w:style w:type="character" w:customStyle="1" w:styleId="116">
    <w:name w:val="正文缩进 Char"/>
    <w:link w:val="14"/>
    <w:qFormat/>
    <w:uiPriority w:val="0"/>
    <w:rPr>
      <w:rFonts w:ascii="Times New Roman" w:hAnsi="Times New Roman" w:eastAsia="宋体"/>
      <w:color w:val="000000"/>
      <w:sz w:val="21"/>
      <w:szCs w:val="18"/>
    </w:rPr>
  </w:style>
  <w:style w:type="character" w:customStyle="1" w:styleId="117">
    <w:name w:val="普通(网站) Char"/>
    <w:link w:val="39"/>
    <w:qFormat/>
    <w:uiPriority w:val="99"/>
    <w:rPr>
      <w:rFonts w:ascii="Calibri" w:hAnsi="Calibri"/>
      <w:sz w:val="24"/>
      <w:szCs w:val="24"/>
    </w:rPr>
  </w:style>
  <w:style w:type="character" w:customStyle="1" w:styleId="118">
    <w:name w:val="列出段落 Char"/>
    <w:link w:val="96"/>
    <w:qFormat/>
    <w:locked/>
    <w:uiPriority w:val="34"/>
    <w:rPr>
      <w:kern w:val="2"/>
      <w:sz w:val="24"/>
      <w:szCs w:val="24"/>
    </w:rPr>
  </w:style>
  <w:style w:type="character" w:customStyle="1" w:styleId="119">
    <w:name w:val="正文首行缩进 Char"/>
    <w:basedOn w:val="99"/>
    <w:link w:val="43"/>
    <w:qFormat/>
    <w:uiPriority w:val="99"/>
    <w:rPr>
      <w:rFonts w:ascii="Times New Roman" w:hAnsi="Times New Roman" w:eastAsia="宋体" w:cs="Times New Roman"/>
      <w:kern w:val="2"/>
      <w:sz w:val="24"/>
      <w:szCs w:val="24"/>
    </w:rPr>
  </w:style>
  <w:style w:type="character" w:customStyle="1" w:styleId="120">
    <w:name w:val="注释标题 Char"/>
    <w:basedOn w:val="47"/>
    <w:link w:val="13"/>
    <w:qFormat/>
    <w:uiPriority w:val="0"/>
    <w:rPr>
      <w:rFonts w:cstheme="minorBidi"/>
      <w:kern w:val="2"/>
      <w:sz w:val="21"/>
      <w:szCs w:val="24"/>
    </w:rPr>
  </w:style>
  <w:style w:type="character" w:customStyle="1" w:styleId="121">
    <w:name w:val="题注 Char"/>
    <w:link w:val="15"/>
    <w:qFormat/>
    <w:uiPriority w:val="35"/>
    <w:rPr>
      <w:rFonts w:ascii="Arial" w:hAnsi="Arial" w:eastAsia="黑体"/>
      <w:kern w:val="2"/>
      <w:lang w:val="zh-CN"/>
    </w:rPr>
  </w:style>
  <w:style w:type="character" w:customStyle="1" w:styleId="122">
    <w:name w:val="文档结构图 Char"/>
    <w:basedOn w:val="47"/>
    <w:qFormat/>
    <w:uiPriority w:val="0"/>
    <w:rPr>
      <w:rFonts w:ascii="宋体"/>
      <w:kern w:val="2"/>
      <w:sz w:val="18"/>
      <w:szCs w:val="18"/>
    </w:rPr>
  </w:style>
  <w:style w:type="character" w:customStyle="1" w:styleId="123">
    <w:name w:val="文档结构图 Char1"/>
    <w:link w:val="17"/>
    <w:qFormat/>
    <w:uiPriority w:val="99"/>
    <w:rPr>
      <w:rFonts w:ascii="宋体"/>
      <w:kern w:val="2"/>
      <w:sz w:val="18"/>
      <w:szCs w:val="18"/>
      <w:lang w:val="zh-CN"/>
    </w:rPr>
  </w:style>
  <w:style w:type="character" w:customStyle="1" w:styleId="124">
    <w:name w:val="批注文字 Char"/>
    <w:basedOn w:val="47"/>
    <w:link w:val="18"/>
    <w:qFormat/>
    <w:uiPriority w:val="99"/>
    <w:rPr>
      <w:rFonts w:cstheme="minorBidi"/>
      <w:kern w:val="2"/>
      <w:sz w:val="24"/>
      <w:szCs w:val="24"/>
    </w:rPr>
  </w:style>
  <w:style w:type="character" w:customStyle="1" w:styleId="125">
    <w:name w:val="日期 Char"/>
    <w:basedOn w:val="47"/>
    <w:link w:val="26"/>
    <w:qFormat/>
    <w:uiPriority w:val="0"/>
    <w:rPr>
      <w:rFonts w:cstheme="minorBidi"/>
      <w:kern w:val="2"/>
      <w:sz w:val="24"/>
      <w:szCs w:val="24"/>
    </w:rPr>
  </w:style>
  <w:style w:type="character" w:customStyle="1" w:styleId="126">
    <w:name w:val="脚注文本 Char"/>
    <w:basedOn w:val="47"/>
    <w:qFormat/>
    <w:uiPriority w:val="0"/>
    <w:rPr>
      <w:kern w:val="2"/>
      <w:sz w:val="18"/>
      <w:szCs w:val="18"/>
    </w:rPr>
  </w:style>
  <w:style w:type="character" w:customStyle="1" w:styleId="127">
    <w:name w:val="脚注文本 Char1"/>
    <w:link w:val="34"/>
    <w:qFormat/>
    <w:uiPriority w:val="0"/>
    <w:rPr>
      <w:rFonts w:eastAsia="仿宋_GB2312"/>
      <w:sz w:val="18"/>
      <w:szCs w:val="18"/>
    </w:rPr>
  </w:style>
  <w:style w:type="character" w:customStyle="1" w:styleId="128">
    <w:name w:val="批注主题 Char"/>
    <w:basedOn w:val="124"/>
    <w:link w:val="42"/>
    <w:qFormat/>
    <w:uiPriority w:val="99"/>
    <w:rPr>
      <w:rFonts w:cstheme="minorBidi"/>
      <w:b/>
      <w:bCs/>
      <w:kern w:val="2"/>
      <w:sz w:val="24"/>
      <w:szCs w:val="24"/>
    </w:rPr>
  </w:style>
  <w:style w:type="paragraph" w:customStyle="1" w:styleId="129">
    <w:name w:val="正文1"/>
    <w:basedOn w:val="1"/>
    <w:link w:val="130"/>
    <w:qFormat/>
    <w:uiPriority w:val="0"/>
    <w:pPr>
      <w:ind w:firstLine="562"/>
    </w:pPr>
    <w:rPr>
      <w:rFonts w:cstheme="minorBidi"/>
    </w:rPr>
  </w:style>
  <w:style w:type="character" w:customStyle="1" w:styleId="130">
    <w:name w:val="正文1 Char"/>
    <w:link w:val="129"/>
    <w:qFormat/>
    <w:uiPriority w:val="0"/>
    <w:rPr>
      <w:rFonts w:cstheme="minorBidi"/>
      <w:kern w:val="2"/>
      <w:sz w:val="24"/>
      <w:szCs w:val="24"/>
    </w:rPr>
  </w:style>
  <w:style w:type="character" w:customStyle="1" w:styleId="131">
    <w:name w:val="标题3-1 Char"/>
    <w:basedOn w:val="47"/>
    <w:link w:val="132"/>
    <w:qFormat/>
    <w:uiPriority w:val="0"/>
    <w:rPr>
      <w:rFonts w:eastAsia="黑体"/>
      <w:b/>
      <w:kern w:val="2"/>
      <w:sz w:val="24"/>
      <w:szCs w:val="24"/>
    </w:rPr>
  </w:style>
  <w:style w:type="paragraph" w:customStyle="1" w:styleId="132">
    <w:name w:val="标题3-1"/>
    <w:basedOn w:val="5"/>
    <w:link w:val="131"/>
    <w:qFormat/>
    <w:uiPriority w:val="0"/>
    <w:pPr>
      <w:numPr>
        <w:ilvl w:val="0"/>
        <w:numId w:val="0"/>
      </w:numPr>
      <w:ind w:firstLine="200"/>
    </w:pPr>
    <w:rPr>
      <w:bCs w:val="0"/>
    </w:rPr>
  </w:style>
  <w:style w:type="paragraph" w:customStyle="1" w:styleId="133">
    <w:name w:val="表格专用"/>
    <w:basedOn w:val="36"/>
    <w:qFormat/>
    <w:uiPriority w:val="0"/>
    <w:pPr>
      <w:spacing w:after="0" w:line="240" w:lineRule="auto"/>
      <w:ind w:left="6" w:leftChars="2" w:firstLine="0" w:firstLineChars="0"/>
      <w:jc w:val="center"/>
    </w:pPr>
    <w:rPr>
      <w:rFonts w:cstheme="minorBidi"/>
      <w:sz w:val="21"/>
      <w:szCs w:val="24"/>
    </w:rPr>
  </w:style>
  <w:style w:type="paragraph" w:customStyle="1" w:styleId="134">
    <w:name w:val="标题4"/>
    <w:basedOn w:val="5"/>
    <w:next w:val="1"/>
    <w:qFormat/>
    <w:uiPriority w:val="0"/>
    <w:pPr>
      <w:numPr>
        <w:ilvl w:val="0"/>
        <w:numId w:val="0"/>
      </w:numPr>
    </w:pPr>
    <w:rPr>
      <w:rFonts w:cstheme="minorBidi"/>
      <w:bCs w:val="0"/>
    </w:rPr>
  </w:style>
  <w:style w:type="character" w:customStyle="1" w:styleId="135">
    <w:name w:val="fontstyle91"/>
    <w:basedOn w:val="47"/>
    <w:qFormat/>
    <w:uiPriority w:val="0"/>
    <w:rPr>
      <w:rFonts w:ascii="TT1Do04" w:hAnsi="TT1Do04" w:eastAsia="TT1Do04" w:cs="TT1Do04"/>
      <w:color w:val="000000"/>
      <w:sz w:val="24"/>
      <w:szCs w:val="24"/>
    </w:rPr>
  </w:style>
  <w:style w:type="character" w:customStyle="1" w:styleId="136">
    <w:name w:val="fontstyle01"/>
    <w:basedOn w:val="47"/>
    <w:qFormat/>
    <w:uiPriority w:val="0"/>
    <w:rPr>
      <w:rFonts w:ascii="TT1Do00" w:hAnsi="TT1Do00" w:eastAsia="TT1Do00" w:cs="TT1Do00"/>
      <w:color w:val="000000"/>
      <w:sz w:val="24"/>
      <w:szCs w:val="24"/>
    </w:rPr>
  </w:style>
  <w:style w:type="character" w:customStyle="1" w:styleId="137">
    <w:name w:val="fontstyle11"/>
    <w:basedOn w:val="47"/>
    <w:qFormat/>
    <w:uiPriority w:val="0"/>
    <w:rPr>
      <w:rFonts w:ascii="TT1Do01" w:hAnsi="TT1Do01" w:eastAsia="TT1Do01" w:cs="TT1Do01"/>
      <w:color w:val="000000"/>
      <w:sz w:val="24"/>
      <w:szCs w:val="24"/>
    </w:rPr>
  </w:style>
  <w:style w:type="character" w:customStyle="1" w:styleId="138">
    <w:name w:val="fontstyle41"/>
    <w:basedOn w:val="47"/>
    <w:qFormat/>
    <w:uiPriority w:val="0"/>
    <w:rPr>
      <w:rFonts w:ascii="TT1Do03" w:hAnsi="TT1Do03" w:eastAsia="TT1Do03" w:cs="TT1Do03"/>
      <w:color w:val="000000"/>
      <w:sz w:val="24"/>
      <w:szCs w:val="24"/>
    </w:rPr>
  </w:style>
  <w:style w:type="character" w:customStyle="1" w:styleId="139">
    <w:name w:val="fontstyle51"/>
    <w:basedOn w:val="47"/>
    <w:qFormat/>
    <w:uiPriority w:val="0"/>
    <w:rPr>
      <w:rFonts w:ascii="TT1Do02" w:hAnsi="TT1Do02" w:eastAsia="TT1Do02" w:cs="TT1Do02"/>
      <w:color w:val="000000"/>
      <w:sz w:val="24"/>
      <w:szCs w:val="24"/>
    </w:rPr>
  </w:style>
  <w:style w:type="character" w:customStyle="1" w:styleId="140">
    <w:name w:val="fontstyle21"/>
    <w:basedOn w:val="47"/>
    <w:qFormat/>
    <w:uiPriority w:val="0"/>
    <w:rPr>
      <w:rFonts w:ascii="TimesNewRoman" w:hAnsi="TimesNewRoman" w:eastAsia="TimesNewRoman" w:cs="TimesNewRoman"/>
      <w:color w:val="000000"/>
      <w:sz w:val="24"/>
      <w:szCs w:val="24"/>
    </w:rPr>
  </w:style>
  <w:style w:type="character" w:customStyle="1" w:styleId="141">
    <w:name w:val="fontstyle121"/>
    <w:basedOn w:val="47"/>
    <w:qFormat/>
    <w:uiPriority w:val="0"/>
    <w:rPr>
      <w:rFonts w:ascii="TT1Do05" w:hAnsi="TT1Do05" w:eastAsia="TT1Do05" w:cs="TT1Do05"/>
      <w:color w:val="000000"/>
      <w:sz w:val="24"/>
      <w:szCs w:val="24"/>
    </w:rPr>
  </w:style>
  <w:style w:type="character" w:customStyle="1" w:styleId="142">
    <w:name w:val="font41"/>
    <w:basedOn w:val="47"/>
    <w:qFormat/>
    <w:uiPriority w:val="0"/>
    <w:rPr>
      <w:rFonts w:hint="default" w:ascii="Times New Roman" w:hAnsi="Times New Roman" w:cs="Times New Roman"/>
      <w:color w:val="000000"/>
      <w:sz w:val="21"/>
      <w:szCs w:val="21"/>
      <w:u w:val="none"/>
      <w:vertAlign w:val="subscript"/>
    </w:rPr>
  </w:style>
  <w:style w:type="character" w:customStyle="1" w:styleId="143">
    <w:name w:val="font31"/>
    <w:basedOn w:val="47"/>
    <w:qFormat/>
    <w:uiPriority w:val="0"/>
    <w:rPr>
      <w:rFonts w:hint="eastAsia" w:ascii="宋体" w:hAnsi="宋体" w:eastAsia="宋体" w:cs="宋体"/>
      <w:color w:val="000000"/>
      <w:sz w:val="21"/>
      <w:szCs w:val="21"/>
      <w:u w:val="none"/>
      <w:vertAlign w:val="subscript"/>
    </w:rPr>
  </w:style>
  <w:style w:type="paragraph" w:customStyle="1" w:styleId="144">
    <w:name w:val="Table Paragraph"/>
    <w:basedOn w:val="1"/>
    <w:qFormat/>
    <w:uiPriority w:val="1"/>
    <w:rPr>
      <w:rFonts w:cstheme="minorBidi"/>
    </w:rPr>
  </w:style>
  <w:style w:type="character" w:customStyle="1" w:styleId="145">
    <w:name w:val="font51"/>
    <w:basedOn w:val="47"/>
    <w:qFormat/>
    <w:uiPriority w:val="0"/>
    <w:rPr>
      <w:rFonts w:hint="eastAsia" w:ascii="新宋体" w:hAnsi="新宋体" w:eastAsia="新宋体" w:cs="新宋体"/>
      <w:color w:val="FF0000"/>
      <w:sz w:val="21"/>
      <w:szCs w:val="21"/>
      <w:u w:val="none"/>
    </w:rPr>
  </w:style>
  <w:style w:type="character" w:customStyle="1" w:styleId="146">
    <w:name w:val="font61"/>
    <w:basedOn w:val="47"/>
    <w:qFormat/>
    <w:uiPriority w:val="0"/>
    <w:rPr>
      <w:rFonts w:hint="eastAsia" w:ascii="宋体" w:hAnsi="宋体" w:eastAsia="宋体" w:cs="宋体"/>
      <w:color w:val="FF0000"/>
      <w:sz w:val="21"/>
      <w:szCs w:val="21"/>
      <w:u w:val="none"/>
    </w:rPr>
  </w:style>
  <w:style w:type="character" w:customStyle="1" w:styleId="147">
    <w:name w:val="font21"/>
    <w:basedOn w:val="47"/>
    <w:qFormat/>
    <w:uiPriority w:val="0"/>
    <w:rPr>
      <w:rFonts w:hint="default" w:ascii="Times New Roman" w:hAnsi="Times New Roman" w:cs="Times New Roman"/>
      <w:b/>
      <w:color w:val="000000"/>
      <w:sz w:val="21"/>
      <w:szCs w:val="21"/>
      <w:u w:val="none"/>
    </w:rPr>
  </w:style>
  <w:style w:type="paragraph" w:customStyle="1" w:styleId="148">
    <w:name w:val="样式40"/>
    <w:basedOn w:val="149"/>
    <w:qFormat/>
    <w:uiPriority w:val="0"/>
    <w:pPr>
      <w:jc w:val="both"/>
    </w:pPr>
  </w:style>
  <w:style w:type="paragraph" w:customStyle="1" w:styleId="149">
    <w:name w:val="样式29"/>
    <w:basedOn w:val="1"/>
    <w:qFormat/>
    <w:uiPriority w:val="0"/>
    <w:pPr>
      <w:widowControl/>
      <w:ind w:firstLine="480"/>
      <w:jc w:val="left"/>
    </w:pPr>
    <w:rPr>
      <w:rFonts w:ascii="宋体" w:hAnsi="宋体" w:cstheme="minorBidi"/>
      <w:bCs/>
    </w:rPr>
  </w:style>
  <w:style w:type="paragraph" w:customStyle="1" w:styleId="150">
    <w:name w:val="正文B"/>
    <w:basedOn w:val="151"/>
    <w:qFormat/>
    <w:uiPriority w:val="0"/>
    <w:pPr>
      <w:spacing w:after="0" w:line="360" w:lineRule="auto"/>
      <w:ind w:firstLine="200"/>
      <w:jc w:val="both"/>
      <w:outlineLvl w:val="9"/>
    </w:pPr>
    <w:rPr>
      <w:rFonts w:ascii="宋体" w:hAnsi="宋体" w:eastAsia="宋体" w:cs="宋体"/>
    </w:rPr>
  </w:style>
  <w:style w:type="paragraph" w:customStyle="1" w:styleId="151">
    <w:name w:val="样式1"/>
    <w:basedOn w:val="1"/>
    <w:qFormat/>
    <w:uiPriority w:val="0"/>
    <w:pPr>
      <w:spacing w:after="40" w:line="300" w:lineRule="atLeast"/>
      <w:jc w:val="center"/>
      <w:outlineLvl w:val="2"/>
    </w:pPr>
    <w:rPr>
      <w:rFonts w:eastAsia="楷体_GB2312" w:cstheme="minorBidi"/>
      <w:szCs w:val="20"/>
    </w:rPr>
  </w:style>
  <w:style w:type="paragraph" w:customStyle="1" w:styleId="152">
    <w:name w:val="样式 样式 四号 行距: 固定值 24 磅 左  4.28 字符 + 左侧:  4.28 字符"/>
    <w:basedOn w:val="1"/>
    <w:qFormat/>
    <w:uiPriority w:val="0"/>
    <w:pPr>
      <w:adjustRightInd/>
      <w:snapToGrid/>
      <w:spacing w:line="480" w:lineRule="exact"/>
      <w:ind w:left="899" w:leftChars="428" w:firstLine="0" w:firstLineChars="0"/>
    </w:pPr>
    <w:rPr>
      <w:rFonts w:cs="宋体"/>
      <w:szCs w:val="20"/>
    </w:rPr>
  </w:style>
  <w:style w:type="paragraph" w:customStyle="1" w:styleId="153">
    <w:name w:val="表格1"/>
    <w:basedOn w:val="1"/>
    <w:qFormat/>
    <w:uiPriority w:val="0"/>
    <w:pPr>
      <w:adjustRightInd/>
      <w:snapToGrid/>
      <w:ind w:firstLine="480"/>
      <w:jc w:val="center"/>
    </w:pPr>
    <w:rPr>
      <w:rFonts w:cstheme="minorBidi"/>
      <w:snapToGrid w:val="0"/>
      <w:kern w:val="0"/>
      <w:sz w:val="21"/>
    </w:rPr>
  </w:style>
  <w:style w:type="paragraph" w:customStyle="1" w:styleId="154">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55">
    <w:name w:val="样式166"/>
    <w:basedOn w:val="1"/>
    <w:qFormat/>
    <w:uiPriority w:val="0"/>
    <w:pPr>
      <w:spacing w:before="156" w:beforeLines="50" w:after="156" w:afterLines="50"/>
      <w:ind w:firstLine="480"/>
    </w:pPr>
    <w:rPr>
      <w:rFonts w:cstheme="minorBidi"/>
      <w:color w:val="000000"/>
    </w:rPr>
  </w:style>
  <w:style w:type="character" w:customStyle="1" w:styleId="156">
    <w:name w:val="font81"/>
    <w:basedOn w:val="47"/>
    <w:qFormat/>
    <w:uiPriority w:val="0"/>
    <w:rPr>
      <w:rFonts w:hint="eastAsia" w:ascii="宋体" w:hAnsi="宋体" w:eastAsia="宋体" w:cs="宋体"/>
      <w:b/>
      <w:color w:val="000000"/>
      <w:sz w:val="24"/>
      <w:szCs w:val="24"/>
      <w:u w:val="none"/>
    </w:rPr>
  </w:style>
  <w:style w:type="character" w:customStyle="1" w:styleId="157">
    <w:name w:val="font71"/>
    <w:basedOn w:val="47"/>
    <w:qFormat/>
    <w:uiPriority w:val="0"/>
    <w:rPr>
      <w:rFonts w:hint="eastAsia" w:ascii="宋体" w:hAnsi="宋体" w:eastAsia="宋体" w:cs="宋体"/>
      <w:color w:val="000000"/>
      <w:sz w:val="21"/>
      <w:szCs w:val="21"/>
      <w:u w:val="none"/>
    </w:rPr>
  </w:style>
  <w:style w:type="paragraph" w:customStyle="1" w:styleId="158">
    <w:name w:val="Char Char Char Char"/>
    <w:basedOn w:val="1"/>
    <w:qFormat/>
    <w:uiPriority w:val="0"/>
    <w:pPr>
      <w:widowControl/>
      <w:spacing w:after="160" w:line="240" w:lineRule="exact"/>
      <w:ind w:firstLine="640"/>
      <w:jc w:val="left"/>
    </w:pPr>
  </w:style>
  <w:style w:type="character" w:styleId="159">
    <w:name w:val="Placeholder Text"/>
    <w:basedOn w:val="47"/>
    <w:unhideWhenUsed/>
    <w:qFormat/>
    <w:uiPriority w:val="99"/>
    <w:rPr>
      <w:color w:val="808080"/>
    </w:rPr>
  </w:style>
  <w:style w:type="character" w:customStyle="1" w:styleId="160">
    <w:name w:val="Comment Subject Char"/>
    <w:link w:val="161"/>
    <w:qFormat/>
    <w:uiPriority w:val="0"/>
    <w:rPr>
      <w:b/>
      <w:bCs/>
      <w:sz w:val="24"/>
      <w:szCs w:val="24"/>
    </w:rPr>
  </w:style>
  <w:style w:type="paragraph" w:customStyle="1" w:styleId="161">
    <w:name w:val="批注主题1"/>
    <w:basedOn w:val="18"/>
    <w:next w:val="18"/>
    <w:link w:val="160"/>
    <w:qFormat/>
    <w:uiPriority w:val="0"/>
    <w:pPr>
      <w:ind w:firstLine="200"/>
    </w:pPr>
    <w:rPr>
      <w:rFonts w:cs="Times New Roman"/>
      <w:b/>
      <w:bCs/>
      <w:kern w:val="0"/>
    </w:rPr>
  </w:style>
  <w:style w:type="character" w:customStyle="1" w:styleId="162">
    <w:name w:val="批注框文本 字符"/>
    <w:qFormat/>
    <w:uiPriority w:val="0"/>
    <w:rPr>
      <w:rFonts w:ascii="Times New Roman" w:hAnsi="Times New Roman" w:eastAsia="宋体" w:cs="Times New Roman"/>
      <w:sz w:val="18"/>
      <w:szCs w:val="18"/>
    </w:rPr>
  </w:style>
  <w:style w:type="character" w:customStyle="1" w:styleId="163">
    <w:name w:val="图表标题 Char Char"/>
    <w:link w:val="164"/>
    <w:qFormat/>
    <w:uiPriority w:val="0"/>
    <w:rPr>
      <w:sz w:val="24"/>
    </w:rPr>
  </w:style>
  <w:style w:type="paragraph" w:customStyle="1" w:styleId="164">
    <w:name w:val="图表标题"/>
    <w:basedOn w:val="1"/>
    <w:link w:val="163"/>
    <w:qFormat/>
    <w:uiPriority w:val="0"/>
    <w:pPr>
      <w:spacing w:line="300" w:lineRule="auto"/>
      <w:ind w:firstLine="200"/>
      <w:jc w:val="center"/>
    </w:pPr>
    <w:rPr>
      <w:kern w:val="0"/>
      <w:szCs w:val="20"/>
    </w:rPr>
  </w:style>
  <w:style w:type="character" w:customStyle="1" w:styleId="165">
    <w:name w:val="表格中的文字 Char Char"/>
    <w:link w:val="166"/>
    <w:qFormat/>
    <w:uiPriority w:val="0"/>
    <w:rPr>
      <w:rFonts w:ascii="宋体" w:hAnsi="宋体" w:cs="宋体"/>
    </w:rPr>
  </w:style>
  <w:style w:type="paragraph" w:customStyle="1" w:styleId="166">
    <w:name w:val="表格中的文字"/>
    <w:basedOn w:val="1"/>
    <w:link w:val="165"/>
    <w:qFormat/>
    <w:uiPriority w:val="0"/>
    <w:pPr>
      <w:adjustRightInd/>
      <w:snapToGrid/>
      <w:spacing w:line="240" w:lineRule="auto"/>
      <w:ind w:firstLine="0" w:firstLineChars="0"/>
      <w:jc w:val="center"/>
    </w:pPr>
    <w:rPr>
      <w:rFonts w:ascii="宋体" w:hAnsi="宋体" w:cs="宋体"/>
      <w:kern w:val="0"/>
      <w:sz w:val="20"/>
      <w:szCs w:val="20"/>
    </w:rPr>
  </w:style>
  <w:style w:type="character" w:customStyle="1" w:styleId="167">
    <w:name w:val="Placeholder Text1"/>
    <w:qFormat/>
    <w:uiPriority w:val="0"/>
    <w:rPr>
      <w:color w:val="808080"/>
    </w:rPr>
  </w:style>
  <w:style w:type="character" w:customStyle="1" w:styleId="168">
    <w:name w:val="my11"/>
    <w:qFormat/>
    <w:uiPriority w:val="0"/>
    <w:rPr>
      <w:sz w:val="21"/>
      <w:szCs w:val="21"/>
    </w:rPr>
  </w:style>
  <w:style w:type="character" w:customStyle="1" w:styleId="169">
    <w:name w:val="页码1"/>
    <w:basedOn w:val="47"/>
    <w:qFormat/>
    <w:uiPriority w:val="0"/>
  </w:style>
  <w:style w:type="character" w:customStyle="1" w:styleId="170">
    <w:name w:val="Document Map Char Char"/>
    <w:link w:val="171"/>
    <w:qFormat/>
    <w:uiPriority w:val="0"/>
    <w:rPr>
      <w:rFonts w:ascii="宋体"/>
      <w:sz w:val="18"/>
      <w:szCs w:val="18"/>
    </w:rPr>
  </w:style>
  <w:style w:type="paragraph" w:customStyle="1" w:styleId="171">
    <w:name w:val="Document Map1"/>
    <w:basedOn w:val="1"/>
    <w:link w:val="170"/>
    <w:qFormat/>
    <w:uiPriority w:val="0"/>
    <w:pPr>
      <w:ind w:firstLine="200"/>
    </w:pPr>
    <w:rPr>
      <w:rFonts w:ascii="宋体"/>
      <w:kern w:val="0"/>
      <w:sz w:val="18"/>
      <w:szCs w:val="18"/>
    </w:rPr>
  </w:style>
  <w:style w:type="character" w:customStyle="1" w:styleId="172">
    <w:name w:val="Body Text Indent 3 Char Char"/>
    <w:link w:val="173"/>
    <w:qFormat/>
    <w:uiPriority w:val="0"/>
    <w:rPr>
      <w:bCs/>
      <w:sz w:val="16"/>
      <w:szCs w:val="16"/>
    </w:rPr>
  </w:style>
  <w:style w:type="paragraph" w:customStyle="1" w:styleId="173">
    <w:name w:val="Body Text Indent 31"/>
    <w:basedOn w:val="1"/>
    <w:link w:val="172"/>
    <w:qFormat/>
    <w:uiPriority w:val="0"/>
    <w:pPr>
      <w:spacing w:after="120"/>
      <w:ind w:left="420" w:firstLine="200"/>
    </w:pPr>
    <w:rPr>
      <w:bCs/>
      <w:kern w:val="0"/>
      <w:sz w:val="16"/>
      <w:szCs w:val="16"/>
    </w:rPr>
  </w:style>
  <w:style w:type="character" w:customStyle="1" w:styleId="174">
    <w:name w:val="标题2（李） Char Char"/>
    <w:link w:val="175"/>
    <w:qFormat/>
    <w:uiPriority w:val="0"/>
    <w:rPr>
      <w:b/>
      <w:bCs/>
      <w:sz w:val="30"/>
      <w:szCs w:val="30"/>
    </w:rPr>
  </w:style>
  <w:style w:type="paragraph" w:customStyle="1" w:styleId="175">
    <w:name w:val="标题2（李）"/>
    <w:basedOn w:val="1"/>
    <w:next w:val="5"/>
    <w:link w:val="174"/>
    <w:qFormat/>
    <w:uiPriority w:val="0"/>
    <w:pPr>
      <w:keepNext/>
      <w:keepLines/>
      <w:tabs>
        <w:tab w:val="left" w:pos="756"/>
      </w:tabs>
      <w:spacing w:before="240" w:after="120"/>
      <w:ind w:firstLine="200"/>
      <w:jc w:val="left"/>
      <w:outlineLvl w:val="1"/>
    </w:pPr>
    <w:rPr>
      <w:b/>
      <w:bCs/>
      <w:kern w:val="0"/>
      <w:sz w:val="30"/>
      <w:szCs w:val="30"/>
    </w:rPr>
  </w:style>
  <w:style w:type="character" w:customStyle="1" w:styleId="176">
    <w:name w:val="yyp Char Char"/>
    <w:link w:val="177"/>
    <w:qFormat/>
    <w:uiPriority w:val="0"/>
    <w:rPr>
      <w:sz w:val="24"/>
      <w:szCs w:val="24"/>
    </w:rPr>
  </w:style>
  <w:style w:type="paragraph" w:customStyle="1" w:styleId="177">
    <w:name w:val="yyp"/>
    <w:basedOn w:val="1"/>
    <w:link w:val="176"/>
    <w:qFormat/>
    <w:uiPriority w:val="0"/>
    <w:pPr>
      <w:adjustRightInd/>
      <w:snapToGrid/>
      <w:spacing w:after="120"/>
      <w:ind w:firstLine="480"/>
    </w:pPr>
    <w:rPr>
      <w:kern w:val="0"/>
    </w:rPr>
  </w:style>
  <w:style w:type="character" w:customStyle="1" w:styleId="178">
    <w:name w:val="Body Text Char"/>
    <w:qFormat/>
    <w:uiPriority w:val="0"/>
    <w:rPr>
      <w:kern w:val="2"/>
      <w:sz w:val="24"/>
      <w:szCs w:val="24"/>
    </w:rPr>
  </w:style>
  <w:style w:type="character" w:customStyle="1" w:styleId="179">
    <w:name w:val="样式1 表头 Char Char"/>
    <w:link w:val="180"/>
    <w:qFormat/>
    <w:uiPriority w:val="0"/>
    <w:rPr>
      <w:rFonts w:eastAsia="黑体"/>
      <w:bCs/>
      <w:color w:val="000000"/>
      <w:kern w:val="2"/>
      <w:sz w:val="18"/>
      <w:szCs w:val="21"/>
    </w:rPr>
  </w:style>
  <w:style w:type="paragraph" w:customStyle="1" w:styleId="180">
    <w:name w:val="样式1 表头"/>
    <w:basedOn w:val="1"/>
    <w:link w:val="179"/>
    <w:qFormat/>
    <w:uiPriority w:val="0"/>
    <w:pPr>
      <w:adjustRightInd/>
      <w:snapToGrid/>
      <w:spacing w:line="240" w:lineRule="auto"/>
      <w:ind w:firstLine="0" w:firstLineChars="0"/>
      <w:jc w:val="center"/>
    </w:pPr>
    <w:rPr>
      <w:rFonts w:eastAsia="黑体"/>
      <w:bCs/>
      <w:color w:val="000000"/>
      <w:sz w:val="18"/>
      <w:szCs w:val="21"/>
    </w:rPr>
  </w:style>
  <w:style w:type="character" w:customStyle="1" w:styleId="181">
    <w:name w:val="Heading 1 Char"/>
    <w:qFormat/>
    <w:uiPriority w:val="0"/>
    <w:rPr>
      <w:b/>
      <w:bCs/>
      <w:kern w:val="44"/>
      <w:sz w:val="32"/>
      <w:szCs w:val="44"/>
    </w:rPr>
  </w:style>
  <w:style w:type="character" w:customStyle="1" w:styleId="182">
    <w:name w:val="Closing Char Char"/>
    <w:link w:val="183"/>
    <w:qFormat/>
    <w:uiPriority w:val="0"/>
    <w:rPr>
      <w:szCs w:val="24"/>
    </w:rPr>
  </w:style>
  <w:style w:type="paragraph" w:customStyle="1" w:styleId="183">
    <w:name w:val="Closing1"/>
    <w:basedOn w:val="1"/>
    <w:link w:val="182"/>
    <w:qFormat/>
    <w:uiPriority w:val="0"/>
    <w:pPr>
      <w:ind w:left="100" w:leftChars="2100" w:firstLine="200"/>
    </w:pPr>
    <w:rPr>
      <w:kern w:val="0"/>
      <w:sz w:val="20"/>
    </w:rPr>
  </w:style>
  <w:style w:type="character" w:customStyle="1" w:styleId="184">
    <w:name w:val="标题 Char1"/>
    <w:qFormat/>
    <w:uiPriority w:val="0"/>
    <w:rPr>
      <w:rFonts w:eastAsia="黑体" w:cs="Arial"/>
      <w:b/>
      <w:bCs/>
      <w:sz w:val="36"/>
      <w:szCs w:val="32"/>
    </w:rPr>
  </w:style>
  <w:style w:type="character" w:customStyle="1" w:styleId="185">
    <w:name w:val="标题1（李1） Char Char"/>
    <w:link w:val="186"/>
    <w:qFormat/>
    <w:uiPriority w:val="0"/>
    <w:rPr>
      <w:rFonts w:eastAsia="黑体" w:cs="Arial"/>
      <w:b/>
      <w:bCs/>
      <w:kern w:val="28"/>
      <w:sz w:val="32"/>
      <w:szCs w:val="30"/>
    </w:rPr>
  </w:style>
  <w:style w:type="paragraph" w:customStyle="1" w:styleId="186">
    <w:name w:val="标题1（李1）"/>
    <w:basedOn w:val="3"/>
    <w:next w:val="175"/>
    <w:link w:val="185"/>
    <w:qFormat/>
    <w:uiPriority w:val="0"/>
    <w:pPr>
      <w:numPr>
        <w:numId w:val="0"/>
      </w:numPr>
      <w:tabs>
        <w:tab w:val="left" w:pos="445"/>
      </w:tabs>
      <w:spacing w:before="240" w:after="240" w:line="360" w:lineRule="auto"/>
      <w:jc w:val="left"/>
    </w:pPr>
    <w:rPr>
      <w:rFonts w:cs="Arial"/>
      <w:kern w:val="28"/>
      <w:sz w:val="32"/>
      <w:szCs w:val="30"/>
    </w:rPr>
  </w:style>
  <w:style w:type="character" w:customStyle="1" w:styleId="187">
    <w:name w:val="样式5 Char Char"/>
    <w:link w:val="188"/>
    <w:qFormat/>
    <w:uiPriority w:val="0"/>
    <w:rPr>
      <w:rFonts w:ascii="Cambria" w:hAnsi="Cambria"/>
      <w:b/>
      <w:kern w:val="28"/>
      <w:sz w:val="26"/>
    </w:rPr>
  </w:style>
  <w:style w:type="paragraph" w:customStyle="1" w:styleId="188">
    <w:name w:val="样式5"/>
    <w:basedOn w:val="5"/>
    <w:link w:val="187"/>
    <w:qFormat/>
    <w:uiPriority w:val="0"/>
    <w:pPr>
      <w:numPr>
        <w:ilvl w:val="0"/>
        <w:numId w:val="0"/>
      </w:numPr>
      <w:tabs>
        <w:tab w:val="left" w:pos="720"/>
      </w:tabs>
      <w:snapToGrid/>
      <w:spacing w:before="12" w:beforeLines="0" w:after="12" w:afterLines="0" w:line="300" w:lineRule="auto"/>
      <w:ind w:left="1075" w:leftChars="285" w:hanging="477" w:hangingChars="198"/>
      <w:jc w:val="both"/>
      <w:textAlignment w:val="baseline"/>
    </w:pPr>
    <w:rPr>
      <w:rFonts w:ascii="Cambria" w:hAnsi="Cambria" w:eastAsia="宋体"/>
      <w:bCs w:val="0"/>
      <w:kern w:val="28"/>
      <w:sz w:val="26"/>
      <w:szCs w:val="20"/>
    </w:rPr>
  </w:style>
  <w:style w:type="character" w:customStyle="1" w:styleId="189">
    <w:name w:val="Body Text Indent Char Char"/>
    <w:link w:val="190"/>
    <w:qFormat/>
    <w:uiPriority w:val="0"/>
    <w:rPr>
      <w:b/>
      <w:bCs/>
      <w:kern w:val="2"/>
      <w:sz w:val="24"/>
      <w:szCs w:val="24"/>
    </w:rPr>
  </w:style>
  <w:style w:type="paragraph" w:customStyle="1" w:styleId="190">
    <w:name w:val="Body Text Indent1"/>
    <w:basedOn w:val="1"/>
    <w:link w:val="189"/>
    <w:qFormat/>
    <w:uiPriority w:val="0"/>
    <w:pPr>
      <w:adjustRightInd/>
      <w:snapToGrid/>
      <w:spacing w:after="120" w:line="240" w:lineRule="auto"/>
      <w:ind w:left="420" w:leftChars="200" w:firstLine="0" w:firstLineChars="0"/>
    </w:pPr>
    <w:rPr>
      <w:b/>
      <w:bCs/>
    </w:rPr>
  </w:style>
  <w:style w:type="character" w:customStyle="1" w:styleId="191">
    <w:name w:val="正文2 Char Char"/>
    <w:qFormat/>
    <w:uiPriority w:val="0"/>
    <w:rPr>
      <w:rFonts w:eastAsia="宋体" w:cs="宋体"/>
      <w:sz w:val="21"/>
      <w:szCs w:val="21"/>
      <w:lang w:val="en-US" w:eastAsia="zh-CN"/>
    </w:rPr>
  </w:style>
  <w:style w:type="character" w:customStyle="1" w:styleId="192">
    <w:name w:val="Heading 2 Char"/>
    <w:qFormat/>
    <w:uiPriority w:val="0"/>
    <w:rPr>
      <w:b/>
      <w:bCs/>
      <w:snapToGrid w:val="0"/>
      <w:kern w:val="2"/>
      <w:sz w:val="30"/>
      <w:szCs w:val="30"/>
    </w:rPr>
  </w:style>
  <w:style w:type="character" w:customStyle="1" w:styleId="193">
    <w:name w:val="Footer Char"/>
    <w:qFormat/>
    <w:uiPriority w:val="99"/>
    <w:rPr>
      <w:sz w:val="18"/>
      <w:szCs w:val="18"/>
    </w:rPr>
  </w:style>
  <w:style w:type="character" w:customStyle="1" w:styleId="194">
    <w:name w:val="Date Char Char"/>
    <w:link w:val="195"/>
    <w:qFormat/>
    <w:uiPriority w:val="0"/>
    <w:rPr>
      <w:kern w:val="24"/>
      <w:sz w:val="24"/>
    </w:rPr>
  </w:style>
  <w:style w:type="paragraph" w:customStyle="1" w:styleId="195">
    <w:name w:val="Date1"/>
    <w:basedOn w:val="1"/>
    <w:next w:val="1"/>
    <w:link w:val="194"/>
    <w:qFormat/>
    <w:uiPriority w:val="0"/>
    <w:pPr>
      <w:ind w:firstLine="200"/>
    </w:pPr>
    <w:rPr>
      <w:kern w:val="24"/>
      <w:szCs w:val="20"/>
    </w:rPr>
  </w:style>
  <w:style w:type="character" w:customStyle="1" w:styleId="196">
    <w:name w:val="表格标题 Char Char"/>
    <w:link w:val="197"/>
    <w:qFormat/>
    <w:uiPriority w:val="0"/>
    <w:rPr>
      <w:rFonts w:cs="宋体"/>
      <w:b/>
      <w:sz w:val="24"/>
      <w:szCs w:val="21"/>
    </w:rPr>
  </w:style>
  <w:style w:type="paragraph" w:customStyle="1" w:styleId="197">
    <w:name w:val="表格标题"/>
    <w:basedOn w:val="15"/>
    <w:link w:val="196"/>
    <w:qFormat/>
    <w:uiPriority w:val="0"/>
    <w:pPr>
      <w:ind w:firstLine="0" w:firstLineChars="0"/>
      <w:jc w:val="center"/>
    </w:pPr>
    <w:rPr>
      <w:rFonts w:ascii="Times New Roman" w:hAnsi="Times New Roman" w:eastAsia="宋体" w:cs="宋体"/>
      <w:b/>
      <w:kern w:val="0"/>
      <w:sz w:val="24"/>
      <w:szCs w:val="21"/>
      <w:lang w:val="en-US"/>
    </w:rPr>
  </w:style>
  <w:style w:type="character" w:customStyle="1" w:styleId="198">
    <w:name w:val="正文（李） Char Char"/>
    <w:link w:val="199"/>
    <w:qFormat/>
    <w:uiPriority w:val="0"/>
    <w:rPr>
      <w:rFonts w:cs="宋体"/>
      <w:sz w:val="24"/>
      <w:szCs w:val="24"/>
    </w:rPr>
  </w:style>
  <w:style w:type="paragraph" w:customStyle="1" w:styleId="199">
    <w:name w:val="正文（李）"/>
    <w:basedOn w:val="1"/>
    <w:link w:val="198"/>
    <w:qFormat/>
    <w:uiPriority w:val="0"/>
    <w:pPr>
      <w:adjustRightInd/>
      <w:snapToGrid/>
      <w:ind w:firstLine="200"/>
    </w:pPr>
    <w:rPr>
      <w:rFonts w:cs="宋体"/>
      <w:kern w:val="0"/>
    </w:rPr>
  </w:style>
  <w:style w:type="character" w:customStyle="1" w:styleId="200">
    <w:name w:val="bold1"/>
    <w:qFormat/>
    <w:uiPriority w:val="0"/>
    <w:rPr>
      <w:b/>
      <w:bCs/>
    </w:rPr>
  </w:style>
  <w:style w:type="character" w:customStyle="1" w:styleId="201">
    <w:name w:val="bbb1"/>
    <w:qFormat/>
    <w:uiPriority w:val="0"/>
    <w:rPr>
      <w:sz w:val="21"/>
      <w:szCs w:val="21"/>
    </w:rPr>
  </w:style>
  <w:style w:type="character" w:customStyle="1" w:styleId="202">
    <w:name w:val="标题3 Char Char"/>
    <w:link w:val="203"/>
    <w:qFormat/>
    <w:uiPriority w:val="0"/>
    <w:rPr>
      <w:rFonts w:eastAsia="黑体"/>
      <w:b/>
      <w:bCs/>
      <w:kern w:val="2"/>
      <w:sz w:val="28"/>
      <w:szCs w:val="28"/>
      <w:lang w:val="zh-CN"/>
    </w:rPr>
  </w:style>
  <w:style w:type="paragraph" w:customStyle="1" w:styleId="203">
    <w:name w:val="标题3"/>
    <w:basedOn w:val="5"/>
    <w:link w:val="202"/>
    <w:qFormat/>
    <w:uiPriority w:val="0"/>
    <w:pPr>
      <w:numPr>
        <w:ilvl w:val="0"/>
        <w:numId w:val="0"/>
      </w:numPr>
      <w:tabs>
        <w:tab w:val="left" w:pos="432"/>
        <w:tab w:val="left" w:pos="720"/>
      </w:tabs>
      <w:spacing w:before="163" w:beforeLines="0" w:after="163" w:afterLines="0"/>
      <w:ind w:left="720" w:hanging="720"/>
      <w:jc w:val="both"/>
    </w:pPr>
    <w:rPr>
      <w:sz w:val="28"/>
      <w:szCs w:val="28"/>
      <w:lang w:val="zh-CN"/>
    </w:rPr>
  </w:style>
  <w:style w:type="character" w:customStyle="1" w:styleId="204">
    <w:name w:val="批注引用1"/>
    <w:qFormat/>
    <w:uiPriority w:val="0"/>
    <w:rPr>
      <w:sz w:val="21"/>
      <w:szCs w:val="21"/>
    </w:rPr>
  </w:style>
  <w:style w:type="character" w:customStyle="1" w:styleId="205">
    <w:name w:val="Body Text 3 Char Char"/>
    <w:link w:val="206"/>
    <w:qFormat/>
    <w:uiPriority w:val="0"/>
    <w:rPr>
      <w:sz w:val="16"/>
      <w:szCs w:val="16"/>
    </w:rPr>
  </w:style>
  <w:style w:type="paragraph" w:customStyle="1" w:styleId="206">
    <w:name w:val="Body Text 31"/>
    <w:basedOn w:val="1"/>
    <w:link w:val="205"/>
    <w:qFormat/>
    <w:uiPriority w:val="0"/>
    <w:pPr>
      <w:spacing w:before="120" w:after="120" w:line="312" w:lineRule="auto"/>
      <w:ind w:firstLine="200"/>
    </w:pPr>
    <w:rPr>
      <w:kern w:val="0"/>
      <w:sz w:val="16"/>
      <w:szCs w:val="16"/>
    </w:rPr>
  </w:style>
  <w:style w:type="character" w:customStyle="1" w:styleId="207">
    <w:name w:val="Body Text 2 Char Char"/>
    <w:link w:val="208"/>
    <w:qFormat/>
    <w:uiPriority w:val="0"/>
    <w:rPr>
      <w:szCs w:val="24"/>
    </w:rPr>
  </w:style>
  <w:style w:type="paragraph" w:customStyle="1" w:styleId="208">
    <w:name w:val="Body Text 21"/>
    <w:basedOn w:val="1"/>
    <w:link w:val="207"/>
    <w:qFormat/>
    <w:uiPriority w:val="0"/>
    <w:pPr>
      <w:spacing w:after="120" w:line="480" w:lineRule="auto"/>
      <w:ind w:firstLine="200"/>
    </w:pPr>
    <w:rPr>
      <w:kern w:val="0"/>
      <w:sz w:val="20"/>
    </w:rPr>
  </w:style>
  <w:style w:type="character" w:customStyle="1" w:styleId="209">
    <w:name w:val="表名称 Char Char"/>
    <w:link w:val="210"/>
    <w:qFormat/>
    <w:uiPriority w:val="0"/>
    <w:rPr>
      <w:b/>
      <w:snapToGrid w:val="0"/>
      <w:color w:val="000000"/>
      <w:sz w:val="24"/>
      <w:szCs w:val="24"/>
    </w:rPr>
  </w:style>
  <w:style w:type="paragraph" w:customStyle="1" w:styleId="210">
    <w:name w:val="表名称"/>
    <w:link w:val="209"/>
    <w:qFormat/>
    <w:uiPriority w:val="0"/>
    <w:pPr>
      <w:widowControl w:val="0"/>
      <w:adjustRightInd w:val="0"/>
      <w:snapToGrid w:val="0"/>
      <w:spacing w:line="360" w:lineRule="auto"/>
      <w:jc w:val="center"/>
    </w:pPr>
    <w:rPr>
      <w:rFonts w:ascii="Times New Roman" w:hAnsi="Times New Roman" w:eastAsia="宋体" w:cs="Times New Roman"/>
      <w:b/>
      <w:snapToGrid w:val="0"/>
      <w:color w:val="000000"/>
      <w:sz w:val="24"/>
      <w:szCs w:val="24"/>
      <w:lang w:val="en-US" w:eastAsia="zh-CN" w:bidi="ar-SA"/>
    </w:rPr>
  </w:style>
  <w:style w:type="character" w:customStyle="1" w:styleId="211">
    <w:name w:val="正文格式 Char Char"/>
    <w:link w:val="212"/>
    <w:qFormat/>
    <w:uiPriority w:val="0"/>
    <w:rPr>
      <w:rFonts w:ascii="宋体" w:hAnsi="宋体"/>
      <w:sz w:val="24"/>
      <w:szCs w:val="24"/>
    </w:rPr>
  </w:style>
  <w:style w:type="paragraph" w:customStyle="1" w:styleId="212">
    <w:name w:val="正文格式"/>
    <w:basedOn w:val="1"/>
    <w:link w:val="211"/>
    <w:qFormat/>
    <w:uiPriority w:val="0"/>
    <w:pPr>
      <w:adjustRightInd/>
      <w:snapToGrid/>
      <w:ind w:firstLine="0" w:firstLineChars="0"/>
    </w:pPr>
    <w:rPr>
      <w:rFonts w:ascii="宋体" w:hAnsi="宋体"/>
      <w:kern w:val="0"/>
    </w:rPr>
  </w:style>
  <w:style w:type="character" w:customStyle="1" w:styleId="213">
    <w:name w:val="Body Text First Indent Char Char"/>
    <w:link w:val="214"/>
    <w:qFormat/>
    <w:uiPriority w:val="0"/>
    <w:rPr>
      <w:b/>
      <w:bCs/>
      <w:kern w:val="2"/>
      <w:sz w:val="24"/>
      <w:szCs w:val="24"/>
    </w:rPr>
  </w:style>
  <w:style w:type="paragraph" w:customStyle="1" w:styleId="214">
    <w:name w:val="Body Text First Indent1"/>
    <w:basedOn w:val="19"/>
    <w:link w:val="213"/>
    <w:qFormat/>
    <w:uiPriority w:val="0"/>
    <w:pPr>
      <w:adjustRightInd/>
      <w:snapToGrid/>
      <w:spacing w:line="240" w:lineRule="auto"/>
      <w:ind w:firstLine="420" w:firstLineChars="100"/>
    </w:pPr>
    <w:rPr>
      <w:b/>
      <w:bCs/>
    </w:rPr>
  </w:style>
  <w:style w:type="character" w:customStyle="1" w:styleId="215">
    <w:name w:val="正文bb Char Char"/>
    <w:link w:val="216"/>
    <w:qFormat/>
    <w:uiPriority w:val="0"/>
    <w:rPr>
      <w:color w:val="FF0000"/>
      <w:kern w:val="2"/>
      <w:sz w:val="24"/>
      <w:szCs w:val="24"/>
    </w:rPr>
  </w:style>
  <w:style w:type="paragraph" w:customStyle="1" w:styleId="216">
    <w:name w:val="正文bb"/>
    <w:basedOn w:val="1"/>
    <w:link w:val="215"/>
    <w:qFormat/>
    <w:uiPriority w:val="0"/>
    <w:pPr>
      <w:tabs>
        <w:tab w:val="left" w:pos="8161"/>
      </w:tabs>
      <w:adjustRightInd/>
      <w:snapToGrid/>
      <w:ind w:firstLine="538" w:firstLineChars="224"/>
    </w:pPr>
    <w:rPr>
      <w:color w:val="FF0000"/>
    </w:rPr>
  </w:style>
  <w:style w:type="character" w:customStyle="1" w:styleId="217">
    <w:name w:val="Heading 3 Char"/>
    <w:qFormat/>
    <w:uiPriority w:val="0"/>
    <w:rPr>
      <w:b/>
      <w:bCs/>
      <w:kern w:val="2"/>
      <w:sz w:val="28"/>
      <w:szCs w:val="28"/>
    </w:rPr>
  </w:style>
  <w:style w:type="character" w:customStyle="1" w:styleId="218">
    <w:name w:val="Header Char"/>
    <w:qFormat/>
    <w:uiPriority w:val="0"/>
    <w:rPr>
      <w:sz w:val="18"/>
      <w:szCs w:val="18"/>
    </w:rPr>
  </w:style>
  <w:style w:type="character" w:customStyle="1" w:styleId="219">
    <w:name w:val="Plain Text Char Char"/>
    <w:link w:val="220"/>
    <w:qFormat/>
    <w:uiPriority w:val="0"/>
    <w:rPr>
      <w:rFonts w:ascii="Courier New" w:hAnsi="Courier New"/>
    </w:rPr>
  </w:style>
  <w:style w:type="paragraph" w:customStyle="1" w:styleId="220">
    <w:name w:val="Plain Text1"/>
    <w:basedOn w:val="1"/>
    <w:link w:val="219"/>
    <w:qFormat/>
    <w:uiPriority w:val="0"/>
    <w:pPr>
      <w:widowControl/>
      <w:overflowPunct w:val="0"/>
      <w:autoSpaceDE w:val="0"/>
      <w:autoSpaceDN w:val="0"/>
      <w:snapToGrid/>
      <w:spacing w:line="264" w:lineRule="auto"/>
      <w:ind w:firstLine="0" w:firstLineChars="0"/>
      <w:jc w:val="left"/>
      <w:textAlignment w:val="baseline"/>
    </w:pPr>
    <w:rPr>
      <w:rFonts w:ascii="Courier New" w:hAnsi="Courier New"/>
      <w:kern w:val="0"/>
      <w:sz w:val="20"/>
      <w:szCs w:val="20"/>
    </w:rPr>
  </w:style>
  <w:style w:type="character" w:customStyle="1" w:styleId="221">
    <w:name w:val="表格内容 Char Char"/>
    <w:link w:val="222"/>
    <w:qFormat/>
    <w:uiPriority w:val="0"/>
    <w:rPr>
      <w:szCs w:val="21"/>
    </w:rPr>
  </w:style>
  <w:style w:type="paragraph" w:customStyle="1" w:styleId="222">
    <w:name w:val="表格内容"/>
    <w:link w:val="221"/>
    <w:qFormat/>
    <w:uiPriority w:val="0"/>
    <w:pPr>
      <w:adjustRightInd w:val="0"/>
      <w:snapToGrid w:val="0"/>
      <w:jc w:val="center"/>
      <w:textAlignment w:val="center"/>
    </w:pPr>
    <w:rPr>
      <w:rFonts w:ascii="Times New Roman" w:hAnsi="Times New Roman" w:eastAsia="宋体" w:cs="Times New Roman"/>
      <w:szCs w:val="21"/>
      <w:lang w:val="en-US" w:eastAsia="zh-CN" w:bidi="ar-SA"/>
    </w:rPr>
  </w:style>
  <w:style w:type="character" w:customStyle="1" w:styleId="223">
    <w:name w:val="标题4（李） Char Char"/>
    <w:link w:val="224"/>
    <w:qFormat/>
    <w:uiPriority w:val="0"/>
    <w:rPr>
      <w:b/>
      <w:bCs/>
      <w:sz w:val="24"/>
      <w:szCs w:val="24"/>
    </w:rPr>
  </w:style>
  <w:style w:type="paragraph" w:customStyle="1" w:styleId="224">
    <w:name w:val="标题4（李）"/>
    <w:basedOn w:val="5"/>
    <w:next w:val="1"/>
    <w:link w:val="223"/>
    <w:qFormat/>
    <w:uiPriority w:val="0"/>
    <w:pPr>
      <w:numPr>
        <w:ilvl w:val="0"/>
        <w:numId w:val="0"/>
      </w:numPr>
      <w:tabs>
        <w:tab w:val="left" w:pos="432"/>
        <w:tab w:val="left" w:pos="720"/>
      </w:tabs>
      <w:spacing w:before="120" w:beforeLines="0" w:after="12" w:afterLines="0"/>
      <w:ind w:firstLine="200" w:firstLineChars="200"/>
      <w:jc w:val="both"/>
      <w:outlineLvl w:val="3"/>
    </w:pPr>
    <w:rPr>
      <w:rFonts w:eastAsia="宋体"/>
      <w:kern w:val="0"/>
    </w:rPr>
  </w:style>
  <w:style w:type="character" w:customStyle="1" w:styleId="225">
    <w:name w:val="标题 4 Char11"/>
    <w:qFormat/>
    <w:uiPriority w:val="0"/>
    <w:rPr>
      <w:rFonts w:ascii="黑体" w:hAnsi="Arial" w:eastAsia="黑体"/>
      <w:b/>
      <w:bCs/>
      <w:kern w:val="2"/>
      <w:sz w:val="24"/>
      <w:szCs w:val="24"/>
    </w:rPr>
  </w:style>
  <w:style w:type="character" w:customStyle="1" w:styleId="226">
    <w:name w:val="Body Text First Indent 2 Char Char"/>
    <w:link w:val="227"/>
    <w:qFormat/>
    <w:uiPriority w:val="0"/>
    <w:rPr>
      <w:kern w:val="2"/>
      <w:sz w:val="21"/>
      <w:szCs w:val="21"/>
    </w:rPr>
  </w:style>
  <w:style w:type="paragraph" w:customStyle="1" w:styleId="227">
    <w:name w:val="Body Text First Indent 21"/>
    <w:basedOn w:val="190"/>
    <w:link w:val="226"/>
    <w:qFormat/>
    <w:uiPriority w:val="0"/>
    <w:pPr>
      <w:ind w:left="0" w:leftChars="0" w:firstLine="420"/>
    </w:pPr>
    <w:rPr>
      <w:b w:val="0"/>
      <w:bCs w:val="0"/>
      <w:sz w:val="21"/>
      <w:szCs w:val="21"/>
    </w:rPr>
  </w:style>
  <w:style w:type="character" w:customStyle="1" w:styleId="228">
    <w:name w:val="BXMZW Char Char"/>
    <w:link w:val="229"/>
    <w:qFormat/>
    <w:uiPriority w:val="0"/>
    <w:rPr>
      <w:rFonts w:ascii="宋体" w:hAnsi="宋体"/>
      <w:kern w:val="2"/>
      <w:sz w:val="21"/>
      <w:szCs w:val="28"/>
    </w:rPr>
  </w:style>
  <w:style w:type="paragraph" w:customStyle="1" w:styleId="229">
    <w:name w:val="BXMZW"/>
    <w:basedOn w:val="1"/>
    <w:link w:val="228"/>
    <w:qFormat/>
    <w:uiPriority w:val="0"/>
    <w:pPr>
      <w:adjustRightInd/>
      <w:snapToGrid/>
      <w:spacing w:line="240" w:lineRule="auto"/>
      <w:ind w:firstLine="420" w:firstLineChars="0"/>
    </w:pPr>
    <w:rPr>
      <w:rFonts w:ascii="宋体" w:hAnsi="宋体"/>
      <w:sz w:val="21"/>
      <w:szCs w:val="28"/>
    </w:rPr>
  </w:style>
  <w:style w:type="character" w:customStyle="1" w:styleId="230">
    <w:name w:val="Char Char Char"/>
    <w:link w:val="231"/>
    <w:qFormat/>
    <w:uiPriority w:val="0"/>
    <w:rPr>
      <w:kern w:val="2"/>
      <w:sz w:val="21"/>
      <w:szCs w:val="24"/>
    </w:rPr>
  </w:style>
  <w:style w:type="paragraph" w:customStyle="1" w:styleId="231">
    <w:name w:val="Char"/>
    <w:basedOn w:val="1"/>
    <w:link w:val="230"/>
    <w:qFormat/>
    <w:uiPriority w:val="0"/>
    <w:pPr>
      <w:adjustRightInd/>
      <w:snapToGrid/>
      <w:spacing w:line="720" w:lineRule="auto"/>
      <w:ind w:firstLine="0" w:firstLineChars="0"/>
      <w:jc w:val="center"/>
    </w:pPr>
    <w:rPr>
      <w:sz w:val="21"/>
    </w:rPr>
  </w:style>
  <w:style w:type="character" w:customStyle="1" w:styleId="232">
    <w:name w:val="Normal Indent Char Char"/>
    <w:link w:val="233"/>
    <w:qFormat/>
    <w:uiPriority w:val="0"/>
    <w:rPr>
      <w:rFonts w:ascii="Arial" w:hAnsi="Arial"/>
      <w:sz w:val="24"/>
      <w:szCs w:val="24"/>
    </w:rPr>
  </w:style>
  <w:style w:type="paragraph" w:customStyle="1" w:styleId="233">
    <w:name w:val="Normal Indent1"/>
    <w:basedOn w:val="1"/>
    <w:link w:val="232"/>
    <w:qFormat/>
    <w:uiPriority w:val="0"/>
    <w:pPr>
      <w:adjustRightInd/>
      <w:snapToGrid/>
      <w:spacing w:before="93" w:beforeLines="30" w:line="400" w:lineRule="exact"/>
      <w:ind w:firstLine="200"/>
    </w:pPr>
    <w:rPr>
      <w:rFonts w:ascii="Arial" w:hAnsi="Arial"/>
      <w:kern w:val="0"/>
    </w:rPr>
  </w:style>
  <w:style w:type="character" w:customStyle="1" w:styleId="234">
    <w:name w:val="表格正文 Char Char"/>
    <w:link w:val="235"/>
    <w:qFormat/>
    <w:uiPriority w:val="0"/>
    <w:rPr>
      <w:sz w:val="24"/>
      <w:szCs w:val="24"/>
    </w:rPr>
  </w:style>
  <w:style w:type="paragraph" w:customStyle="1" w:styleId="235">
    <w:name w:val="表格正文"/>
    <w:basedOn w:val="1"/>
    <w:link w:val="234"/>
    <w:qFormat/>
    <w:uiPriority w:val="0"/>
    <w:pPr>
      <w:ind w:firstLine="200"/>
      <w:jc w:val="center"/>
    </w:pPr>
    <w:rPr>
      <w:kern w:val="0"/>
    </w:rPr>
  </w:style>
  <w:style w:type="character" w:customStyle="1" w:styleId="236">
    <w:name w:val="报告正文 Char Char"/>
    <w:link w:val="237"/>
    <w:qFormat/>
    <w:uiPriority w:val="0"/>
    <w:rPr>
      <w:color w:val="000000"/>
      <w:sz w:val="24"/>
      <w:szCs w:val="24"/>
    </w:rPr>
  </w:style>
  <w:style w:type="paragraph" w:customStyle="1" w:styleId="237">
    <w:name w:val="报告正文"/>
    <w:basedOn w:val="1"/>
    <w:link w:val="236"/>
    <w:qFormat/>
    <w:uiPriority w:val="0"/>
    <w:pPr>
      <w:snapToGrid/>
      <w:ind w:firstLine="200"/>
    </w:pPr>
    <w:rPr>
      <w:color w:val="000000"/>
      <w:kern w:val="0"/>
    </w:rPr>
  </w:style>
  <w:style w:type="character" w:customStyle="1" w:styleId="238">
    <w:name w:val="标题 3 Char1"/>
    <w:qFormat/>
    <w:uiPriority w:val="0"/>
    <w:rPr>
      <w:rFonts w:eastAsia="宋体"/>
      <w:b/>
      <w:bCs/>
      <w:kern w:val="2"/>
      <w:sz w:val="32"/>
      <w:szCs w:val="32"/>
      <w:lang w:val="en-US" w:eastAsia="zh-CN"/>
    </w:rPr>
  </w:style>
  <w:style w:type="character" w:customStyle="1" w:styleId="239">
    <w:name w:val="Note Heading Char Char"/>
    <w:link w:val="240"/>
    <w:qFormat/>
    <w:uiPriority w:val="0"/>
    <w:rPr>
      <w:rFonts w:ascii="宋体" w:hAnsi="宋体"/>
      <w:color w:val="333333"/>
      <w:kern w:val="2"/>
      <w:sz w:val="21"/>
      <w:szCs w:val="18"/>
    </w:rPr>
  </w:style>
  <w:style w:type="paragraph" w:customStyle="1" w:styleId="240">
    <w:name w:val="Note Heading1"/>
    <w:basedOn w:val="1"/>
    <w:next w:val="1"/>
    <w:link w:val="239"/>
    <w:qFormat/>
    <w:uiPriority w:val="0"/>
    <w:pPr>
      <w:adjustRightInd/>
      <w:snapToGrid/>
      <w:spacing w:line="240" w:lineRule="auto"/>
      <w:ind w:firstLine="0" w:firstLineChars="0"/>
      <w:jc w:val="center"/>
    </w:pPr>
    <w:rPr>
      <w:rFonts w:ascii="宋体" w:hAnsi="宋体"/>
      <w:color w:val="333333"/>
      <w:sz w:val="21"/>
      <w:szCs w:val="18"/>
    </w:rPr>
  </w:style>
  <w:style w:type="character" w:customStyle="1" w:styleId="241">
    <w:name w:val="标题 4 字符"/>
    <w:qFormat/>
    <w:uiPriority w:val="0"/>
    <w:rPr>
      <w:rFonts w:eastAsia="Times New Roman"/>
      <w:b/>
      <w:bCs/>
      <w:sz w:val="24"/>
      <w:szCs w:val="24"/>
    </w:rPr>
  </w:style>
  <w:style w:type="character" w:customStyle="1" w:styleId="242">
    <w:name w:val="批注文字 字符"/>
    <w:qFormat/>
    <w:uiPriority w:val="99"/>
    <w:rPr>
      <w:rFonts w:ascii="Times New Roman" w:hAnsi="Times New Roman" w:eastAsia="宋体" w:cs="Times New Roman"/>
      <w:sz w:val="24"/>
      <w:szCs w:val="24"/>
    </w:rPr>
  </w:style>
  <w:style w:type="character" w:customStyle="1" w:styleId="243">
    <w:name w:val="Body Text Indent 2 Char Char"/>
    <w:link w:val="244"/>
    <w:qFormat/>
    <w:uiPriority w:val="0"/>
    <w:rPr>
      <w:bCs/>
      <w:sz w:val="24"/>
      <w:szCs w:val="24"/>
    </w:rPr>
  </w:style>
  <w:style w:type="paragraph" w:customStyle="1" w:styleId="244">
    <w:name w:val="Body Text Indent 21"/>
    <w:basedOn w:val="1"/>
    <w:link w:val="243"/>
    <w:qFormat/>
    <w:uiPriority w:val="0"/>
    <w:pPr>
      <w:ind w:left="420" w:firstLine="200"/>
    </w:pPr>
    <w:rPr>
      <w:bCs/>
      <w:kern w:val="0"/>
    </w:rPr>
  </w:style>
  <w:style w:type="character" w:customStyle="1" w:styleId="245">
    <w:name w:val="标题3（李） Char Char"/>
    <w:link w:val="246"/>
    <w:qFormat/>
    <w:uiPriority w:val="0"/>
    <w:rPr>
      <w:b/>
      <w:bCs/>
      <w:kern w:val="28"/>
      <w:sz w:val="28"/>
      <w:szCs w:val="28"/>
    </w:rPr>
  </w:style>
  <w:style w:type="paragraph" w:customStyle="1" w:styleId="246">
    <w:name w:val="标题3（李）"/>
    <w:basedOn w:val="5"/>
    <w:next w:val="1"/>
    <w:link w:val="245"/>
    <w:qFormat/>
    <w:uiPriority w:val="0"/>
    <w:pPr>
      <w:numPr>
        <w:ilvl w:val="0"/>
        <w:numId w:val="0"/>
      </w:numPr>
      <w:tabs>
        <w:tab w:val="left" w:pos="432"/>
        <w:tab w:val="left" w:pos="720"/>
      </w:tabs>
      <w:spacing w:before="312" w:beforeLines="100" w:after="12" w:afterLines="0"/>
      <w:jc w:val="both"/>
    </w:pPr>
    <w:rPr>
      <w:rFonts w:eastAsia="宋体"/>
      <w:kern w:val="28"/>
      <w:sz w:val="28"/>
      <w:szCs w:val="28"/>
    </w:rPr>
  </w:style>
  <w:style w:type="character" w:customStyle="1" w:styleId="247">
    <w:name w:val="正文正文正文 1.5 倍行距 Char Char"/>
    <w:link w:val="248"/>
    <w:qFormat/>
    <w:uiPriority w:val="0"/>
    <w:rPr>
      <w:rFonts w:ascii="宋体" w:hAnsi="宋体" w:cs="宋体"/>
      <w:sz w:val="24"/>
    </w:rPr>
  </w:style>
  <w:style w:type="paragraph" w:customStyle="1" w:styleId="248">
    <w:name w:val="正文正文正文 1.5 倍行距"/>
    <w:basedOn w:val="1"/>
    <w:link w:val="247"/>
    <w:qFormat/>
    <w:uiPriority w:val="0"/>
    <w:pPr>
      <w:adjustRightInd/>
      <w:snapToGrid/>
      <w:ind w:firstLine="480"/>
    </w:pPr>
    <w:rPr>
      <w:rFonts w:ascii="宋体" w:hAnsi="宋体" w:cs="宋体"/>
      <w:kern w:val="0"/>
      <w:szCs w:val="20"/>
    </w:rPr>
  </w:style>
  <w:style w:type="character" w:customStyle="1" w:styleId="249">
    <w:name w:val="纯文本 Char1"/>
    <w:qFormat/>
    <w:uiPriority w:val="0"/>
    <w:rPr>
      <w:rFonts w:ascii="宋体" w:hAnsi="Courier New" w:cs="Courier New"/>
      <w:kern w:val="2"/>
      <w:sz w:val="21"/>
      <w:szCs w:val="21"/>
    </w:rPr>
  </w:style>
  <w:style w:type="character" w:customStyle="1" w:styleId="250">
    <w:name w:val="large"/>
    <w:basedOn w:val="47"/>
    <w:qFormat/>
    <w:uiPriority w:val="0"/>
  </w:style>
  <w:style w:type="character" w:customStyle="1" w:styleId="251">
    <w:name w:val="图表标题-导航显示 Char Char"/>
    <w:link w:val="252"/>
    <w:qFormat/>
    <w:uiPriority w:val="0"/>
    <w:rPr>
      <w:b/>
      <w:bCs/>
      <w:kern w:val="2"/>
      <w:sz w:val="24"/>
      <w:szCs w:val="24"/>
    </w:rPr>
  </w:style>
  <w:style w:type="paragraph" w:customStyle="1" w:styleId="252">
    <w:name w:val="图表标题-导航显示"/>
    <w:basedOn w:val="8"/>
    <w:next w:val="1"/>
    <w:link w:val="251"/>
    <w:qFormat/>
    <w:uiPriority w:val="0"/>
    <w:pPr>
      <w:spacing w:before="120" w:after="60" w:line="276" w:lineRule="auto"/>
      <w:jc w:val="center"/>
    </w:pPr>
    <w:rPr>
      <w:rFonts w:ascii="Times New Roman" w:hAnsi="Times New Roman" w:eastAsia="宋体"/>
      <w:kern w:val="2"/>
      <w:lang w:val="en-US"/>
    </w:rPr>
  </w:style>
  <w:style w:type="paragraph" w:customStyle="1" w:styleId="253">
    <w:name w:val="正文加粗"/>
    <w:basedOn w:val="1"/>
    <w:qFormat/>
    <w:uiPriority w:val="0"/>
    <w:pPr>
      <w:snapToGrid/>
      <w:ind w:firstLine="200"/>
      <w:textAlignment w:val="baseline"/>
    </w:pPr>
    <w:rPr>
      <w:rFonts w:ascii="宋体" w:hAnsi="宋体"/>
      <w:b/>
      <w:iCs/>
      <w:kern w:val="0"/>
      <w:szCs w:val="21"/>
    </w:rPr>
  </w:style>
  <w:style w:type="paragraph" w:customStyle="1" w:styleId="254">
    <w:name w:val="一级条标题"/>
    <w:basedOn w:val="255"/>
    <w:next w:val="154"/>
    <w:qFormat/>
    <w:uiPriority w:val="0"/>
    <w:pPr>
      <w:ind w:left="1620"/>
      <w:outlineLvl w:val="2"/>
    </w:pPr>
  </w:style>
  <w:style w:type="paragraph" w:customStyle="1" w:styleId="255">
    <w:name w:val="章标题"/>
    <w:next w:val="154"/>
    <w:qFormat/>
    <w:uiPriority w:val="0"/>
    <w:pPr>
      <w:spacing w:before="156" w:beforeLines="50" w:after="156" w:afterLines="50"/>
      <w:jc w:val="both"/>
      <w:outlineLvl w:val="1"/>
    </w:pPr>
    <w:rPr>
      <w:rFonts w:ascii="黑体" w:hAnsi="Times New Roman" w:eastAsia="黑体" w:cs="Times New Roman"/>
      <w:sz w:val="21"/>
      <w:lang w:val="en-US" w:eastAsia="zh-CN" w:bidi="ar-SA"/>
    </w:rPr>
  </w:style>
  <w:style w:type="paragraph" w:customStyle="1" w:styleId="256">
    <w:name w:val="四级条标题"/>
    <w:basedOn w:val="257"/>
    <w:next w:val="154"/>
    <w:qFormat/>
    <w:uiPriority w:val="0"/>
    <w:pPr>
      <w:outlineLvl w:val="5"/>
    </w:pPr>
  </w:style>
  <w:style w:type="paragraph" w:customStyle="1" w:styleId="257">
    <w:name w:val="三级条标题"/>
    <w:basedOn w:val="258"/>
    <w:next w:val="154"/>
    <w:qFormat/>
    <w:uiPriority w:val="0"/>
    <w:pPr>
      <w:outlineLvl w:val="4"/>
    </w:pPr>
  </w:style>
  <w:style w:type="paragraph" w:customStyle="1" w:styleId="258">
    <w:name w:val="二级条标题"/>
    <w:basedOn w:val="254"/>
    <w:next w:val="154"/>
    <w:qFormat/>
    <w:uiPriority w:val="0"/>
    <w:pPr>
      <w:ind w:left="0"/>
      <w:outlineLvl w:val="3"/>
    </w:pPr>
  </w:style>
  <w:style w:type="paragraph" w:customStyle="1" w:styleId="259">
    <w:name w:val="TOC Heading1"/>
    <w:basedOn w:val="3"/>
    <w:next w:val="1"/>
    <w:qFormat/>
    <w:uiPriority w:val="0"/>
    <w:pPr>
      <w:widowControl/>
      <w:numPr>
        <w:numId w:val="0"/>
      </w:numPr>
      <w:adjustRightInd/>
      <w:snapToGrid/>
      <w:spacing w:before="480" w:after="0" w:line="276" w:lineRule="auto"/>
      <w:jc w:val="left"/>
      <w:outlineLvl w:val="9"/>
    </w:pPr>
    <w:rPr>
      <w:rFonts w:ascii="Cambria" w:hAnsi="Cambria" w:eastAsia="宋体" w:cs="黑体"/>
      <w:color w:val="365F90"/>
      <w:kern w:val="0"/>
      <w:sz w:val="28"/>
      <w:szCs w:val="28"/>
    </w:rPr>
  </w:style>
  <w:style w:type="paragraph" w:customStyle="1" w:styleId="260">
    <w:name w:val="List Paragraph1"/>
    <w:basedOn w:val="1"/>
    <w:qFormat/>
    <w:uiPriority w:val="0"/>
    <w:pPr>
      <w:ind w:firstLine="420"/>
    </w:pPr>
  </w:style>
  <w:style w:type="paragraph" w:customStyle="1" w:styleId="261">
    <w:name w:val="样式 文字 + 首行缩进:  0.85 厘米"/>
    <w:basedOn w:val="1"/>
    <w:qFormat/>
    <w:uiPriority w:val="0"/>
    <w:pPr>
      <w:adjustRightInd/>
      <w:snapToGrid/>
      <w:ind w:firstLine="480"/>
    </w:pPr>
    <w:rPr>
      <w:kern w:val="0"/>
    </w:rPr>
  </w:style>
  <w:style w:type="paragraph" w:customStyle="1" w:styleId="262">
    <w:name w:val="五级条标题"/>
    <w:basedOn w:val="256"/>
    <w:next w:val="154"/>
    <w:qFormat/>
    <w:uiPriority w:val="0"/>
    <w:pPr>
      <w:outlineLvl w:val="6"/>
    </w:pPr>
  </w:style>
  <w:style w:type="paragraph" w:customStyle="1" w:styleId="263">
    <w:name w:val="标题三"/>
    <w:basedOn w:val="1"/>
    <w:next w:val="1"/>
    <w:qFormat/>
    <w:uiPriority w:val="0"/>
    <w:pPr>
      <w:adjustRightInd/>
      <w:snapToGrid/>
      <w:ind w:firstLine="480"/>
    </w:pPr>
    <w:rPr>
      <w:b/>
    </w:rPr>
  </w:style>
  <w:style w:type="paragraph" w:customStyle="1" w:styleId="264">
    <w:name w:val="Normal (Web)1"/>
    <w:basedOn w:val="1"/>
    <w:qFormat/>
    <w:uiPriority w:val="0"/>
    <w:pPr>
      <w:widowControl/>
      <w:adjustRightInd/>
      <w:snapToGrid/>
      <w:spacing w:before="100" w:beforeAutospacing="1" w:after="100" w:afterAutospacing="1" w:line="240" w:lineRule="auto"/>
      <w:ind w:firstLine="0" w:firstLineChars="0"/>
      <w:jc w:val="left"/>
    </w:pPr>
    <w:rPr>
      <w:rFonts w:ascii="宋体" w:hAnsi="宋体" w:cs="宋体"/>
      <w:kern w:val="0"/>
    </w:rPr>
  </w:style>
  <w:style w:type="paragraph" w:customStyle="1" w:styleId="265">
    <w:name w:val="前言、引言标题"/>
    <w:next w:val="1"/>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266">
    <w:name w:val="表格与图片标题"/>
    <w:basedOn w:val="1"/>
    <w:qFormat/>
    <w:uiPriority w:val="0"/>
    <w:pPr>
      <w:ind w:firstLine="0" w:firstLineChars="0"/>
      <w:jc w:val="center"/>
    </w:pPr>
    <w:rPr>
      <w:rFonts w:cs="宋体"/>
      <w:b/>
      <w:szCs w:val="21"/>
    </w:rPr>
  </w:style>
  <w:style w:type="paragraph" w:customStyle="1" w:styleId="267">
    <w:name w:val="环境影响报告书"/>
    <w:basedOn w:val="1"/>
    <w:next w:val="1"/>
    <w:qFormat/>
    <w:uiPriority w:val="0"/>
    <w:pPr>
      <w:adjustRightInd/>
      <w:snapToGrid/>
      <w:spacing w:line="240" w:lineRule="auto"/>
      <w:ind w:firstLine="0" w:firstLineChars="0"/>
      <w:jc w:val="center"/>
    </w:pPr>
    <w:rPr>
      <w:rFonts w:eastAsia="黑体" w:cs="宋体"/>
      <w:b/>
      <w:bCs/>
      <w:spacing w:val="30"/>
      <w:sz w:val="52"/>
      <w:szCs w:val="20"/>
    </w:rPr>
  </w:style>
  <w:style w:type="paragraph" w:customStyle="1" w:styleId="268">
    <w:name w:val="Char2"/>
    <w:basedOn w:val="1"/>
    <w:qFormat/>
    <w:uiPriority w:val="0"/>
    <w:pPr>
      <w:adjustRightInd/>
      <w:snapToGrid/>
      <w:spacing w:line="720" w:lineRule="auto"/>
      <w:ind w:firstLine="0" w:firstLineChars="0"/>
      <w:jc w:val="center"/>
    </w:pPr>
    <w:rPr>
      <w:sz w:val="30"/>
    </w:rPr>
  </w:style>
  <w:style w:type="paragraph" w:customStyle="1" w:styleId="269">
    <w:name w:val="列出段落1"/>
    <w:basedOn w:val="1"/>
    <w:qFormat/>
    <w:uiPriority w:val="0"/>
    <w:pPr>
      <w:adjustRightInd/>
      <w:snapToGrid/>
      <w:spacing w:line="240" w:lineRule="auto"/>
      <w:ind w:firstLine="420"/>
    </w:pPr>
    <w:rPr>
      <w:rFonts w:ascii="Calibri" w:hAnsi="Calibri"/>
      <w:sz w:val="21"/>
      <w:szCs w:val="22"/>
    </w:rPr>
  </w:style>
  <w:style w:type="paragraph" w:customStyle="1" w:styleId="270">
    <w:name w:val="表内文字"/>
    <w:basedOn w:val="1"/>
    <w:qFormat/>
    <w:uiPriority w:val="0"/>
    <w:pPr>
      <w:numPr>
        <w:ilvl w:val="0"/>
        <w:numId w:val="2"/>
      </w:numPr>
      <w:adjustRightInd/>
      <w:snapToGrid/>
      <w:spacing w:line="240" w:lineRule="auto"/>
      <w:jc w:val="center"/>
    </w:pPr>
    <w:rPr>
      <w:sz w:val="21"/>
    </w:rPr>
  </w:style>
  <w:style w:type="paragraph" w:customStyle="1" w:styleId="271">
    <w:name w:val="font512261"/>
    <w:basedOn w:val="1"/>
    <w:qFormat/>
    <w:uiPriority w:val="0"/>
    <w:pPr>
      <w:widowControl/>
      <w:adjustRightInd/>
      <w:snapToGrid/>
      <w:spacing w:before="100" w:beforeAutospacing="1" w:after="100" w:afterAutospacing="1" w:line="240" w:lineRule="auto"/>
      <w:ind w:firstLine="0" w:firstLineChars="0"/>
      <w:jc w:val="left"/>
    </w:pPr>
    <w:rPr>
      <w:rFonts w:hint="eastAsia" w:ascii="宋体" w:hAnsi="宋体"/>
      <w:kern w:val="0"/>
      <w:sz w:val="18"/>
      <w:szCs w:val="18"/>
    </w:rPr>
  </w:style>
  <w:style w:type="paragraph" w:customStyle="1" w:styleId="272">
    <w:name w:val="List1"/>
    <w:basedOn w:val="1"/>
    <w:qFormat/>
    <w:uiPriority w:val="0"/>
    <w:pPr>
      <w:widowControl/>
      <w:spacing w:after="220" w:line="180" w:lineRule="atLeast"/>
      <w:ind w:left="360" w:hanging="360"/>
    </w:pPr>
    <w:rPr>
      <w:rFonts w:ascii="Arial" w:hAnsi="Arial"/>
      <w:spacing w:val="-5"/>
      <w:kern w:val="0"/>
      <w:sz w:val="21"/>
      <w:szCs w:val="20"/>
    </w:rPr>
  </w:style>
  <w:style w:type="paragraph" w:customStyle="1" w:styleId="273">
    <w:name w:val="Char1"/>
    <w:basedOn w:val="1"/>
    <w:qFormat/>
    <w:uiPriority w:val="0"/>
    <w:pPr>
      <w:widowControl/>
      <w:adjustRightInd/>
      <w:ind w:firstLine="200"/>
      <w:jc w:val="left"/>
    </w:pPr>
    <w:rPr>
      <w:rFonts w:ascii="Calibri" w:hAnsi="Calibri" w:eastAsia="仿宋_GB2312"/>
      <w:kern w:val="0"/>
      <w:lang w:eastAsia="en-US"/>
    </w:rPr>
  </w:style>
  <w:style w:type="paragraph" w:customStyle="1" w:styleId="274">
    <w:name w:val="列出段落2"/>
    <w:basedOn w:val="1"/>
    <w:qFormat/>
    <w:uiPriority w:val="0"/>
    <w:pPr>
      <w:ind w:firstLine="420"/>
    </w:pPr>
  </w:style>
  <w:style w:type="paragraph" w:customStyle="1" w:styleId="275">
    <w:name w:val="样式2"/>
    <w:basedOn w:val="190"/>
    <w:qFormat/>
    <w:uiPriority w:val="0"/>
    <w:pPr>
      <w:spacing w:after="0"/>
      <w:ind w:left="0" w:leftChars="0" w:firstLine="560" w:firstLineChars="200"/>
    </w:pPr>
    <w:rPr>
      <w:rFonts w:ascii="宋体" w:hAnsi="宋体"/>
      <w:sz w:val="28"/>
    </w:rPr>
  </w:style>
  <w:style w:type="paragraph" w:customStyle="1" w:styleId="276">
    <w:name w:val="font0"/>
    <w:basedOn w:val="1"/>
    <w:qFormat/>
    <w:uiPriority w:val="0"/>
    <w:pPr>
      <w:widowControl/>
      <w:adjustRightInd/>
      <w:snapToGrid/>
      <w:spacing w:before="100" w:beforeAutospacing="1" w:after="100" w:afterAutospacing="1"/>
      <w:ind w:firstLine="200"/>
      <w:jc w:val="left"/>
    </w:pPr>
    <w:rPr>
      <w:rFonts w:hint="eastAsia" w:ascii="宋体" w:hAnsi="宋体"/>
      <w:kern w:val="0"/>
    </w:rPr>
  </w:style>
  <w:style w:type="paragraph" w:customStyle="1" w:styleId="277">
    <w:name w:val="TOC 标题1"/>
    <w:basedOn w:val="3"/>
    <w:next w:val="1"/>
    <w:qFormat/>
    <w:uiPriority w:val="0"/>
    <w:pPr>
      <w:widowControl/>
      <w:numPr>
        <w:numId w:val="0"/>
      </w:numPr>
      <w:tabs>
        <w:tab w:val="left" w:pos="432"/>
      </w:tabs>
      <w:adjustRightInd/>
      <w:snapToGrid/>
      <w:spacing w:before="480" w:after="0" w:line="276" w:lineRule="auto"/>
      <w:jc w:val="left"/>
      <w:outlineLvl w:val="9"/>
    </w:pPr>
    <w:rPr>
      <w:rFonts w:ascii="Cambria" w:hAnsi="Cambria" w:eastAsia="宋体"/>
      <w:color w:val="365F91"/>
      <w:kern w:val="0"/>
      <w:sz w:val="28"/>
      <w:szCs w:val="28"/>
    </w:rPr>
  </w:style>
  <w:style w:type="paragraph" w:customStyle="1" w:styleId="278">
    <w:name w:val="默认段落字体 Para Char Char Char Char"/>
    <w:basedOn w:val="1"/>
    <w:qFormat/>
    <w:uiPriority w:val="0"/>
    <w:pPr>
      <w:adjustRightInd/>
      <w:snapToGrid/>
      <w:spacing w:line="240" w:lineRule="auto"/>
      <w:ind w:firstLine="0" w:firstLineChars="0"/>
    </w:pPr>
    <w:rPr>
      <w:sz w:val="21"/>
    </w:rPr>
  </w:style>
  <w:style w:type="paragraph" w:customStyle="1" w:styleId="279">
    <w:name w:val="Block Text1"/>
    <w:basedOn w:val="1"/>
    <w:qFormat/>
    <w:uiPriority w:val="0"/>
    <w:pPr>
      <w:adjustRightInd/>
      <w:snapToGrid/>
      <w:spacing w:line="240" w:lineRule="auto"/>
      <w:ind w:left="198" w:right="473" w:rightChars="200" w:firstLine="560"/>
    </w:pPr>
    <w:rPr>
      <w:rFonts w:ascii="仿宋_GB2312" w:hAnsi="宋体" w:eastAsia="仿宋_GB2312"/>
      <w:sz w:val="28"/>
    </w:rPr>
  </w:style>
  <w:style w:type="paragraph" w:customStyle="1" w:styleId="280">
    <w:name w:val="xl24"/>
    <w:basedOn w:val="1"/>
    <w:qFormat/>
    <w:uiPriority w:val="0"/>
    <w:pPr>
      <w:widowControl/>
      <w:pBdr>
        <w:bottom w:val="single" w:color="auto" w:sz="4" w:space="0"/>
        <w:right w:val="single" w:color="auto" w:sz="4" w:space="0"/>
      </w:pBdr>
      <w:adjustRightInd/>
      <w:snapToGrid/>
      <w:spacing w:before="100" w:beforeAutospacing="1" w:after="100" w:afterAutospacing="1" w:line="240" w:lineRule="auto"/>
      <w:ind w:firstLine="560"/>
      <w:jc w:val="center"/>
    </w:pPr>
    <w:rPr>
      <w:kern w:val="0"/>
      <w:sz w:val="28"/>
      <w:szCs w:val="21"/>
    </w:rPr>
  </w:style>
  <w:style w:type="paragraph" w:customStyle="1" w:styleId="281">
    <w:name w:val="文章标题"/>
    <w:basedOn w:val="41"/>
    <w:qFormat/>
    <w:uiPriority w:val="0"/>
    <w:pPr>
      <w:adjustRightInd/>
      <w:snapToGrid/>
      <w:spacing w:line="240" w:lineRule="auto"/>
      <w:ind w:firstLine="0" w:firstLineChars="0"/>
    </w:pPr>
    <w:rPr>
      <w:rFonts w:ascii="Arial" w:hAnsi="Arial" w:cs="Arial"/>
      <w:color w:val="333333"/>
      <w:sz w:val="30"/>
      <w:szCs w:val="18"/>
    </w:rPr>
  </w:style>
  <w:style w:type="paragraph" w:customStyle="1" w:styleId="282">
    <w:name w:val="p0"/>
    <w:basedOn w:val="1"/>
    <w:qFormat/>
    <w:uiPriority w:val="0"/>
    <w:pPr>
      <w:widowControl/>
      <w:adjustRightInd/>
      <w:snapToGrid/>
      <w:spacing w:line="240" w:lineRule="auto"/>
      <w:ind w:firstLine="0" w:firstLineChars="0"/>
    </w:pPr>
    <w:rPr>
      <w:kern w:val="0"/>
      <w:sz w:val="21"/>
      <w:szCs w:val="21"/>
    </w:rPr>
  </w:style>
  <w:style w:type="paragraph" w:customStyle="1" w:styleId="283">
    <w:name w:val="蓝斜体1"/>
    <w:basedOn w:val="214"/>
    <w:qFormat/>
    <w:uiPriority w:val="0"/>
    <w:pPr>
      <w:ind w:left="280" w:hanging="280" w:hangingChars="100"/>
    </w:pPr>
    <w:rPr>
      <w:rFonts w:eastAsia="楷体_GB2312"/>
      <w:i/>
      <w:color w:val="0000FF"/>
      <w:sz w:val="28"/>
    </w:rPr>
  </w:style>
  <w:style w:type="paragraph" w:customStyle="1" w:styleId="284">
    <w:name w:val="数字编号列项（二级）"/>
    <w:qFormat/>
    <w:uiPriority w:val="0"/>
    <w:pPr>
      <w:ind w:left="1260" w:leftChars="400" w:hanging="420" w:hangingChars="200"/>
      <w:jc w:val="both"/>
    </w:pPr>
    <w:rPr>
      <w:rFonts w:ascii="宋体" w:hAnsi="Times New Roman" w:eastAsia="宋体" w:cs="Times New Roman"/>
      <w:sz w:val="21"/>
      <w:lang w:val="en-US" w:eastAsia="zh-CN" w:bidi="ar-SA"/>
    </w:rPr>
  </w:style>
  <w:style w:type="paragraph" w:customStyle="1" w:styleId="285">
    <w:name w:val="BXMTB"/>
    <w:basedOn w:val="1"/>
    <w:qFormat/>
    <w:uiPriority w:val="0"/>
    <w:pPr>
      <w:keepLines/>
      <w:adjustRightInd/>
      <w:snapToGrid/>
      <w:spacing w:before="156" w:beforeLines="50" w:after="156" w:afterLines="50" w:line="240" w:lineRule="auto"/>
      <w:ind w:firstLine="0" w:firstLineChars="0"/>
      <w:jc w:val="center"/>
      <w:outlineLvl w:val="0"/>
    </w:pPr>
    <w:rPr>
      <w:rFonts w:hAnsi="宋体" w:eastAsia="黑体"/>
      <w:b/>
      <w:bCs/>
      <w:sz w:val="21"/>
      <w:szCs w:val="21"/>
    </w:rPr>
  </w:style>
  <w:style w:type="paragraph" w:customStyle="1" w:styleId="286">
    <w:name w:val="标题一"/>
    <w:basedOn w:val="3"/>
    <w:next w:val="19"/>
    <w:qFormat/>
    <w:uiPriority w:val="0"/>
    <w:pPr>
      <w:numPr>
        <w:numId w:val="0"/>
      </w:numPr>
      <w:adjustRightInd/>
      <w:snapToGrid/>
      <w:spacing w:before="340" w:after="330" w:line="360" w:lineRule="auto"/>
      <w:ind w:firstLine="412" w:firstLineChars="171"/>
    </w:pPr>
    <w:rPr>
      <w:rFonts w:ascii="宋体" w:hAnsi="宋体" w:eastAsia="宋体" w:cs="宋体"/>
      <w:bCs w:val="0"/>
      <w:sz w:val="32"/>
      <w:szCs w:val="20"/>
    </w:rPr>
  </w:style>
  <w:style w:type="paragraph" w:customStyle="1" w:styleId="287">
    <w:name w:val="正文样式"/>
    <w:basedOn w:val="1"/>
    <w:qFormat/>
    <w:uiPriority w:val="0"/>
    <w:pPr>
      <w:ind w:firstLine="480"/>
    </w:pPr>
    <w:rPr>
      <w:rFonts w:cs="宋体"/>
    </w:rPr>
  </w:style>
  <w:style w:type="character" w:customStyle="1" w:styleId="288">
    <w:name w:val="表内 Char"/>
    <w:link w:val="289"/>
    <w:qFormat/>
    <w:uiPriority w:val="0"/>
    <w:rPr>
      <w:color w:val="000000"/>
      <w:szCs w:val="21"/>
    </w:rPr>
  </w:style>
  <w:style w:type="paragraph" w:customStyle="1" w:styleId="289">
    <w:name w:val="表内"/>
    <w:link w:val="288"/>
    <w:qFormat/>
    <w:uiPriority w:val="0"/>
    <w:pPr>
      <w:adjustRightInd w:val="0"/>
      <w:snapToGrid w:val="0"/>
      <w:jc w:val="center"/>
    </w:pPr>
    <w:rPr>
      <w:rFonts w:ascii="Times New Roman" w:hAnsi="Times New Roman" w:eastAsia="宋体" w:cs="Times New Roman"/>
      <w:color w:val="000000"/>
      <w:szCs w:val="21"/>
      <w:lang w:val="en-US" w:eastAsia="zh-CN" w:bidi="ar-SA"/>
    </w:rPr>
  </w:style>
  <w:style w:type="paragraph" w:customStyle="1" w:styleId="290">
    <w:name w:val="表格内文字"/>
    <w:basedOn w:val="1"/>
    <w:qFormat/>
    <w:uiPriority w:val="0"/>
    <w:pPr>
      <w:adjustRightInd/>
      <w:snapToGrid/>
      <w:spacing w:line="240" w:lineRule="auto"/>
      <w:ind w:firstLine="0" w:firstLineChars="0"/>
      <w:jc w:val="center"/>
    </w:pPr>
    <w:rPr>
      <w:rFonts w:cs="宋体"/>
      <w:kern w:val="0"/>
      <w:sz w:val="21"/>
      <w:szCs w:val="18"/>
      <w:lang w:eastAsia="en-US"/>
    </w:rPr>
  </w:style>
  <w:style w:type="paragraph" w:customStyle="1" w:styleId="291">
    <w:name w:val="神华正文1"/>
    <w:basedOn w:val="1"/>
    <w:link w:val="292"/>
    <w:qFormat/>
    <w:uiPriority w:val="0"/>
    <w:pPr>
      <w:adjustRightInd/>
      <w:snapToGrid/>
      <w:spacing w:before="120" w:line="300" w:lineRule="auto"/>
      <w:ind w:firstLine="480"/>
    </w:pPr>
    <w:rPr>
      <w:rFonts w:ascii="Book Antiqua" w:hAnsi="Book Antiqua"/>
      <w:kern w:val="0"/>
      <w:szCs w:val="20"/>
      <w:lang w:val="zh-CN"/>
    </w:rPr>
  </w:style>
  <w:style w:type="character" w:customStyle="1" w:styleId="292">
    <w:name w:val="神华正文1 Char"/>
    <w:link w:val="291"/>
    <w:qFormat/>
    <w:uiPriority w:val="0"/>
    <w:rPr>
      <w:rFonts w:ascii="Book Antiqua" w:hAnsi="Book Antiqua"/>
      <w:sz w:val="24"/>
      <w:lang w:val="zh-CN"/>
    </w:rPr>
  </w:style>
  <w:style w:type="paragraph" w:customStyle="1" w:styleId="293">
    <w:name w:val="主体"/>
    <w:link w:val="294"/>
    <w:qFormat/>
    <w:uiPriority w:val="0"/>
    <w:pPr>
      <w:widowControl w:val="0"/>
      <w:autoSpaceDE w:val="0"/>
      <w:autoSpaceDN w:val="0"/>
      <w:spacing w:line="360" w:lineRule="auto"/>
      <w:ind w:firstLine="200" w:firstLineChars="200"/>
      <w:jc w:val="both"/>
    </w:pPr>
    <w:rPr>
      <w:rFonts w:ascii="Book Antiqua" w:hAnsi="Book Antiqua" w:eastAsia="宋体" w:cs="Times New Roman"/>
      <w:bCs/>
      <w:kern w:val="2"/>
      <w:sz w:val="24"/>
      <w:szCs w:val="24"/>
      <w:lang w:val="en-US" w:eastAsia="zh-CN" w:bidi="ar-SA"/>
    </w:rPr>
  </w:style>
  <w:style w:type="character" w:customStyle="1" w:styleId="294">
    <w:name w:val="主体 Char"/>
    <w:link w:val="293"/>
    <w:qFormat/>
    <w:uiPriority w:val="0"/>
    <w:rPr>
      <w:rFonts w:ascii="Book Antiqua" w:hAnsi="Book Antiqua"/>
      <w:bCs/>
      <w:kern w:val="2"/>
      <w:sz w:val="24"/>
      <w:szCs w:val="24"/>
    </w:rPr>
  </w:style>
  <w:style w:type="paragraph" w:customStyle="1" w:styleId="295">
    <w:name w:val="文章正文"/>
    <w:basedOn w:val="1"/>
    <w:link w:val="296"/>
    <w:qFormat/>
    <w:uiPriority w:val="0"/>
    <w:pPr>
      <w:adjustRightInd/>
      <w:snapToGrid/>
      <w:spacing w:line="300" w:lineRule="auto"/>
      <w:ind w:firstLine="480"/>
    </w:pPr>
    <w:rPr>
      <w:szCs w:val="20"/>
      <w:lang w:val="zh-CN"/>
    </w:rPr>
  </w:style>
  <w:style w:type="character" w:customStyle="1" w:styleId="296">
    <w:name w:val="文章正文 Char"/>
    <w:link w:val="295"/>
    <w:qFormat/>
    <w:uiPriority w:val="0"/>
    <w:rPr>
      <w:kern w:val="2"/>
      <w:sz w:val="24"/>
      <w:lang w:val="zh-CN"/>
    </w:rPr>
  </w:style>
  <w:style w:type="paragraph" w:customStyle="1" w:styleId="297">
    <w:name w:val="ENFI图表标题"/>
    <w:basedOn w:val="1"/>
    <w:link w:val="298"/>
    <w:qFormat/>
    <w:uiPriority w:val="0"/>
    <w:pPr>
      <w:widowControl/>
      <w:spacing w:before="120" w:line="240" w:lineRule="atLeast"/>
      <w:ind w:firstLine="0" w:firstLineChars="0"/>
      <w:jc w:val="center"/>
    </w:pPr>
    <w:rPr>
      <w:rFonts w:eastAsia="仿宋_GB2312"/>
      <w:b/>
      <w:kern w:val="0"/>
      <w:sz w:val="28"/>
      <w:szCs w:val="20"/>
      <w:lang w:val="zh-CN"/>
    </w:rPr>
  </w:style>
  <w:style w:type="character" w:customStyle="1" w:styleId="298">
    <w:name w:val="ENFI图表标题 Char"/>
    <w:link w:val="297"/>
    <w:qFormat/>
    <w:uiPriority w:val="0"/>
    <w:rPr>
      <w:rFonts w:eastAsia="仿宋_GB2312"/>
      <w:b/>
      <w:sz w:val="28"/>
      <w:lang w:val="zh-CN"/>
    </w:rPr>
  </w:style>
  <w:style w:type="paragraph" w:customStyle="1" w:styleId="299">
    <w:name w:val="ENFI表体"/>
    <w:basedOn w:val="1"/>
    <w:link w:val="300"/>
    <w:qFormat/>
    <w:uiPriority w:val="0"/>
    <w:pPr>
      <w:widowControl/>
      <w:spacing w:line="240" w:lineRule="atLeast"/>
      <w:ind w:firstLine="0" w:firstLineChars="0"/>
      <w:jc w:val="center"/>
    </w:pPr>
    <w:rPr>
      <w:rFonts w:eastAsia="仿宋_GB2312"/>
      <w:kern w:val="0"/>
      <w:szCs w:val="20"/>
      <w:lang w:val="zh-CN"/>
    </w:rPr>
  </w:style>
  <w:style w:type="character" w:customStyle="1" w:styleId="300">
    <w:name w:val="ENFI表体 Char Char"/>
    <w:link w:val="299"/>
    <w:qFormat/>
    <w:uiPriority w:val="0"/>
    <w:rPr>
      <w:rFonts w:eastAsia="仿宋_GB2312"/>
      <w:sz w:val="24"/>
      <w:lang w:val="zh-CN"/>
    </w:rPr>
  </w:style>
  <w:style w:type="paragraph" w:customStyle="1" w:styleId="301">
    <w:name w:val="我的正文"/>
    <w:link w:val="302"/>
    <w:qFormat/>
    <w:uiPriority w:val="0"/>
    <w:pPr>
      <w:adjustRightInd w:val="0"/>
      <w:snapToGrid w:val="0"/>
      <w:spacing w:line="360" w:lineRule="auto"/>
      <w:ind w:firstLine="200" w:firstLineChars="200"/>
    </w:pPr>
    <w:rPr>
      <w:rFonts w:ascii="Calibri" w:hAnsi="Calibri" w:eastAsia="宋体" w:cs="Times New Roman"/>
      <w:color w:val="000000"/>
      <w:kern w:val="2"/>
      <w:sz w:val="24"/>
      <w:szCs w:val="22"/>
      <w:lang w:val="en-US" w:eastAsia="zh-CN" w:bidi="ar-SA"/>
    </w:rPr>
  </w:style>
  <w:style w:type="character" w:customStyle="1" w:styleId="302">
    <w:name w:val="我的正文 Char"/>
    <w:link w:val="301"/>
    <w:qFormat/>
    <w:uiPriority w:val="0"/>
    <w:rPr>
      <w:rFonts w:ascii="Calibri" w:hAnsi="Calibri"/>
      <w:color w:val="000000"/>
      <w:kern w:val="2"/>
      <w:sz w:val="24"/>
      <w:szCs w:val="22"/>
    </w:rPr>
  </w:style>
  <w:style w:type="character" w:customStyle="1" w:styleId="303">
    <w:name w:val="页脚 Char1"/>
    <w:qFormat/>
    <w:uiPriority w:val="99"/>
    <w:rPr>
      <w:rFonts w:cstheme="minorBidi"/>
      <w:kern w:val="2"/>
      <w:sz w:val="18"/>
      <w:szCs w:val="24"/>
    </w:rPr>
  </w:style>
  <w:style w:type="paragraph" w:customStyle="1" w:styleId="304">
    <w:name w:val="xl25"/>
    <w:basedOn w:val="1"/>
    <w:qFormat/>
    <w:uiPriority w:val="0"/>
    <w:pPr>
      <w:widowControl/>
      <w:adjustRightInd/>
      <w:snapToGrid/>
      <w:spacing w:before="100" w:beforeAutospacing="1" w:after="100" w:afterAutospacing="1" w:line="240" w:lineRule="auto"/>
      <w:ind w:firstLine="0" w:firstLineChars="0"/>
      <w:jc w:val="center"/>
      <w:textAlignment w:val="center"/>
    </w:pPr>
    <w:rPr>
      <w:rFonts w:ascii="宋体" w:hAnsi="宋体"/>
      <w:kern w:val="0"/>
    </w:rPr>
  </w:style>
  <w:style w:type="character" w:customStyle="1" w:styleId="305">
    <w:name w:val="fontstyle31"/>
    <w:qFormat/>
    <w:uiPriority w:val="0"/>
    <w:rPr>
      <w:rFonts w:hint="eastAsia" w:ascii="宋体" w:hAnsi="宋体" w:eastAsia="宋体"/>
      <w:color w:val="000000"/>
      <w:sz w:val="24"/>
      <w:szCs w:val="24"/>
    </w:rPr>
  </w:style>
  <w:style w:type="paragraph" w:customStyle="1" w:styleId="306">
    <w:name w:val="样式 宋体 小四 行距: 多倍行距 1.3 字行"/>
    <w:basedOn w:val="1"/>
    <w:qFormat/>
    <w:uiPriority w:val="0"/>
    <w:pPr>
      <w:adjustRightInd/>
      <w:snapToGrid/>
      <w:spacing w:line="312" w:lineRule="auto"/>
      <w:ind w:firstLine="480"/>
    </w:pPr>
    <w:rPr>
      <w:rFonts w:ascii="宋体" w:hAnsi="宋体" w:cs="宋体"/>
      <w:szCs w:val="20"/>
    </w:rPr>
  </w:style>
  <w:style w:type="character" w:customStyle="1" w:styleId="307">
    <w:name w:val="zx表格1 Char"/>
    <w:link w:val="308"/>
    <w:qFormat/>
    <w:uiPriority w:val="0"/>
    <w:rPr>
      <w:rFonts w:ascii="宋体" w:hAnsi="宋体"/>
      <w:color w:val="000000"/>
      <w:sz w:val="21"/>
      <w:szCs w:val="21"/>
    </w:rPr>
  </w:style>
  <w:style w:type="paragraph" w:customStyle="1" w:styleId="308">
    <w:name w:val="zx表格1"/>
    <w:basedOn w:val="1"/>
    <w:link w:val="307"/>
    <w:qFormat/>
    <w:uiPriority w:val="0"/>
    <w:pPr>
      <w:adjustRightInd/>
      <w:snapToGrid/>
      <w:spacing w:line="0" w:lineRule="atLeast"/>
      <w:ind w:firstLine="0" w:firstLineChars="0"/>
    </w:pPr>
    <w:rPr>
      <w:rFonts w:ascii="宋体" w:hAnsi="宋体"/>
      <w:color w:val="000000"/>
      <w:kern w:val="0"/>
      <w:sz w:val="21"/>
      <w:szCs w:val="21"/>
    </w:rPr>
  </w:style>
  <w:style w:type="paragraph" w:customStyle="1" w:styleId="309">
    <w:name w:val="文阳光"/>
    <w:qFormat/>
    <w:uiPriority w:val="0"/>
    <w:pPr>
      <w:spacing w:line="360" w:lineRule="auto"/>
      <w:ind w:firstLine="200" w:firstLineChars="200"/>
      <w:jc w:val="both"/>
    </w:pPr>
    <w:rPr>
      <w:rFonts w:ascii="宋体" w:hAnsi="Times New Roman" w:eastAsia="宋体" w:cs="Times New Roman"/>
      <w:bCs/>
      <w:sz w:val="24"/>
      <w:szCs w:val="28"/>
      <w:lang w:val="en-US" w:eastAsia="zh-CN" w:bidi="ar-SA"/>
    </w:rPr>
  </w:style>
  <w:style w:type="paragraph" w:customStyle="1" w:styleId="310">
    <w:name w:val="a.a.a.a阳光"/>
    <w:basedOn w:val="1"/>
    <w:next w:val="309"/>
    <w:qFormat/>
    <w:uiPriority w:val="0"/>
    <w:pPr>
      <w:keepNext/>
      <w:keepLines/>
      <w:widowControl/>
      <w:adjustRightInd/>
      <w:snapToGrid/>
      <w:ind w:firstLine="0" w:firstLineChars="0"/>
      <w:jc w:val="left"/>
      <w:outlineLvl w:val="3"/>
    </w:pPr>
    <w:rPr>
      <w:b/>
      <w:bCs/>
      <w:kern w:val="0"/>
      <w:szCs w:val="28"/>
    </w:rPr>
  </w:style>
  <w:style w:type="paragraph" w:customStyle="1" w:styleId="311">
    <w:name w:val="a.a.a阳光"/>
    <w:basedOn w:val="1"/>
    <w:next w:val="309"/>
    <w:qFormat/>
    <w:uiPriority w:val="0"/>
    <w:pPr>
      <w:keepNext/>
      <w:keepLines/>
      <w:widowControl/>
      <w:adjustRightInd/>
      <w:snapToGrid/>
      <w:ind w:firstLine="0" w:firstLineChars="0"/>
      <w:jc w:val="left"/>
      <w:outlineLvl w:val="2"/>
    </w:pPr>
    <w:rPr>
      <w:b/>
      <w:iCs/>
      <w:smallCaps/>
      <w:kern w:val="0"/>
      <w:sz w:val="28"/>
      <w:szCs w:val="32"/>
    </w:rPr>
  </w:style>
  <w:style w:type="character" w:customStyle="1" w:styleId="312">
    <w:name w:val="AA Char"/>
    <w:basedOn w:val="47"/>
    <w:link w:val="313"/>
    <w:qFormat/>
    <w:uiPriority w:val="0"/>
    <w:rPr>
      <w:sz w:val="24"/>
    </w:rPr>
  </w:style>
  <w:style w:type="paragraph" w:customStyle="1" w:styleId="313">
    <w:name w:val="AA"/>
    <w:basedOn w:val="1"/>
    <w:link w:val="312"/>
    <w:qFormat/>
    <w:uiPriority w:val="0"/>
    <w:pPr>
      <w:ind w:firstLine="200"/>
    </w:pPr>
    <w:rPr>
      <w:kern w:val="0"/>
      <w:szCs w:val="20"/>
    </w:rPr>
  </w:style>
  <w:style w:type="character" w:customStyle="1" w:styleId="314">
    <w:name w:val="表格头 Char Char"/>
    <w:link w:val="315"/>
    <w:qFormat/>
    <w:uiPriority w:val="0"/>
    <w:rPr>
      <w:rFonts w:cs="宋体"/>
      <w:b/>
      <w:kern w:val="2"/>
      <w:sz w:val="21"/>
      <w:szCs w:val="28"/>
    </w:rPr>
  </w:style>
  <w:style w:type="paragraph" w:customStyle="1" w:styleId="315">
    <w:name w:val="表格头"/>
    <w:basedOn w:val="1"/>
    <w:link w:val="314"/>
    <w:qFormat/>
    <w:uiPriority w:val="0"/>
    <w:pPr>
      <w:spacing w:line="240" w:lineRule="auto"/>
      <w:ind w:firstLine="0" w:firstLineChars="0"/>
    </w:pPr>
    <w:rPr>
      <w:rFonts w:cs="宋体"/>
      <w:b/>
      <w:sz w:val="21"/>
      <w:szCs w:val="28"/>
    </w:rPr>
  </w:style>
  <w:style w:type="character" w:customStyle="1" w:styleId="316">
    <w:name w:val="正文3 Char"/>
    <w:link w:val="62"/>
    <w:qFormat/>
    <w:uiPriority w:val="0"/>
    <w:rPr>
      <w:rFonts w:ascii="宋体" w:hAnsi="宋体" w:cs="宋体"/>
      <w:kern w:val="2"/>
      <w:sz w:val="24"/>
      <w:szCs w:val="24"/>
    </w:rPr>
  </w:style>
  <w:style w:type="character" w:customStyle="1" w:styleId="317">
    <w:name w:val="表头 Char1"/>
    <w:link w:val="60"/>
    <w:qFormat/>
    <w:uiPriority w:val="0"/>
    <w:rPr>
      <w:rFonts w:ascii="仿宋_GB2312" w:eastAsia="仿宋_GB2312"/>
      <w:sz w:val="24"/>
    </w:rPr>
  </w:style>
  <w:style w:type="paragraph" w:customStyle="1" w:styleId="318">
    <w:name w:val="表内字"/>
    <w:link w:val="319"/>
    <w:qFormat/>
    <w:uiPriority w:val="0"/>
    <w:pPr>
      <w:snapToGrid w:val="0"/>
      <w:jc w:val="both"/>
    </w:pPr>
    <w:rPr>
      <w:rFonts w:ascii="Times New Roman" w:hAnsi="Times New Roman" w:eastAsia="宋体" w:cs="Times New Roman"/>
      <w:iCs/>
      <w:color w:val="000000"/>
      <w:sz w:val="18"/>
      <w:szCs w:val="18"/>
      <w:lang w:val="en-US" w:eastAsia="zh-CN" w:bidi="ar-SA"/>
    </w:rPr>
  </w:style>
  <w:style w:type="character" w:customStyle="1" w:styleId="319">
    <w:name w:val="表内字 Char"/>
    <w:link w:val="318"/>
    <w:qFormat/>
    <w:uiPriority w:val="0"/>
    <w:rPr>
      <w:iCs/>
      <w:color w:val="000000"/>
      <w:sz w:val="18"/>
      <w:szCs w:val="18"/>
    </w:rPr>
  </w:style>
  <w:style w:type="character" w:customStyle="1" w:styleId="320">
    <w:name w:val="1正文段落 Char"/>
    <w:link w:val="78"/>
    <w:qFormat/>
    <w:uiPriority w:val="0"/>
    <w:rPr>
      <w:color w:val="000000" w:themeColor="text1"/>
      <w:spacing w:val="2"/>
      <w:sz w:val="24"/>
      <w:szCs w:val="21"/>
      <w14:textFill>
        <w14:solidFill>
          <w14:schemeClr w14:val="tx1"/>
        </w14:solidFill>
      </w14:textFill>
    </w:rPr>
  </w:style>
  <w:style w:type="character" w:customStyle="1" w:styleId="321">
    <w:name w:val="表格 Char"/>
    <w:link w:val="57"/>
    <w:qFormat/>
    <w:uiPriority w:val="0"/>
    <w:rPr>
      <w:szCs w:val="21"/>
    </w:rPr>
  </w:style>
  <w:style w:type="character" w:customStyle="1" w:styleId="322">
    <w:name w:val="表文字 Char"/>
    <w:link w:val="70"/>
    <w:qFormat/>
    <w:uiPriority w:val="0"/>
    <w:rPr>
      <w:kern w:val="2"/>
      <w:sz w:val="24"/>
      <w:szCs w:val="21"/>
    </w:rPr>
  </w:style>
  <w:style w:type="character" w:customStyle="1" w:styleId="323">
    <w:name w:val="表号 Char3"/>
    <w:link w:val="324"/>
    <w:qFormat/>
    <w:uiPriority w:val="0"/>
    <w:rPr>
      <w:rFonts w:ascii="宋体" w:hAnsi="宋体"/>
      <w:sz w:val="24"/>
      <w:szCs w:val="24"/>
    </w:rPr>
  </w:style>
  <w:style w:type="paragraph" w:customStyle="1" w:styleId="324">
    <w:name w:val="表号"/>
    <w:link w:val="323"/>
    <w:qFormat/>
    <w:uiPriority w:val="0"/>
    <w:pPr>
      <w:adjustRightInd w:val="0"/>
      <w:snapToGrid w:val="0"/>
      <w:spacing w:line="240" w:lineRule="atLeast"/>
      <w:jc w:val="both"/>
      <w:outlineLvl w:val="4"/>
    </w:pPr>
    <w:rPr>
      <w:rFonts w:ascii="宋体" w:hAnsi="宋体" w:eastAsia="宋体" w:cs="Times New Roman"/>
      <w:sz w:val="24"/>
      <w:szCs w:val="24"/>
      <w:lang w:val="en-US" w:eastAsia="zh-CN" w:bidi="ar-SA"/>
    </w:rPr>
  </w:style>
  <w:style w:type="character" w:customStyle="1" w:styleId="325">
    <w:name w:val="标题b Char"/>
    <w:link w:val="82"/>
    <w:qFormat/>
    <w:uiPriority w:val="0"/>
    <w:rPr>
      <w:rFonts w:ascii="宋体" w:hAnsi="宋体" w:eastAsia="黑体"/>
      <w:b/>
      <w:color w:val="000000"/>
      <w:sz w:val="32"/>
      <w:szCs w:val="24"/>
    </w:rPr>
  </w:style>
  <w:style w:type="table" w:customStyle="1" w:styleId="326">
    <w:name w:val="网格型1"/>
    <w:basedOn w:val="45"/>
    <w:qFormat/>
    <w:uiPriority w:val="3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27">
    <w:name w:val="表头 Char"/>
    <w:qFormat/>
    <w:uiPriority w:val="0"/>
    <w:rPr>
      <w:rFonts w:eastAsia="黑体" w:cstheme="minorBidi"/>
      <w:spacing w:val="6"/>
      <w:sz w:val="21"/>
    </w:rPr>
  </w:style>
  <w:style w:type="character" w:customStyle="1" w:styleId="328">
    <w:name w:val="不明显强调1"/>
    <w:basedOn w:val="47"/>
    <w:qFormat/>
    <w:uiPriority w:val="19"/>
    <w:rPr>
      <w:rFonts w:ascii="Times New Roman" w:hAnsi="Times New Roman" w:eastAsia="宋体"/>
      <w:i/>
      <w:iCs/>
      <w:color w:val="000000" w:themeColor="text1"/>
      <w:sz w:val="21"/>
      <w14:textFill>
        <w14:solidFill>
          <w14:schemeClr w14:val="tx1"/>
        </w14:solidFill>
      </w14:textFill>
    </w:rPr>
  </w:style>
  <w:style w:type="character" w:customStyle="1" w:styleId="329">
    <w:name w:val="批注文字 Char1"/>
    <w:basedOn w:val="47"/>
    <w:semiHidden/>
    <w:qFormat/>
    <w:uiPriority w:val="99"/>
    <w:rPr>
      <w:sz w:val="24"/>
      <w:szCs w:val="24"/>
    </w:rPr>
  </w:style>
  <w:style w:type="paragraph" w:customStyle="1" w:styleId="330">
    <w:name w:val="修订1"/>
    <w:hidden/>
    <w:unhideWhenUsed/>
    <w:qFormat/>
    <w:uiPriority w:val="99"/>
    <w:rPr>
      <w:rFonts w:ascii="Times New Roman" w:hAnsi="Times New Roman" w:eastAsia="宋体" w:cs="Times New Roman"/>
      <w:kern w:val="2"/>
      <w:sz w:val="24"/>
      <w:szCs w:val="24"/>
      <w:lang w:val="en-US" w:eastAsia="zh-CN" w:bidi="ar-SA"/>
    </w:rPr>
  </w:style>
  <w:style w:type="character" w:customStyle="1" w:styleId="331">
    <w:name w:val="first-child"/>
    <w:basedOn w:val="47"/>
    <w:qFormat/>
    <w:uiPriority w:val="0"/>
  </w:style>
  <w:style w:type="character" w:customStyle="1" w:styleId="332">
    <w:name w:val="页脚 字符"/>
    <w:basedOn w:val="47"/>
    <w:link w:val="29"/>
    <w:qFormat/>
    <w:uiPriority w:val="0"/>
    <w:rPr>
      <w:rFonts w:hint="default" w:ascii="Calibri" w:hAnsi="Calibri" w:cs="Calibri"/>
    </w:rPr>
  </w:style>
  <w:style w:type="character" w:customStyle="1" w:styleId="333">
    <w:name w:val="w105"/>
    <w:basedOn w:val="47"/>
    <w:qFormat/>
    <w:uiPriority w:val="0"/>
  </w:style>
  <w:style w:type="character" w:customStyle="1" w:styleId="334">
    <w:name w:val="hover"/>
    <w:basedOn w:val="47"/>
    <w:qFormat/>
    <w:uiPriority w:val="0"/>
    <w:rPr>
      <w:u w:val="none"/>
    </w:rPr>
  </w:style>
  <w:style w:type="character" w:customStyle="1" w:styleId="335">
    <w:name w:val="hover1"/>
    <w:basedOn w:val="47"/>
    <w:qFormat/>
    <w:uiPriority w:val="0"/>
    <w:rPr>
      <w:u w:val="single"/>
    </w:rPr>
  </w:style>
  <w:style w:type="character" w:customStyle="1" w:styleId="336">
    <w:name w:val="w178"/>
    <w:basedOn w:val="47"/>
    <w:qFormat/>
    <w:uiPriority w:val="0"/>
  </w:style>
  <w:style w:type="character" w:customStyle="1" w:styleId="337">
    <w:name w:val="w200"/>
    <w:basedOn w:val="47"/>
    <w:qFormat/>
    <w:uiPriority w:val="0"/>
  </w:style>
  <w:style w:type="character" w:customStyle="1" w:styleId="338">
    <w:name w:val="页眉 字符"/>
    <w:basedOn w:val="47"/>
    <w:link w:val="30"/>
    <w:qFormat/>
    <w:uiPriority w:val="0"/>
    <w:rPr>
      <w:rFonts w:hint="default" w:ascii="Calibri" w:hAnsi="Calibri" w:cs="Calibri"/>
    </w:rPr>
  </w:style>
  <w:style w:type="character" w:customStyle="1" w:styleId="339">
    <w:name w:val="font91"/>
    <w:basedOn w:val="47"/>
    <w:qFormat/>
    <w:uiPriority w:val="0"/>
    <w:rPr>
      <w:rFonts w:hint="eastAsia" w:ascii="宋体" w:hAnsi="宋体" w:eastAsia="宋体" w:cs="宋体"/>
      <w:color w:val="000000"/>
      <w:sz w:val="21"/>
      <w:szCs w:val="21"/>
      <w:u w:val="none"/>
    </w:rPr>
  </w:style>
  <w:style w:type="paragraph" w:customStyle="1" w:styleId="340">
    <w:name w:val="1.1报告标题"/>
    <w:basedOn w:val="4"/>
    <w:qFormat/>
    <w:uiPriority w:val="0"/>
    <w:pPr>
      <w:snapToGrid w:val="0"/>
      <w:spacing w:before="156" w:beforeLines="50" w:after="156" w:afterLines="50" w:line="360" w:lineRule="auto"/>
    </w:pPr>
    <w:rPr>
      <w:rFonts w:eastAsia="黑体"/>
      <w:sz w:val="28"/>
      <w:szCs w:val="28"/>
    </w:rPr>
  </w:style>
  <w:style w:type="paragraph" w:customStyle="1" w:styleId="341">
    <w:name w:val="1.1.1报告标题"/>
    <w:qFormat/>
    <w:uiPriority w:val="0"/>
    <w:pPr>
      <w:spacing w:before="156" w:beforeLines="50" w:after="156" w:afterLines="50" w:line="360" w:lineRule="auto"/>
      <w:outlineLvl w:val="2"/>
    </w:pPr>
    <w:rPr>
      <w:rFonts w:ascii="黑体" w:hAnsi="Times New Roman" w:eastAsia="黑体" w:cs="Times New Roman"/>
      <w:b/>
      <w:color w:val="000000"/>
      <w:kern w:val="2"/>
      <w:sz w:val="28"/>
      <w:lang w:val="en-US" w:eastAsia="zh-CN" w:bidi="ar-SA"/>
    </w:rPr>
  </w:style>
  <w:style w:type="paragraph" w:customStyle="1" w:styleId="342">
    <w:name w:val="7"/>
    <w:basedOn w:val="1"/>
    <w:qFormat/>
    <w:uiPriority w:val="0"/>
    <w:pPr>
      <w:autoSpaceDE w:val="0"/>
      <w:autoSpaceDN w:val="0"/>
      <w:adjustRightInd w:val="0"/>
      <w:snapToGrid w:val="0"/>
      <w:spacing w:line="360" w:lineRule="auto"/>
      <w:ind w:firstLine="200" w:firstLineChars="200"/>
      <w:textAlignment w:val="baseline"/>
    </w:pPr>
    <w:rPr>
      <w:rFonts w:asciiTheme="minorHAnsi" w:hAnsiTheme="minorHAnsi" w:eastAsiaTheme="minorEastAsia" w:cstheme="minorBidi"/>
      <w:sz w:val="28"/>
      <w:szCs w:val="28"/>
    </w:rPr>
  </w:style>
  <w:style w:type="paragraph" w:customStyle="1" w:styleId="343">
    <w:name w:val="列出段落"/>
    <w:basedOn w:val="1"/>
    <w:qFormat/>
    <w:uiPriority w:val="0"/>
    <w:pPr>
      <w:ind w:firstLine="200" w:firstLineChars="200"/>
    </w:pPr>
    <w:rPr>
      <w:rFonts w:ascii="Calibri" w:hAnsi="Calibri"/>
      <w:szCs w:val="22"/>
    </w:rPr>
  </w:style>
  <w:style w:type="paragraph" w:customStyle="1" w:styleId="344">
    <w:name w:val="文中表格"/>
    <w:basedOn w:val="1"/>
    <w:next w:val="1"/>
    <w:qFormat/>
    <w:uiPriority w:val="0"/>
    <w:pPr>
      <w:adjustRightInd w:val="0"/>
      <w:snapToGrid w:val="0"/>
      <w:jc w:val="center"/>
    </w:pPr>
    <w:rPr>
      <w:rFonts w:ascii="宋体" w:cs="宋体"/>
      <w:sz w:val="24"/>
      <w:szCs w:val="28"/>
      <w:lang w:bidi="ar-SA"/>
    </w:rPr>
  </w:style>
  <w:style w:type="paragraph" w:customStyle="1" w:styleId="345">
    <w:name w:val="正文文字缩进 2"/>
    <w:basedOn w:val="1"/>
    <w:qFormat/>
    <w:uiPriority w:val="0"/>
    <w:pPr>
      <w:autoSpaceDE w:val="0"/>
      <w:autoSpaceDN w:val="0"/>
      <w:adjustRightInd w:val="0"/>
      <w:ind w:right="-154" w:firstLine="560"/>
      <w:textAlignment w:val="baseline"/>
    </w:pPr>
    <w:rPr>
      <w:rFonts w:ascii="宋体"/>
      <w:sz w:val="30"/>
      <w:szCs w:val="20"/>
    </w:rPr>
  </w:style>
  <w:style w:type="paragraph" w:customStyle="1" w:styleId="346">
    <w:name w:val="6表内文字 居中"/>
    <w:basedOn w:val="1"/>
    <w:qFormat/>
    <w:uiPriority w:val="0"/>
    <w:pPr>
      <w:adjustRightInd w:val="0"/>
      <w:jc w:val="center"/>
      <w:textAlignment w:val="baseline"/>
    </w:pPr>
    <w:rPr>
      <w:snapToGrid w:val="0"/>
      <w:kern w:val="0"/>
    </w:rPr>
  </w:style>
  <w:style w:type="paragraph" w:customStyle="1" w:styleId="347">
    <w:name w:val="正文2"/>
    <w:basedOn w:val="1"/>
    <w:qFormat/>
    <w:uiPriority w:val="0"/>
    <w:pPr>
      <w:spacing w:line="360" w:lineRule="auto"/>
      <w:ind w:firstLine="200" w:firstLineChars="200"/>
    </w:pPr>
    <w:rPr>
      <w:rFonts w:ascii="Times New Roman" w:hAnsi="Times New Roman"/>
      <w:sz w:val="24"/>
      <w:szCs w:val="24"/>
    </w:rPr>
  </w:style>
  <w:style w:type="paragraph" w:customStyle="1" w:styleId="348">
    <w:name w:val="_Style 2"/>
    <w:basedOn w:val="1"/>
    <w:qFormat/>
    <w:uiPriority w:val="99"/>
    <w:pPr>
      <w:jc w:val="center"/>
    </w:pPr>
    <w:rPr>
      <w:rFonts w:ascii="Times New Roman" w:hAnsi="Times New Roman" w:eastAsia="仿宋_GB2312"/>
      <w:szCs w:val="24"/>
    </w:rPr>
  </w:style>
  <w:style w:type="paragraph" w:customStyle="1" w:styleId="349">
    <w:name w:val="表内容"/>
    <w:basedOn w:val="1"/>
    <w:next w:val="1"/>
    <w:qFormat/>
    <w:uiPriority w:val="0"/>
    <w:pPr>
      <w:spacing w:afterLines="0" w:line="240" w:lineRule="auto"/>
      <w:ind w:firstLine="0" w:firstLineChars="0"/>
      <w:jc w:val="center"/>
    </w:pPr>
    <w:rPr>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60.png"/><Relationship Id="rId98" Type="http://schemas.openxmlformats.org/officeDocument/2006/relationships/image" Target="media/image59.png"/><Relationship Id="rId97" Type="http://schemas.openxmlformats.org/officeDocument/2006/relationships/image" Target="media/image58.png"/><Relationship Id="rId96" Type="http://schemas.openxmlformats.org/officeDocument/2006/relationships/image" Target="media/image57.png"/><Relationship Id="rId95" Type="http://schemas.openxmlformats.org/officeDocument/2006/relationships/image" Target="media/image56.jpeg"/><Relationship Id="rId94" Type="http://schemas.openxmlformats.org/officeDocument/2006/relationships/image" Target="media/image55.png"/><Relationship Id="rId93" Type="http://schemas.openxmlformats.org/officeDocument/2006/relationships/image" Target="media/image54.jpeg"/><Relationship Id="rId92" Type="http://schemas.openxmlformats.org/officeDocument/2006/relationships/image" Target="media/image53.png"/><Relationship Id="rId91" Type="http://schemas.openxmlformats.org/officeDocument/2006/relationships/image" Target="media/image52.png"/><Relationship Id="rId90" Type="http://schemas.openxmlformats.org/officeDocument/2006/relationships/image" Target="media/image51.png"/><Relationship Id="rId9" Type="http://schemas.openxmlformats.org/officeDocument/2006/relationships/footer" Target="footer2.xml"/><Relationship Id="rId89" Type="http://schemas.openxmlformats.org/officeDocument/2006/relationships/image" Target="media/image50.png"/><Relationship Id="rId88" Type="http://schemas.openxmlformats.org/officeDocument/2006/relationships/image" Target="media/image49.png"/><Relationship Id="rId87" Type="http://schemas.openxmlformats.org/officeDocument/2006/relationships/image" Target="media/image48.png"/><Relationship Id="rId86" Type="http://schemas.openxmlformats.org/officeDocument/2006/relationships/image" Target="media/image47.png"/><Relationship Id="rId85" Type="http://schemas.openxmlformats.org/officeDocument/2006/relationships/image" Target="media/image46.png"/><Relationship Id="rId84" Type="http://schemas.openxmlformats.org/officeDocument/2006/relationships/image" Target="media/image45.png"/><Relationship Id="rId83" Type="http://schemas.openxmlformats.org/officeDocument/2006/relationships/image" Target="media/image44.png"/><Relationship Id="rId82" Type="http://schemas.openxmlformats.org/officeDocument/2006/relationships/image" Target="media/image43.png"/><Relationship Id="rId81" Type="http://schemas.openxmlformats.org/officeDocument/2006/relationships/image" Target="media/image42.png"/><Relationship Id="rId80" Type="http://schemas.openxmlformats.org/officeDocument/2006/relationships/image" Target="media/image41.png"/><Relationship Id="rId8" Type="http://schemas.openxmlformats.org/officeDocument/2006/relationships/footer" Target="footer1.xml"/><Relationship Id="rId79" Type="http://schemas.openxmlformats.org/officeDocument/2006/relationships/image" Target="media/image40.png"/><Relationship Id="rId78" Type="http://schemas.openxmlformats.org/officeDocument/2006/relationships/image" Target="media/image39.png"/><Relationship Id="rId77" Type="http://schemas.openxmlformats.org/officeDocument/2006/relationships/image" Target="media/image38.jpeg"/><Relationship Id="rId76" Type="http://schemas.openxmlformats.org/officeDocument/2006/relationships/image" Target="media/image37.png"/><Relationship Id="rId75" Type="http://schemas.openxmlformats.org/officeDocument/2006/relationships/oleObject" Target="embeddings/oleObject7.bin"/><Relationship Id="rId74" Type="http://schemas.openxmlformats.org/officeDocument/2006/relationships/image" Target="media/image36.wmf"/><Relationship Id="rId73" Type="http://schemas.openxmlformats.org/officeDocument/2006/relationships/oleObject" Target="embeddings/oleObject6.bin"/><Relationship Id="rId72" Type="http://schemas.openxmlformats.org/officeDocument/2006/relationships/image" Target="media/image35.wmf"/><Relationship Id="rId71" Type="http://schemas.openxmlformats.org/officeDocument/2006/relationships/oleObject" Target="embeddings/oleObject5.bin"/><Relationship Id="rId70" Type="http://schemas.openxmlformats.org/officeDocument/2006/relationships/image" Target="media/image34.wmf"/><Relationship Id="rId7" Type="http://schemas.openxmlformats.org/officeDocument/2006/relationships/header" Target="header3.xml"/><Relationship Id="rId69" Type="http://schemas.openxmlformats.org/officeDocument/2006/relationships/oleObject" Target="embeddings/oleObject4.bin"/><Relationship Id="rId68" Type="http://schemas.openxmlformats.org/officeDocument/2006/relationships/image" Target="media/image33.png"/><Relationship Id="rId67" Type="http://schemas.openxmlformats.org/officeDocument/2006/relationships/image" Target="media/image32.png"/><Relationship Id="rId66" Type="http://schemas.openxmlformats.org/officeDocument/2006/relationships/image" Target="media/image31.png"/><Relationship Id="rId65" Type="http://schemas.openxmlformats.org/officeDocument/2006/relationships/image" Target="media/image30.jpeg"/><Relationship Id="rId64" Type="http://schemas.openxmlformats.org/officeDocument/2006/relationships/image" Target="media/image29.jpeg"/><Relationship Id="rId63" Type="http://schemas.openxmlformats.org/officeDocument/2006/relationships/image" Target="media/image28.emf"/><Relationship Id="rId62" Type="http://schemas.openxmlformats.org/officeDocument/2006/relationships/oleObject" Target="embeddings/oleObject3.bin"/><Relationship Id="rId61" Type="http://schemas.openxmlformats.org/officeDocument/2006/relationships/image" Target="media/image27.emf"/><Relationship Id="rId60" Type="http://schemas.openxmlformats.org/officeDocument/2006/relationships/oleObject" Target="embeddings/oleObject2.bin"/><Relationship Id="rId6" Type="http://schemas.openxmlformats.org/officeDocument/2006/relationships/header" Target="header2.xml"/><Relationship Id="rId59" Type="http://schemas.openxmlformats.org/officeDocument/2006/relationships/image" Target="media/image26.jpeg"/><Relationship Id="rId58" Type="http://schemas.openxmlformats.org/officeDocument/2006/relationships/image" Target="media/image25.jpeg"/><Relationship Id="rId57" Type="http://schemas.openxmlformats.org/officeDocument/2006/relationships/image" Target="media/image24.jpeg"/><Relationship Id="rId56" Type="http://schemas.openxmlformats.org/officeDocument/2006/relationships/image" Target="media/image23.jpeg"/><Relationship Id="rId55" Type="http://schemas.openxmlformats.org/officeDocument/2006/relationships/image" Target="media/image22.jpeg"/><Relationship Id="rId54" Type="http://schemas.openxmlformats.org/officeDocument/2006/relationships/image" Target="media/image21.png"/><Relationship Id="rId53" Type="http://schemas.openxmlformats.org/officeDocument/2006/relationships/image" Target="media/image20.jpeg"/><Relationship Id="rId52" Type="http://schemas.openxmlformats.org/officeDocument/2006/relationships/image" Target="media/image19.png"/><Relationship Id="rId51" Type="http://schemas.openxmlformats.org/officeDocument/2006/relationships/image" Target="media/image18.jpeg"/><Relationship Id="rId50" Type="http://schemas.openxmlformats.org/officeDocument/2006/relationships/image" Target="media/image17.png"/><Relationship Id="rId5" Type="http://schemas.openxmlformats.org/officeDocument/2006/relationships/header" Target="header1.xml"/><Relationship Id="rId49" Type="http://schemas.openxmlformats.org/officeDocument/2006/relationships/image" Target="media/image16.png"/><Relationship Id="rId48" Type="http://schemas.openxmlformats.org/officeDocument/2006/relationships/image" Target="media/image15.jpeg"/><Relationship Id="rId47" Type="http://schemas.openxmlformats.org/officeDocument/2006/relationships/image" Target="media/image14.jpeg"/><Relationship Id="rId46" Type="http://schemas.openxmlformats.org/officeDocument/2006/relationships/image" Target="media/image13.png"/><Relationship Id="rId45" Type="http://schemas.openxmlformats.org/officeDocument/2006/relationships/image" Target="media/image12.jpeg"/><Relationship Id="rId44" Type="http://schemas.openxmlformats.org/officeDocument/2006/relationships/image" Target="media/image11.jpeg"/><Relationship Id="rId43" Type="http://schemas.openxmlformats.org/officeDocument/2006/relationships/image" Target="media/image10.png"/><Relationship Id="rId42" Type="http://schemas.openxmlformats.org/officeDocument/2006/relationships/image" Target="media/image9.jpeg"/><Relationship Id="rId41" Type="http://schemas.openxmlformats.org/officeDocument/2006/relationships/image" Target="media/image8.png"/><Relationship Id="rId40" Type="http://schemas.openxmlformats.org/officeDocument/2006/relationships/image" Target="media/image7.jpeg"/><Relationship Id="rId4" Type="http://schemas.openxmlformats.org/officeDocument/2006/relationships/endnotes" Target="endnotes.xml"/><Relationship Id="rId39" Type="http://schemas.openxmlformats.org/officeDocument/2006/relationships/image" Target="media/image6.png"/><Relationship Id="rId38" Type="http://schemas.openxmlformats.org/officeDocument/2006/relationships/image" Target="media/image5.jpeg"/><Relationship Id="rId37" Type="http://schemas.openxmlformats.org/officeDocument/2006/relationships/image" Target="media/image4.png"/><Relationship Id="rId36" Type="http://schemas.openxmlformats.org/officeDocument/2006/relationships/image" Target="media/image3.wmf"/><Relationship Id="rId35" Type="http://schemas.openxmlformats.org/officeDocument/2006/relationships/oleObject" Target="embeddings/oleObject1.bin"/><Relationship Id="rId34" Type="http://schemas.openxmlformats.org/officeDocument/2006/relationships/image" Target="media/image2.jpeg"/><Relationship Id="rId33" Type="http://schemas.openxmlformats.org/officeDocument/2006/relationships/image" Target="media/image1.jpeg"/><Relationship Id="rId322" Type="http://schemas.openxmlformats.org/officeDocument/2006/relationships/fontTable" Target="fontTable.xml"/><Relationship Id="rId321" Type="http://schemas.openxmlformats.org/officeDocument/2006/relationships/customXml" Target="../customXml/item2.xml"/><Relationship Id="rId320" Type="http://schemas.openxmlformats.org/officeDocument/2006/relationships/numbering" Target="numbering.xml"/><Relationship Id="rId32" Type="http://schemas.openxmlformats.org/officeDocument/2006/relationships/theme" Target="theme/theme1.xml"/><Relationship Id="rId319" Type="http://schemas.openxmlformats.org/officeDocument/2006/relationships/customXml" Target="../customXml/item1.xml"/><Relationship Id="rId318" Type="http://schemas.openxmlformats.org/officeDocument/2006/relationships/image" Target="media/image230.jpeg"/><Relationship Id="rId317" Type="http://schemas.openxmlformats.org/officeDocument/2006/relationships/image" Target="media/image229.jpeg"/><Relationship Id="rId316" Type="http://schemas.openxmlformats.org/officeDocument/2006/relationships/image" Target="media/image228.png"/><Relationship Id="rId315" Type="http://schemas.openxmlformats.org/officeDocument/2006/relationships/image" Target="media/image227.png"/><Relationship Id="rId314" Type="http://schemas.openxmlformats.org/officeDocument/2006/relationships/image" Target="media/image226.png"/><Relationship Id="rId313" Type="http://schemas.openxmlformats.org/officeDocument/2006/relationships/image" Target="media/image225.jpeg"/><Relationship Id="rId312" Type="http://schemas.openxmlformats.org/officeDocument/2006/relationships/image" Target="media/image224.png"/><Relationship Id="rId311" Type="http://schemas.openxmlformats.org/officeDocument/2006/relationships/image" Target="media/image223.jpeg"/><Relationship Id="rId310" Type="http://schemas.openxmlformats.org/officeDocument/2006/relationships/image" Target="media/image222.jpeg"/><Relationship Id="rId31" Type="http://schemas.openxmlformats.org/officeDocument/2006/relationships/footer" Target="footer16.xml"/><Relationship Id="rId309" Type="http://schemas.openxmlformats.org/officeDocument/2006/relationships/image" Target="media/image221.jpeg"/><Relationship Id="rId308" Type="http://schemas.openxmlformats.org/officeDocument/2006/relationships/image" Target="media/image220.jpeg"/><Relationship Id="rId307" Type="http://schemas.openxmlformats.org/officeDocument/2006/relationships/image" Target="media/image219.jpeg"/><Relationship Id="rId306" Type="http://schemas.openxmlformats.org/officeDocument/2006/relationships/image" Target="media/image218.jpeg"/><Relationship Id="rId305" Type="http://schemas.openxmlformats.org/officeDocument/2006/relationships/image" Target="media/image217.jpeg"/><Relationship Id="rId304" Type="http://schemas.openxmlformats.org/officeDocument/2006/relationships/image" Target="media/image216.jpeg"/><Relationship Id="rId303" Type="http://schemas.openxmlformats.org/officeDocument/2006/relationships/image" Target="media/image215.jpeg"/><Relationship Id="rId302" Type="http://schemas.openxmlformats.org/officeDocument/2006/relationships/image" Target="media/image214.jpeg"/><Relationship Id="rId301" Type="http://schemas.openxmlformats.org/officeDocument/2006/relationships/image" Target="media/image213.jpeg"/><Relationship Id="rId300" Type="http://schemas.openxmlformats.org/officeDocument/2006/relationships/image" Target="media/image212.jpeg"/><Relationship Id="rId30" Type="http://schemas.openxmlformats.org/officeDocument/2006/relationships/header" Target="header11.xml"/><Relationship Id="rId3" Type="http://schemas.openxmlformats.org/officeDocument/2006/relationships/footnotes" Target="footnotes.xml"/><Relationship Id="rId299" Type="http://schemas.openxmlformats.org/officeDocument/2006/relationships/image" Target="media/image211.jpeg"/><Relationship Id="rId298" Type="http://schemas.openxmlformats.org/officeDocument/2006/relationships/image" Target="media/image210.jpeg"/><Relationship Id="rId297" Type="http://schemas.openxmlformats.org/officeDocument/2006/relationships/image" Target="media/image209.jpeg"/><Relationship Id="rId296" Type="http://schemas.openxmlformats.org/officeDocument/2006/relationships/image" Target="media/image208.jpeg"/><Relationship Id="rId295" Type="http://schemas.openxmlformats.org/officeDocument/2006/relationships/image" Target="media/image207.jpeg"/><Relationship Id="rId294" Type="http://schemas.openxmlformats.org/officeDocument/2006/relationships/image" Target="media/image206.jpeg"/><Relationship Id="rId293" Type="http://schemas.openxmlformats.org/officeDocument/2006/relationships/image" Target="media/image205.jpeg"/><Relationship Id="rId292" Type="http://schemas.openxmlformats.org/officeDocument/2006/relationships/image" Target="media/image204.jpeg"/><Relationship Id="rId291" Type="http://schemas.openxmlformats.org/officeDocument/2006/relationships/image" Target="media/image203.jpeg"/><Relationship Id="rId290" Type="http://schemas.openxmlformats.org/officeDocument/2006/relationships/image" Target="media/image202.jpeg"/><Relationship Id="rId29" Type="http://schemas.openxmlformats.org/officeDocument/2006/relationships/footer" Target="footer15.xml"/><Relationship Id="rId289" Type="http://schemas.openxmlformats.org/officeDocument/2006/relationships/image" Target="media/image201.jpeg"/><Relationship Id="rId288" Type="http://schemas.openxmlformats.org/officeDocument/2006/relationships/image" Target="media/image200.jpeg"/><Relationship Id="rId287" Type="http://schemas.openxmlformats.org/officeDocument/2006/relationships/image" Target="media/image199.jpeg"/><Relationship Id="rId286" Type="http://schemas.openxmlformats.org/officeDocument/2006/relationships/image" Target="media/image198.jpeg"/><Relationship Id="rId285" Type="http://schemas.openxmlformats.org/officeDocument/2006/relationships/image" Target="media/image197.jpeg"/><Relationship Id="rId284" Type="http://schemas.openxmlformats.org/officeDocument/2006/relationships/image" Target="media/image196.jpeg"/><Relationship Id="rId283" Type="http://schemas.openxmlformats.org/officeDocument/2006/relationships/image" Target="media/image195.jpeg"/><Relationship Id="rId282" Type="http://schemas.openxmlformats.org/officeDocument/2006/relationships/image" Target="media/image194.jpeg"/><Relationship Id="rId281" Type="http://schemas.openxmlformats.org/officeDocument/2006/relationships/image" Target="media/image193.jpeg"/><Relationship Id="rId280" Type="http://schemas.openxmlformats.org/officeDocument/2006/relationships/image" Target="media/image192.jpeg"/><Relationship Id="rId28" Type="http://schemas.openxmlformats.org/officeDocument/2006/relationships/header" Target="header10.xml"/><Relationship Id="rId279" Type="http://schemas.openxmlformats.org/officeDocument/2006/relationships/image" Target="media/image191.jpeg"/><Relationship Id="rId278" Type="http://schemas.openxmlformats.org/officeDocument/2006/relationships/image" Target="media/image190.jpeg"/><Relationship Id="rId277" Type="http://schemas.openxmlformats.org/officeDocument/2006/relationships/image" Target="media/image189.jpeg"/><Relationship Id="rId276" Type="http://schemas.openxmlformats.org/officeDocument/2006/relationships/image" Target="media/image188.jpeg"/><Relationship Id="rId275" Type="http://schemas.openxmlformats.org/officeDocument/2006/relationships/image" Target="media/image187.jpeg"/><Relationship Id="rId274" Type="http://schemas.openxmlformats.org/officeDocument/2006/relationships/image" Target="media/image186.jpeg"/><Relationship Id="rId273" Type="http://schemas.openxmlformats.org/officeDocument/2006/relationships/image" Target="media/image185.jpeg"/><Relationship Id="rId272" Type="http://schemas.openxmlformats.org/officeDocument/2006/relationships/image" Target="media/image184.jpeg"/><Relationship Id="rId271" Type="http://schemas.openxmlformats.org/officeDocument/2006/relationships/image" Target="media/image183.jpeg"/><Relationship Id="rId270" Type="http://schemas.openxmlformats.org/officeDocument/2006/relationships/image" Target="media/image182.jpeg"/><Relationship Id="rId27" Type="http://schemas.openxmlformats.org/officeDocument/2006/relationships/footer" Target="footer14.xml"/><Relationship Id="rId269" Type="http://schemas.openxmlformats.org/officeDocument/2006/relationships/image" Target="media/image181.jpeg"/><Relationship Id="rId268" Type="http://schemas.openxmlformats.org/officeDocument/2006/relationships/image" Target="media/image180.jpeg"/><Relationship Id="rId267" Type="http://schemas.openxmlformats.org/officeDocument/2006/relationships/image" Target="media/image179.jpeg"/><Relationship Id="rId266" Type="http://schemas.openxmlformats.org/officeDocument/2006/relationships/image" Target="media/image178.jpeg"/><Relationship Id="rId265" Type="http://schemas.openxmlformats.org/officeDocument/2006/relationships/image" Target="media/image177.jpeg"/><Relationship Id="rId264" Type="http://schemas.openxmlformats.org/officeDocument/2006/relationships/image" Target="media/image176.jpeg"/><Relationship Id="rId263" Type="http://schemas.openxmlformats.org/officeDocument/2006/relationships/image" Target="media/image175.jpeg"/><Relationship Id="rId262" Type="http://schemas.openxmlformats.org/officeDocument/2006/relationships/image" Target="media/image174.jpeg"/><Relationship Id="rId261" Type="http://schemas.openxmlformats.org/officeDocument/2006/relationships/image" Target="media/image173.jpeg"/><Relationship Id="rId260" Type="http://schemas.openxmlformats.org/officeDocument/2006/relationships/image" Target="media/image172.jpeg"/><Relationship Id="rId26" Type="http://schemas.openxmlformats.org/officeDocument/2006/relationships/header" Target="header9.xml"/><Relationship Id="rId259" Type="http://schemas.openxmlformats.org/officeDocument/2006/relationships/image" Target="media/image171.jpeg"/><Relationship Id="rId258" Type="http://schemas.openxmlformats.org/officeDocument/2006/relationships/image" Target="media/image170.jpeg"/><Relationship Id="rId257" Type="http://schemas.openxmlformats.org/officeDocument/2006/relationships/image" Target="media/image169.jpeg"/><Relationship Id="rId256" Type="http://schemas.openxmlformats.org/officeDocument/2006/relationships/image" Target="media/image168.jpeg"/><Relationship Id="rId255" Type="http://schemas.openxmlformats.org/officeDocument/2006/relationships/image" Target="media/image167.jpeg"/><Relationship Id="rId254" Type="http://schemas.openxmlformats.org/officeDocument/2006/relationships/image" Target="media/image166.jpeg"/><Relationship Id="rId253" Type="http://schemas.openxmlformats.org/officeDocument/2006/relationships/image" Target="media/image165.jpeg"/><Relationship Id="rId252" Type="http://schemas.openxmlformats.org/officeDocument/2006/relationships/image" Target="media/image164.jpeg"/><Relationship Id="rId251" Type="http://schemas.openxmlformats.org/officeDocument/2006/relationships/image" Target="media/image163.jpeg"/><Relationship Id="rId250" Type="http://schemas.openxmlformats.org/officeDocument/2006/relationships/image" Target="media/image162.jpeg"/><Relationship Id="rId25" Type="http://schemas.openxmlformats.org/officeDocument/2006/relationships/footer" Target="footer13.xml"/><Relationship Id="rId249" Type="http://schemas.openxmlformats.org/officeDocument/2006/relationships/image" Target="media/image161.jpeg"/><Relationship Id="rId248" Type="http://schemas.openxmlformats.org/officeDocument/2006/relationships/image" Target="media/image160.jpeg"/><Relationship Id="rId247" Type="http://schemas.openxmlformats.org/officeDocument/2006/relationships/image" Target="media/image159.jpeg"/><Relationship Id="rId246" Type="http://schemas.openxmlformats.org/officeDocument/2006/relationships/image" Target="media/image158.jpeg"/><Relationship Id="rId245" Type="http://schemas.openxmlformats.org/officeDocument/2006/relationships/image" Target="media/image157.jpeg"/><Relationship Id="rId244" Type="http://schemas.openxmlformats.org/officeDocument/2006/relationships/image" Target="media/image156.jpeg"/><Relationship Id="rId243" Type="http://schemas.openxmlformats.org/officeDocument/2006/relationships/image" Target="media/image155.jpeg"/><Relationship Id="rId242" Type="http://schemas.openxmlformats.org/officeDocument/2006/relationships/image" Target="media/image154.jpeg"/><Relationship Id="rId241" Type="http://schemas.openxmlformats.org/officeDocument/2006/relationships/image" Target="media/image153.jpeg"/><Relationship Id="rId240" Type="http://schemas.openxmlformats.org/officeDocument/2006/relationships/image" Target="media/image152.jpeg"/><Relationship Id="rId24" Type="http://schemas.openxmlformats.org/officeDocument/2006/relationships/header" Target="header8.xml"/><Relationship Id="rId239" Type="http://schemas.openxmlformats.org/officeDocument/2006/relationships/image" Target="media/image151.jpeg"/><Relationship Id="rId238" Type="http://schemas.openxmlformats.org/officeDocument/2006/relationships/image" Target="media/image150.png"/><Relationship Id="rId237" Type="http://schemas.openxmlformats.org/officeDocument/2006/relationships/image" Target="media/image149.png"/><Relationship Id="rId236" Type="http://schemas.openxmlformats.org/officeDocument/2006/relationships/image" Target="media/image148.png"/><Relationship Id="rId235" Type="http://schemas.openxmlformats.org/officeDocument/2006/relationships/image" Target="media/image147.png"/><Relationship Id="rId234" Type="http://schemas.openxmlformats.org/officeDocument/2006/relationships/image" Target="media/image146.png"/><Relationship Id="rId233" Type="http://schemas.openxmlformats.org/officeDocument/2006/relationships/image" Target="media/image145.png"/><Relationship Id="rId232" Type="http://schemas.openxmlformats.org/officeDocument/2006/relationships/image" Target="media/image144.png"/><Relationship Id="rId231" Type="http://schemas.openxmlformats.org/officeDocument/2006/relationships/image" Target="media/image143.png"/><Relationship Id="rId230" Type="http://schemas.openxmlformats.org/officeDocument/2006/relationships/image" Target="media/image142.png"/><Relationship Id="rId23" Type="http://schemas.openxmlformats.org/officeDocument/2006/relationships/footer" Target="footer12.xml"/><Relationship Id="rId229" Type="http://schemas.openxmlformats.org/officeDocument/2006/relationships/image" Target="media/image141.png"/><Relationship Id="rId228" Type="http://schemas.openxmlformats.org/officeDocument/2006/relationships/image" Target="media/image140.wmf"/><Relationship Id="rId227" Type="http://schemas.openxmlformats.org/officeDocument/2006/relationships/image" Target="media/image139.png"/><Relationship Id="rId226" Type="http://schemas.openxmlformats.org/officeDocument/2006/relationships/image" Target="media/image138.jpeg"/><Relationship Id="rId225" Type="http://schemas.openxmlformats.org/officeDocument/2006/relationships/image" Target="media/image137.png"/><Relationship Id="rId224" Type="http://schemas.openxmlformats.org/officeDocument/2006/relationships/image" Target="media/image136.png"/><Relationship Id="rId223" Type="http://schemas.openxmlformats.org/officeDocument/2006/relationships/image" Target="media/image135.png"/><Relationship Id="rId222" Type="http://schemas.openxmlformats.org/officeDocument/2006/relationships/image" Target="media/image134.png"/><Relationship Id="rId221" Type="http://schemas.openxmlformats.org/officeDocument/2006/relationships/image" Target="media/image133.wmf"/><Relationship Id="rId220" Type="http://schemas.openxmlformats.org/officeDocument/2006/relationships/oleObject" Target="embeddings/oleObject56.bin"/><Relationship Id="rId22" Type="http://schemas.openxmlformats.org/officeDocument/2006/relationships/footer" Target="footer11.xml"/><Relationship Id="rId219" Type="http://schemas.openxmlformats.org/officeDocument/2006/relationships/oleObject" Target="embeddings/oleObject55.bin"/><Relationship Id="rId218" Type="http://schemas.openxmlformats.org/officeDocument/2006/relationships/oleObject" Target="embeddings/oleObject54.bin"/><Relationship Id="rId217" Type="http://schemas.openxmlformats.org/officeDocument/2006/relationships/oleObject" Target="embeddings/oleObject53.bin"/><Relationship Id="rId216" Type="http://schemas.openxmlformats.org/officeDocument/2006/relationships/oleObject" Target="embeddings/oleObject52.bin"/><Relationship Id="rId215" Type="http://schemas.openxmlformats.org/officeDocument/2006/relationships/oleObject" Target="embeddings/oleObject51.bin"/><Relationship Id="rId214" Type="http://schemas.openxmlformats.org/officeDocument/2006/relationships/oleObject" Target="embeddings/oleObject50.bin"/><Relationship Id="rId213" Type="http://schemas.openxmlformats.org/officeDocument/2006/relationships/oleObject" Target="embeddings/oleObject49.bin"/><Relationship Id="rId212" Type="http://schemas.openxmlformats.org/officeDocument/2006/relationships/oleObject" Target="embeddings/oleObject48.bin"/><Relationship Id="rId211" Type="http://schemas.openxmlformats.org/officeDocument/2006/relationships/oleObject" Target="embeddings/oleObject47.bin"/><Relationship Id="rId210" Type="http://schemas.openxmlformats.org/officeDocument/2006/relationships/oleObject" Target="embeddings/oleObject46.bin"/><Relationship Id="rId21" Type="http://schemas.openxmlformats.org/officeDocument/2006/relationships/footer" Target="footer10.xml"/><Relationship Id="rId209" Type="http://schemas.openxmlformats.org/officeDocument/2006/relationships/oleObject" Target="embeddings/oleObject45.bin"/><Relationship Id="rId208" Type="http://schemas.openxmlformats.org/officeDocument/2006/relationships/oleObject" Target="embeddings/oleObject44.bin"/><Relationship Id="rId207" Type="http://schemas.openxmlformats.org/officeDocument/2006/relationships/oleObject" Target="embeddings/oleObject43.bin"/><Relationship Id="rId206" Type="http://schemas.openxmlformats.org/officeDocument/2006/relationships/oleObject" Target="embeddings/oleObject42.bin"/><Relationship Id="rId205" Type="http://schemas.openxmlformats.org/officeDocument/2006/relationships/oleObject" Target="embeddings/oleObject41.bin"/><Relationship Id="rId204" Type="http://schemas.openxmlformats.org/officeDocument/2006/relationships/image" Target="media/image132.wmf"/><Relationship Id="rId203" Type="http://schemas.openxmlformats.org/officeDocument/2006/relationships/oleObject" Target="embeddings/oleObject40.bin"/><Relationship Id="rId202" Type="http://schemas.openxmlformats.org/officeDocument/2006/relationships/image" Target="media/image131.wmf"/><Relationship Id="rId201" Type="http://schemas.openxmlformats.org/officeDocument/2006/relationships/oleObject" Target="embeddings/oleObject39.bin"/><Relationship Id="rId200" Type="http://schemas.openxmlformats.org/officeDocument/2006/relationships/image" Target="media/image130.wmf"/><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oleObject" Target="embeddings/oleObject38.bin"/><Relationship Id="rId198" Type="http://schemas.openxmlformats.org/officeDocument/2006/relationships/image" Target="media/image129.wmf"/><Relationship Id="rId197" Type="http://schemas.openxmlformats.org/officeDocument/2006/relationships/oleObject" Target="embeddings/oleObject37.bin"/><Relationship Id="rId196" Type="http://schemas.openxmlformats.org/officeDocument/2006/relationships/image" Target="media/image128.png"/><Relationship Id="rId195" Type="http://schemas.openxmlformats.org/officeDocument/2006/relationships/image" Target="media/image127.emf"/><Relationship Id="rId194" Type="http://schemas.openxmlformats.org/officeDocument/2006/relationships/image" Target="media/image126.png"/><Relationship Id="rId193" Type="http://schemas.openxmlformats.org/officeDocument/2006/relationships/image" Target="media/image125.png"/><Relationship Id="rId192" Type="http://schemas.openxmlformats.org/officeDocument/2006/relationships/image" Target="media/image124.png"/><Relationship Id="rId191" Type="http://schemas.openxmlformats.org/officeDocument/2006/relationships/image" Target="media/image123.png"/><Relationship Id="rId190" Type="http://schemas.openxmlformats.org/officeDocument/2006/relationships/image" Target="media/image122.png"/><Relationship Id="rId19" Type="http://schemas.openxmlformats.org/officeDocument/2006/relationships/footer" Target="footer8.xml"/><Relationship Id="rId189" Type="http://schemas.openxmlformats.org/officeDocument/2006/relationships/image" Target="media/image121.png"/><Relationship Id="rId188" Type="http://schemas.openxmlformats.org/officeDocument/2006/relationships/image" Target="media/image120.png"/><Relationship Id="rId187" Type="http://schemas.openxmlformats.org/officeDocument/2006/relationships/image" Target="media/image119.png"/><Relationship Id="rId186" Type="http://schemas.openxmlformats.org/officeDocument/2006/relationships/image" Target="media/image118.png"/><Relationship Id="rId185" Type="http://schemas.openxmlformats.org/officeDocument/2006/relationships/image" Target="media/image117.png"/><Relationship Id="rId184" Type="http://schemas.openxmlformats.org/officeDocument/2006/relationships/image" Target="media/image116.wmf"/><Relationship Id="rId183" Type="http://schemas.openxmlformats.org/officeDocument/2006/relationships/oleObject" Target="embeddings/oleObject36.bin"/><Relationship Id="rId182" Type="http://schemas.openxmlformats.org/officeDocument/2006/relationships/image" Target="media/image115.png"/><Relationship Id="rId181" Type="http://schemas.openxmlformats.org/officeDocument/2006/relationships/image" Target="media/image114.png"/><Relationship Id="rId180" Type="http://schemas.openxmlformats.org/officeDocument/2006/relationships/image" Target="media/image113.png"/><Relationship Id="rId18" Type="http://schemas.openxmlformats.org/officeDocument/2006/relationships/footer" Target="footer7.xml"/><Relationship Id="rId179" Type="http://schemas.openxmlformats.org/officeDocument/2006/relationships/image" Target="media/image112.wmf"/><Relationship Id="rId178" Type="http://schemas.openxmlformats.org/officeDocument/2006/relationships/oleObject" Target="embeddings/oleObject35.bin"/><Relationship Id="rId177" Type="http://schemas.openxmlformats.org/officeDocument/2006/relationships/image" Target="media/image111.wmf"/><Relationship Id="rId176" Type="http://schemas.openxmlformats.org/officeDocument/2006/relationships/oleObject" Target="embeddings/oleObject34.bin"/><Relationship Id="rId175" Type="http://schemas.openxmlformats.org/officeDocument/2006/relationships/image" Target="media/image110.wmf"/><Relationship Id="rId174" Type="http://schemas.openxmlformats.org/officeDocument/2006/relationships/oleObject" Target="embeddings/oleObject33.bin"/><Relationship Id="rId173" Type="http://schemas.openxmlformats.org/officeDocument/2006/relationships/image" Target="media/image109.wmf"/><Relationship Id="rId172" Type="http://schemas.openxmlformats.org/officeDocument/2006/relationships/oleObject" Target="embeddings/oleObject32.bin"/><Relationship Id="rId171" Type="http://schemas.openxmlformats.org/officeDocument/2006/relationships/image" Target="media/image108.wmf"/><Relationship Id="rId170" Type="http://schemas.openxmlformats.org/officeDocument/2006/relationships/oleObject" Target="embeddings/oleObject31.bin"/><Relationship Id="rId17" Type="http://schemas.openxmlformats.org/officeDocument/2006/relationships/header" Target="header7.xml"/><Relationship Id="rId169" Type="http://schemas.openxmlformats.org/officeDocument/2006/relationships/image" Target="media/image107.wmf"/><Relationship Id="rId168" Type="http://schemas.openxmlformats.org/officeDocument/2006/relationships/oleObject" Target="embeddings/oleObject30.bin"/><Relationship Id="rId167" Type="http://schemas.openxmlformats.org/officeDocument/2006/relationships/image" Target="media/image106.wmf"/><Relationship Id="rId166" Type="http://schemas.openxmlformats.org/officeDocument/2006/relationships/oleObject" Target="embeddings/oleObject29.bin"/><Relationship Id="rId165" Type="http://schemas.openxmlformats.org/officeDocument/2006/relationships/image" Target="media/image105.wmf"/><Relationship Id="rId164" Type="http://schemas.openxmlformats.org/officeDocument/2006/relationships/oleObject" Target="embeddings/oleObject28.bin"/><Relationship Id="rId163" Type="http://schemas.openxmlformats.org/officeDocument/2006/relationships/image" Target="media/image104.wmf"/><Relationship Id="rId162" Type="http://schemas.openxmlformats.org/officeDocument/2006/relationships/oleObject" Target="embeddings/oleObject27.bin"/><Relationship Id="rId161" Type="http://schemas.openxmlformats.org/officeDocument/2006/relationships/image" Target="media/image103.wmf"/><Relationship Id="rId160" Type="http://schemas.openxmlformats.org/officeDocument/2006/relationships/oleObject" Target="embeddings/oleObject26.bin"/><Relationship Id="rId16" Type="http://schemas.openxmlformats.org/officeDocument/2006/relationships/footer" Target="footer6.xml"/><Relationship Id="rId159" Type="http://schemas.openxmlformats.org/officeDocument/2006/relationships/image" Target="media/image102.wmf"/><Relationship Id="rId158" Type="http://schemas.openxmlformats.org/officeDocument/2006/relationships/oleObject" Target="embeddings/oleObject25.bin"/><Relationship Id="rId157" Type="http://schemas.openxmlformats.org/officeDocument/2006/relationships/image" Target="media/image101.wmf"/><Relationship Id="rId156" Type="http://schemas.openxmlformats.org/officeDocument/2006/relationships/oleObject" Target="embeddings/oleObject24.bin"/><Relationship Id="rId155" Type="http://schemas.openxmlformats.org/officeDocument/2006/relationships/image" Target="media/image100.wmf"/><Relationship Id="rId154" Type="http://schemas.openxmlformats.org/officeDocument/2006/relationships/oleObject" Target="embeddings/oleObject23.bin"/><Relationship Id="rId153" Type="http://schemas.openxmlformats.org/officeDocument/2006/relationships/image" Target="media/image99.wmf"/><Relationship Id="rId152" Type="http://schemas.openxmlformats.org/officeDocument/2006/relationships/oleObject" Target="embeddings/oleObject22.bin"/><Relationship Id="rId151" Type="http://schemas.openxmlformats.org/officeDocument/2006/relationships/image" Target="media/image98.wmf"/><Relationship Id="rId150" Type="http://schemas.openxmlformats.org/officeDocument/2006/relationships/oleObject" Target="embeddings/oleObject21.bin"/><Relationship Id="rId15" Type="http://schemas.openxmlformats.org/officeDocument/2006/relationships/header" Target="header6.xml"/><Relationship Id="rId149" Type="http://schemas.openxmlformats.org/officeDocument/2006/relationships/image" Target="media/image97.wmf"/><Relationship Id="rId148" Type="http://schemas.openxmlformats.org/officeDocument/2006/relationships/oleObject" Target="embeddings/oleObject20.bin"/><Relationship Id="rId147" Type="http://schemas.openxmlformats.org/officeDocument/2006/relationships/image" Target="media/image96.wmf"/><Relationship Id="rId146" Type="http://schemas.openxmlformats.org/officeDocument/2006/relationships/oleObject" Target="embeddings/oleObject19.bin"/><Relationship Id="rId145" Type="http://schemas.openxmlformats.org/officeDocument/2006/relationships/image" Target="media/image95.wmf"/><Relationship Id="rId144" Type="http://schemas.openxmlformats.org/officeDocument/2006/relationships/oleObject" Target="embeddings/oleObject18.bin"/><Relationship Id="rId143" Type="http://schemas.openxmlformats.org/officeDocument/2006/relationships/image" Target="media/image94.wmf"/><Relationship Id="rId142" Type="http://schemas.openxmlformats.org/officeDocument/2006/relationships/oleObject" Target="embeddings/oleObject17.bin"/><Relationship Id="rId141" Type="http://schemas.openxmlformats.org/officeDocument/2006/relationships/image" Target="media/image93.wmf"/><Relationship Id="rId140" Type="http://schemas.openxmlformats.org/officeDocument/2006/relationships/oleObject" Target="embeddings/oleObject16.bin"/><Relationship Id="rId14" Type="http://schemas.openxmlformats.org/officeDocument/2006/relationships/footer" Target="footer5.xml"/><Relationship Id="rId139" Type="http://schemas.openxmlformats.org/officeDocument/2006/relationships/image" Target="media/image92.wmf"/><Relationship Id="rId138" Type="http://schemas.openxmlformats.org/officeDocument/2006/relationships/oleObject" Target="embeddings/oleObject15.bin"/><Relationship Id="rId137" Type="http://schemas.openxmlformats.org/officeDocument/2006/relationships/image" Target="media/image91.wmf"/><Relationship Id="rId136" Type="http://schemas.openxmlformats.org/officeDocument/2006/relationships/oleObject" Target="embeddings/oleObject14.bin"/><Relationship Id="rId135" Type="http://schemas.openxmlformats.org/officeDocument/2006/relationships/image" Target="media/image90.wmf"/><Relationship Id="rId134" Type="http://schemas.openxmlformats.org/officeDocument/2006/relationships/oleObject" Target="embeddings/oleObject13.bin"/><Relationship Id="rId133" Type="http://schemas.openxmlformats.org/officeDocument/2006/relationships/image" Target="media/image89.wmf"/><Relationship Id="rId132" Type="http://schemas.openxmlformats.org/officeDocument/2006/relationships/oleObject" Target="embeddings/oleObject12.bin"/><Relationship Id="rId131" Type="http://schemas.openxmlformats.org/officeDocument/2006/relationships/image" Target="media/image88.wmf"/><Relationship Id="rId130" Type="http://schemas.openxmlformats.org/officeDocument/2006/relationships/oleObject" Target="embeddings/oleObject11.bin"/><Relationship Id="rId13" Type="http://schemas.openxmlformats.org/officeDocument/2006/relationships/header" Target="header5.xml"/><Relationship Id="rId129" Type="http://schemas.openxmlformats.org/officeDocument/2006/relationships/image" Target="media/image87.png"/><Relationship Id="rId128" Type="http://schemas.openxmlformats.org/officeDocument/2006/relationships/image" Target="media/image86.png"/><Relationship Id="rId127" Type="http://schemas.openxmlformats.org/officeDocument/2006/relationships/image" Target="media/image85.png"/><Relationship Id="rId126" Type="http://schemas.openxmlformats.org/officeDocument/2006/relationships/image" Target="media/image84.png"/><Relationship Id="rId125" Type="http://schemas.openxmlformats.org/officeDocument/2006/relationships/image" Target="media/image83.png"/><Relationship Id="rId124" Type="http://schemas.openxmlformats.org/officeDocument/2006/relationships/image" Target="media/image82.png"/><Relationship Id="rId123" Type="http://schemas.openxmlformats.org/officeDocument/2006/relationships/image" Target="media/image81.png"/><Relationship Id="rId122" Type="http://schemas.openxmlformats.org/officeDocument/2006/relationships/image" Target="media/image80.png"/><Relationship Id="rId121" Type="http://schemas.openxmlformats.org/officeDocument/2006/relationships/image" Target="media/image79.png"/><Relationship Id="rId120" Type="http://schemas.openxmlformats.org/officeDocument/2006/relationships/image" Target="media/image78.png"/><Relationship Id="rId12" Type="http://schemas.openxmlformats.org/officeDocument/2006/relationships/footer" Target="footer4.xml"/><Relationship Id="rId119" Type="http://schemas.openxmlformats.org/officeDocument/2006/relationships/image" Target="media/image77.png"/><Relationship Id="rId118" Type="http://schemas.openxmlformats.org/officeDocument/2006/relationships/image" Target="media/image76.png"/><Relationship Id="rId117" Type="http://schemas.openxmlformats.org/officeDocument/2006/relationships/image" Target="media/image75.jpeg"/><Relationship Id="rId116" Type="http://schemas.openxmlformats.org/officeDocument/2006/relationships/image" Target="media/image74.jpeg"/><Relationship Id="rId115" Type="http://schemas.openxmlformats.org/officeDocument/2006/relationships/image" Target="media/image73.png"/><Relationship Id="rId114" Type="http://schemas.openxmlformats.org/officeDocument/2006/relationships/image" Target="media/image72.png"/><Relationship Id="rId113" Type="http://schemas.openxmlformats.org/officeDocument/2006/relationships/image" Target="media/image71.wmf"/><Relationship Id="rId112" Type="http://schemas.openxmlformats.org/officeDocument/2006/relationships/oleObject" Target="embeddings/oleObject10.bin"/><Relationship Id="rId111" Type="http://schemas.openxmlformats.org/officeDocument/2006/relationships/image" Target="media/image70.wmf"/><Relationship Id="rId110" Type="http://schemas.openxmlformats.org/officeDocument/2006/relationships/oleObject" Target="embeddings/oleObject9.bin"/><Relationship Id="rId11" Type="http://schemas.openxmlformats.org/officeDocument/2006/relationships/header" Target="header4.xml"/><Relationship Id="rId109" Type="http://schemas.openxmlformats.org/officeDocument/2006/relationships/image" Target="media/image69.wmf"/><Relationship Id="rId108" Type="http://schemas.openxmlformats.org/officeDocument/2006/relationships/oleObject" Target="embeddings/oleObject8.bin"/><Relationship Id="rId107" Type="http://schemas.openxmlformats.org/officeDocument/2006/relationships/image" Target="media/image68.wmf"/><Relationship Id="rId106" Type="http://schemas.openxmlformats.org/officeDocument/2006/relationships/image" Target="media/image67.png"/><Relationship Id="rId105" Type="http://schemas.openxmlformats.org/officeDocument/2006/relationships/image" Target="media/image66.png"/><Relationship Id="rId104" Type="http://schemas.openxmlformats.org/officeDocument/2006/relationships/image" Target="media/image65.png"/><Relationship Id="rId103" Type="http://schemas.openxmlformats.org/officeDocument/2006/relationships/image" Target="media/image64.png"/><Relationship Id="rId102" Type="http://schemas.openxmlformats.org/officeDocument/2006/relationships/image" Target="media/image63.png"/><Relationship Id="rId101" Type="http://schemas.openxmlformats.org/officeDocument/2006/relationships/image" Target="media/image62.png"/><Relationship Id="rId100" Type="http://schemas.openxmlformats.org/officeDocument/2006/relationships/image" Target="media/image61.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1470F84-1F96-4515-B914-443CC961C80F}">
  <ds:schemaRefs/>
</ds:datastoreItem>
</file>

<file path=docProps/app.xml><?xml version="1.0" encoding="utf-8"?>
<Properties xmlns="http://schemas.openxmlformats.org/officeDocument/2006/extended-properties" xmlns:vt="http://schemas.openxmlformats.org/officeDocument/2006/docPropsVTypes">
  <Template>Normal</Template>
  <Pages>375</Pages>
  <Words>151375</Words>
  <Characters>179994</Characters>
  <Lines>383</Lines>
  <Paragraphs>314</Paragraphs>
  <TotalTime>23</TotalTime>
  <ScaleCrop>false</ScaleCrop>
  <LinksUpToDate>false</LinksUpToDate>
  <CharactersWithSpaces>180789</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2019-05-15T08:56:00Z</dcterms:created>
  <dc:creator>will1416267727</dc:creator>
  <cp:lastModifiedBy>will1416267727</cp:lastModifiedBy>
  <cp:lastPrinted>2022-10-24T03:17:00Z</cp:lastPrinted>
  <dcterms:modified xsi:type="dcterms:W3CDTF">2022-10-25T02:05:21Z</dcterms:modified>
  <cp:revision>319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B4BE16D8D14E4BDE824017CF34CEF866</vt:lpwstr>
  </property>
</Properties>
</file>