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18"/>
        </w:rPr>
      </w:pPr>
    </w:p>
    <w:p>
      <w:pPr>
        <w:jc w:val="center"/>
        <w:rPr>
          <w:rFonts w:hint="eastAsia" w:ascii="仿宋_GB2312" w:eastAsia="仿宋_GB2312"/>
          <w:sz w:val="18"/>
        </w:rPr>
      </w:pPr>
    </w:p>
    <w:p>
      <w:pPr>
        <w:jc w:val="center"/>
        <w:rPr>
          <w:rFonts w:ascii="仿宋_GB2312" w:eastAsia="仿宋_GB2312"/>
          <w:sz w:val="18"/>
        </w:rPr>
      </w:pPr>
    </w:p>
    <w:p>
      <w:pPr>
        <w:jc w:val="center"/>
        <w:rPr>
          <w:rFonts w:hint="eastAsia" w:ascii="仿宋_GB2312" w:eastAsia="仿宋_GB2312"/>
          <w:sz w:val="18"/>
        </w:rPr>
      </w:pPr>
    </w:p>
    <w:p>
      <w:pPr>
        <w:jc w:val="center"/>
        <w:rPr>
          <w:rFonts w:hint="eastAsia" w:ascii="仿宋_GB2312" w:eastAsia="仿宋_GB2312"/>
          <w:sz w:val="18"/>
        </w:rPr>
      </w:pPr>
    </w:p>
    <w:p>
      <w:pPr>
        <w:jc w:val="center"/>
        <w:rPr>
          <w:rFonts w:ascii="仿宋_GB2312" w:eastAsia="仿宋_GB2312"/>
          <w:sz w:val="18"/>
        </w:rPr>
      </w:pPr>
    </w:p>
    <w:p>
      <w:pPr>
        <w:jc w:val="center"/>
        <w:rPr>
          <w:rFonts w:hint="eastAsia" w:ascii="仿宋_GB2312" w:eastAsia="仿宋_GB2312"/>
          <w:sz w:val="18"/>
        </w:rPr>
      </w:pPr>
    </w:p>
    <w:p>
      <w:pPr>
        <w:pStyle w:val="2"/>
        <w:rPr>
          <w:rFonts w:hint="eastAsia"/>
        </w:rPr>
      </w:pPr>
      <w:bookmarkStart w:id="0" w:name="_GoBack"/>
      <w:bookmarkEnd w:id="0"/>
    </w:p>
    <w:p>
      <w:pPr>
        <w:pStyle w:val="2"/>
        <w:rPr>
          <w:rFonts w:hint="eastAsia" w:ascii="仿宋_GB2312" w:eastAsia="仿宋_GB2312"/>
          <w:sz w:val="18"/>
        </w:rPr>
      </w:pPr>
    </w:p>
    <w:p>
      <w:pPr>
        <w:rPr>
          <w:rFonts w:hint="eastAsia"/>
        </w:rPr>
      </w:pPr>
    </w:p>
    <w:p>
      <w:pPr>
        <w:jc w:val="center"/>
        <w:rPr>
          <w:rFonts w:hint="eastAsia" w:ascii="仿宋_GB2312" w:eastAsia="仿宋_GB2312"/>
          <w:sz w:val="18"/>
        </w:rPr>
      </w:pPr>
    </w:p>
    <w:p>
      <w:pPr>
        <w:rPr>
          <w:rFonts w:hint="eastAsia" w:ascii="仿宋_GB2312" w:eastAsia="仿宋_GB2312"/>
          <w:sz w:val="18"/>
        </w:rPr>
      </w:pPr>
    </w:p>
    <w:p>
      <w:pPr>
        <w:spacing w:line="400" w:lineRule="exact"/>
        <w:ind w:firstLine="2240" w:firstLineChars="700"/>
        <w:jc w:val="both"/>
        <w:rPr>
          <w:rFonts w:hint="eastAsia" w:ascii="仿宋_GB2312" w:eastAsia="仿宋_GB2312"/>
          <w:color w:val="000000"/>
          <w:sz w:val="32"/>
          <w:lang w:eastAsia="zh-CN"/>
        </w:rPr>
      </w:pPr>
      <w:r>
        <w:rPr>
          <w:rFonts w:hint="eastAsia" w:ascii="仿宋_GB2312" w:eastAsia="仿宋_GB2312"/>
          <w:sz w:val="32"/>
        </w:rPr>
        <w:t>鞍行审批复</w:t>
      </w:r>
      <w:r>
        <w:rPr>
          <w:rFonts w:ascii="仿宋_GB2312" w:eastAsia="仿宋_GB2312"/>
          <w:sz w:val="32"/>
        </w:rPr>
        <w:t>环</w:t>
      </w:r>
      <w:r>
        <w:rPr>
          <w:rFonts w:hint="eastAsia" w:ascii="仿宋_GB2312" w:eastAsia="仿宋_GB2312"/>
          <w:color w:val="000000"/>
          <w:sz w:val="32"/>
        </w:rPr>
        <w:t>〔20</w:t>
      </w:r>
      <w:r>
        <w:rPr>
          <w:rFonts w:hint="eastAsia" w:ascii="仿宋_GB2312" w:eastAsia="仿宋_GB2312"/>
          <w:color w:val="000000"/>
          <w:sz w:val="32"/>
          <w:lang w:val="en-US" w:eastAsia="zh-CN"/>
        </w:rPr>
        <w:t>22</w:t>
      </w:r>
      <w:r>
        <w:rPr>
          <w:rFonts w:hint="eastAsia" w:ascii="仿宋_GB2312" w:eastAsia="仿宋_GB2312"/>
          <w:color w:val="000000"/>
          <w:sz w:val="32"/>
        </w:rPr>
        <w:t>〕</w:t>
      </w:r>
      <w:r>
        <w:rPr>
          <w:rFonts w:hint="eastAsia" w:ascii="仿宋_GB2312" w:eastAsia="仿宋_GB2312"/>
          <w:color w:val="000000"/>
          <w:sz w:val="32"/>
          <w:lang w:val="en-US" w:eastAsia="zh-CN"/>
        </w:rPr>
        <w:t>22</w:t>
      </w:r>
      <w:r>
        <w:rPr>
          <w:rFonts w:hint="eastAsia" w:ascii="仿宋_GB2312" w:eastAsia="仿宋_GB2312"/>
          <w:color w:val="000000"/>
          <w:sz w:val="32"/>
        </w:rPr>
        <w:t>号</w:t>
      </w:r>
    </w:p>
    <w:p>
      <w:pPr>
        <w:spacing w:line="380" w:lineRule="exact"/>
        <w:rPr>
          <w:rFonts w:hint="eastAsia"/>
        </w:rPr>
      </w:pPr>
    </w:p>
    <w:p>
      <w:pPr>
        <w:spacing w:line="380" w:lineRule="exact"/>
        <w:jc w:val="center"/>
        <w:rPr>
          <w:rFonts w:hint="eastAsia"/>
          <w:b/>
          <w:bCs/>
          <w:sz w:val="36"/>
          <w:szCs w:val="36"/>
        </w:rPr>
      </w:pPr>
    </w:p>
    <w:p>
      <w:pPr>
        <w:ind w:left="1447" w:leftChars="173" w:hanging="1084" w:hangingChars="300"/>
        <w:rPr>
          <w:rFonts w:hint="eastAsia"/>
          <w:b/>
          <w:bCs/>
          <w:sz w:val="36"/>
          <w:szCs w:val="36"/>
        </w:rPr>
      </w:pPr>
      <w:r>
        <w:rPr>
          <w:rFonts w:hint="eastAsia"/>
          <w:b/>
          <w:bCs/>
          <w:sz w:val="36"/>
          <w:szCs w:val="36"/>
        </w:rPr>
        <w:t>关于辽宁嘉德矿业科技有限公司韭菜沟方解石矿</w:t>
      </w:r>
    </w:p>
    <w:p>
      <w:pPr>
        <w:ind w:left="1441" w:leftChars="686" w:firstLine="361" w:firstLineChars="100"/>
        <w:rPr>
          <w:rFonts w:hint="eastAsia"/>
          <w:b/>
          <w:bCs/>
          <w:sz w:val="36"/>
          <w:szCs w:val="36"/>
        </w:rPr>
      </w:pPr>
      <w:r>
        <w:rPr>
          <w:rFonts w:hint="eastAsia"/>
          <w:b/>
          <w:bCs/>
          <w:sz w:val="36"/>
          <w:szCs w:val="36"/>
        </w:rPr>
        <w:t>建设项目环境影响报告</w:t>
      </w:r>
      <w:r>
        <w:rPr>
          <w:rFonts w:hint="eastAsia"/>
          <w:b/>
          <w:bCs/>
          <w:sz w:val="36"/>
          <w:szCs w:val="36"/>
          <w:lang w:eastAsia="zh-CN"/>
        </w:rPr>
        <w:t>书</w:t>
      </w:r>
      <w:r>
        <w:rPr>
          <w:rFonts w:hint="eastAsia"/>
          <w:b/>
          <w:bCs/>
          <w:sz w:val="36"/>
          <w:szCs w:val="36"/>
        </w:rPr>
        <w:t>的批复</w:t>
      </w:r>
    </w:p>
    <w:p>
      <w:pPr>
        <w:spacing w:line="380" w:lineRule="exact"/>
        <w:jc w:val="center"/>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辽宁嘉德矿业科技有限公司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你单位报送的</w:t>
      </w:r>
      <w:r>
        <w:rPr>
          <w:rFonts w:hint="eastAsia" w:ascii="仿宋_GB2312" w:hAnsi="仿宋_GB2312" w:eastAsia="仿宋_GB2312" w:cs="仿宋_GB2312"/>
          <w:sz w:val="32"/>
          <w:szCs w:val="32"/>
          <w:lang w:eastAsia="zh-CN"/>
        </w:rPr>
        <w:t>《辽宁嘉德矿业科技有限公司韭菜沟方解石矿建设</w:t>
      </w:r>
      <w:r>
        <w:rPr>
          <w:rFonts w:hint="eastAsia" w:ascii="仿宋_GB2312" w:hAnsi="仿宋_GB2312" w:eastAsia="仿宋_GB2312" w:cs="仿宋_GB2312"/>
          <w:sz w:val="32"/>
          <w:szCs w:val="32"/>
        </w:rPr>
        <w:t>项目环境影响报告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》（以下简称《报告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》）收悉。经研究，现对《报告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》编制规范，内容较全面，重点较突出，评价标准、评价因子等确定合理，污染防治对策建议可行，主要评价结论可信，可作为项目建设和环境管理的依据。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项目拟建地点</w:t>
      </w:r>
      <w:r>
        <w:rPr>
          <w:rFonts w:hint="eastAsia" w:ascii="仿宋_GB2312" w:hAnsi="仿宋_GB2312" w:eastAsia="仿宋_GB2312" w:cs="仿宋_GB2312"/>
          <w:sz w:val="32"/>
          <w:szCs w:val="32"/>
          <w:lang w:eastAsia="zh-CN"/>
        </w:rPr>
        <w:t>位于岫岩县韭菜沟乡朱家堡子村，矿区面积0.3739km</w:t>
      </w:r>
      <w:r>
        <w:rPr>
          <w:rFonts w:hint="eastAsia" w:ascii="仿宋_GB2312" w:hAnsi="仿宋_GB2312" w:eastAsia="仿宋_GB2312" w:cs="仿宋_GB2312"/>
          <w:sz w:val="32"/>
          <w:szCs w:val="32"/>
          <w:vertAlign w:val="superscript"/>
          <w:lang w:eastAsia="zh-CN"/>
        </w:rPr>
        <w:t>2</w:t>
      </w:r>
      <w:r>
        <w:rPr>
          <w:rFonts w:hint="eastAsia" w:ascii="仿宋_GB2312" w:hAnsi="仿宋_GB2312" w:eastAsia="仿宋_GB2312" w:cs="仿宋_GB2312"/>
          <w:sz w:val="32"/>
          <w:szCs w:val="32"/>
          <w:lang w:eastAsia="zh-CN"/>
        </w:rPr>
        <w:t>，开采标高415m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260m，</w:t>
      </w:r>
      <w:r>
        <w:rPr>
          <w:rFonts w:hint="eastAsia" w:ascii="仿宋_GB2312" w:hAnsi="仿宋_GB2312" w:eastAsia="仿宋_GB2312" w:cs="仿宋_GB2312"/>
          <w:sz w:val="32"/>
          <w:szCs w:val="32"/>
          <w:lang w:val="en-US" w:eastAsia="zh-CN"/>
        </w:rPr>
        <w:t xml:space="preserve">开采方式为地下开采，产品为方解石原矿石，开采能力10万吨/年，设计服务年限14.625年。总投资699.7万元，环保投资26万元。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》的环评结论及技术</w:t>
      </w:r>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sz w:val="32"/>
          <w:szCs w:val="32"/>
        </w:rPr>
        <w:t>意见，认为在落实环评文件提出的各项污染防治措施，确保污染物达标排放的前提下，从环保角度，同意该项目建设。项目建设与运行管理中应重点做好以下工作：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应按有资质的设计部门制定的开采方案采掘。项目建设和生产过程中要高度重视生态环境保护和恢复工作，优化开采方案，尽量少破坏原地貌；采取有效措施防治滑坡、泥石流等地质灾害；制定分阶段生态恢复治理方案，严格按照时间节点落实复垦，废石临时堆场在基建期结束后立即进行绿化恢复；地下掘进产生的废石回填采空区。整体开采结束后应严格按照《矿山生态环境保护与恢复技术规范（试行）》和生态恢复治理方案对矿山全面恢复治理，土地复垦率达到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强化扬尘防治措施，井下凿岩穿孔采用湿式作业；矿石倒装场全封闭设计；废石临时堆场设置防尘网，矿岩铲装、卸车过程中产生的扬尘采取洒水抑尘；运输车辆加盖篷布，矿区道路和途经敏感点的路线进行硬化，道路两侧及边坡实施绿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项目运营期产生的矿井涌水排入井下水仓，由水泵抽取到地表高位水池内，沉淀后回用于各作业面的洒水抑尘及井下凿岩，不外排；废石临时堆场内建设淋滤水收集池对雨季产生的淋滤水进行收集，回用于废石临时堆场的洒水抑尘；生活污水进入防渗旱厕，定期清掏，不外排。按环评要求落实分区防渗措施，保护地下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于产噪设备优选低噪声设备采取有效的减振、消声、隔声措施，确保厂界噪声达到《工业企业厂界环境噪声排放标准》（GB12348-2008）1类标准要求。矿石外运时禁止夜间运输，运输车辆途经敏感区域禁止鸣笛并且减速慢行。采矿及掘进爆破采用微差爆破，并严格控制实施爆破时段，严格控制爆破装药量，避免噪声、振动扰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5、项目运营期不设废石场，废石不出坑，直接回填井下；设备检修维护产生的废润滑油及废油桶等危险废物按照国家相关规范要求，设置临时贮存场所，定期送有资质单位处置，并办理相关手续。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严格落实《报告书》提出的环境风险防范和应急措施，制定企业突发环境事件应急预案，报有关部门备案，一旦发生环境风险事故，应立即启动应急预案，并与政府相关应急预案相衔接和联动。防范环境风险，确保环境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建设应严格执行配套建设的环境保护设施与主体工程同时设计、同时施工、同时使用的环保“三同时”制度。项目竣工后，建设单位须按国家相关规定申领排污许可证，并按规定程序组织环保设施竣工验收，验收合格后，项目方可正式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五、由市</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环境局确定该项目环境保护监督检查责任单位。</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p>
    <w:p>
      <w:pPr>
        <w:tabs>
          <w:tab w:val="left" w:pos="900"/>
        </w:tabs>
        <w:spacing w:line="380" w:lineRule="exact"/>
        <w:ind w:firstLine="4480" w:firstLineChars="1400"/>
        <w:rPr>
          <w:rFonts w:hint="eastAsia" w:ascii="仿宋_GB2312" w:hAnsi="仿宋_GB2312" w:eastAsia="仿宋_GB2312"/>
          <w:sz w:val="32"/>
          <w:szCs w:val="32"/>
        </w:rPr>
      </w:pPr>
      <w:r>
        <w:rPr>
          <w:rFonts w:hint="eastAsia" w:ascii="仿宋_GB2312" w:hAnsi="仿宋_GB2312" w:eastAsia="仿宋_GB2312"/>
          <w:sz w:val="32"/>
          <w:szCs w:val="32"/>
        </w:rPr>
        <w:t>二○二</w:t>
      </w:r>
      <w:r>
        <w:rPr>
          <w:rFonts w:hint="eastAsia" w:ascii="仿宋_GB2312" w:hAnsi="仿宋_GB2312" w:eastAsia="仿宋_GB2312"/>
          <w:sz w:val="32"/>
          <w:szCs w:val="32"/>
          <w:lang w:eastAsia="zh-CN"/>
        </w:rPr>
        <w:t>二</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五</w:t>
      </w:r>
      <w:r>
        <w:rPr>
          <w:rFonts w:hint="eastAsia" w:ascii="仿宋_GB2312" w:hAnsi="仿宋_GB2312" w:eastAsia="仿宋_GB2312"/>
          <w:sz w:val="32"/>
          <w:szCs w:val="32"/>
        </w:rPr>
        <w:t>月</w:t>
      </w:r>
      <w:r>
        <w:rPr>
          <w:rFonts w:hint="eastAsia" w:ascii="仿宋_GB2312" w:hAnsi="仿宋_GB2312" w:eastAsia="仿宋_GB2312"/>
          <w:sz w:val="32"/>
          <w:szCs w:val="32"/>
          <w:lang w:eastAsia="zh-CN"/>
        </w:rPr>
        <w:t>十</w:t>
      </w:r>
      <w:r>
        <w:rPr>
          <w:rFonts w:hint="eastAsia" w:ascii="仿宋_GB2312" w:hAnsi="仿宋_GB2312" w:eastAsia="仿宋_GB2312"/>
          <w:sz w:val="32"/>
          <w:szCs w:val="32"/>
          <w:lang w:val="en-US" w:eastAsia="zh-CN"/>
        </w:rPr>
        <w:t>一</w:t>
      </w:r>
      <w:r>
        <w:rPr>
          <w:rFonts w:hint="eastAsia" w:ascii="仿宋_GB2312" w:hAnsi="仿宋_GB2312" w:eastAsia="仿宋_GB2312"/>
          <w:sz w:val="32"/>
          <w:szCs w:val="32"/>
        </w:rPr>
        <w:t>日</w:t>
      </w:r>
    </w:p>
    <w:p>
      <w:pPr>
        <w:pBdr>
          <w:top w:val="single" w:color="auto" w:sz="6" w:space="1"/>
          <w:bottom w:val="single" w:color="auto" w:sz="6" w:space="0"/>
        </w:pBdr>
        <w:spacing w:line="380" w:lineRule="exact"/>
        <w:ind w:firstLine="179" w:firstLineChars="56"/>
        <w:rPr>
          <w:rFonts w:hint="eastAsia" w:ascii="仿宋_GB2312" w:eastAsia="仿宋_GB2312"/>
          <w:sz w:val="32"/>
        </w:rPr>
      </w:pPr>
      <w:r>
        <w:rPr>
          <w:rFonts w:hint="eastAsia" w:ascii="仿宋_GB2312" w:eastAsia="仿宋_GB2312"/>
          <w:sz w:val="32"/>
        </w:rPr>
        <w:t>抄送：沈阳嘉纳工程技术有限公司</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市</w:t>
      </w:r>
      <w:r>
        <w:rPr>
          <w:rFonts w:hint="eastAsia" w:ascii="仿宋_GB2312" w:hAnsi="仿宋_GB2312" w:eastAsia="仿宋_GB2312"/>
          <w:sz w:val="32"/>
          <w:szCs w:val="32"/>
          <w:lang w:eastAsia="zh-CN"/>
        </w:rPr>
        <w:t>生态</w:t>
      </w:r>
      <w:r>
        <w:rPr>
          <w:rFonts w:hint="eastAsia" w:ascii="仿宋_GB2312" w:hAnsi="仿宋_GB2312" w:eastAsia="仿宋_GB2312"/>
          <w:sz w:val="32"/>
          <w:szCs w:val="32"/>
        </w:rPr>
        <w:t>环境局</w:t>
      </w:r>
    </w:p>
    <w:p>
      <w:pPr>
        <w:spacing w:line="380" w:lineRule="exact"/>
        <w:ind w:firstLine="179" w:firstLineChars="56"/>
      </w:pPr>
      <w:r>
        <w:rPr>
          <w:rFonts w:hint="eastAsia" w:ascii="仿宋_GB2312" w:eastAsia="仿宋_GB2312"/>
          <w:sz w:val="32"/>
        </w:rPr>
        <w:t>鞍山市行政审批局               20</w:t>
      </w:r>
      <w:r>
        <w:rPr>
          <w:rFonts w:hint="eastAsia" w:ascii="仿宋_GB2312" w:eastAsia="仿宋_GB2312"/>
          <w:sz w:val="32"/>
          <w:lang w:val="en-US" w:eastAsia="zh-CN"/>
        </w:rPr>
        <w:t>22</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11</w:t>
      </w:r>
      <w:r>
        <w:rPr>
          <w:rFonts w:hint="eastAsia" w:ascii="仿宋_GB2312" w:eastAsia="仿宋_GB2312"/>
          <w:sz w:val="32"/>
        </w:rPr>
        <w:t>日印发</w:t>
      </w:r>
    </w:p>
    <w:sectPr>
      <w:footerReference r:id="rId3" w:type="default"/>
      <w:footerReference r:id="rId4" w:type="even"/>
      <w:pgSz w:w="11906" w:h="16838"/>
      <w:pgMar w:top="1440" w:right="1797" w:bottom="155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968F3"/>
    <w:rsid w:val="0CF03815"/>
    <w:rsid w:val="12566287"/>
    <w:rsid w:val="1F3C7EE5"/>
    <w:rsid w:val="1FEC546C"/>
    <w:rsid w:val="21756BD9"/>
    <w:rsid w:val="23FB3953"/>
    <w:rsid w:val="27046EF4"/>
    <w:rsid w:val="27CC777C"/>
    <w:rsid w:val="2A6357F6"/>
    <w:rsid w:val="2C946155"/>
    <w:rsid w:val="2DC4655E"/>
    <w:rsid w:val="2DF03F40"/>
    <w:rsid w:val="32400288"/>
    <w:rsid w:val="327D2D7A"/>
    <w:rsid w:val="32B24FAD"/>
    <w:rsid w:val="34AB0697"/>
    <w:rsid w:val="3A86664F"/>
    <w:rsid w:val="3C5369A2"/>
    <w:rsid w:val="3DB354E1"/>
    <w:rsid w:val="3E9E432D"/>
    <w:rsid w:val="418C571B"/>
    <w:rsid w:val="41E01D6D"/>
    <w:rsid w:val="4A975EDC"/>
    <w:rsid w:val="4BCC4B8A"/>
    <w:rsid w:val="4F7232DA"/>
    <w:rsid w:val="55F937C7"/>
    <w:rsid w:val="59AF0F03"/>
    <w:rsid w:val="5A5E14CF"/>
    <w:rsid w:val="5AEE6CF1"/>
    <w:rsid w:val="635325A3"/>
    <w:rsid w:val="642D7260"/>
    <w:rsid w:val="653D61ED"/>
    <w:rsid w:val="65F013CB"/>
    <w:rsid w:val="66E660C1"/>
    <w:rsid w:val="68080171"/>
    <w:rsid w:val="6F0A0A33"/>
    <w:rsid w:val="722C7D3D"/>
    <w:rsid w:val="74A12B83"/>
    <w:rsid w:val="75FF6788"/>
    <w:rsid w:val="76364B59"/>
    <w:rsid w:val="7C532305"/>
    <w:rsid w:val="7D9C693B"/>
    <w:rsid w:val="7F296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cs="Times New Roman"/>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sxzspj</Company>
  <Pages>1</Pages>
  <Words>0</Words>
  <Characters>0</Characters>
  <Lines>0</Lines>
  <Paragraphs>0</Paragraphs>
  <TotalTime>14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2022-03-22T08:16:00Z</dcterms:created>
  <dc:creator>zhaoxiaodong</dc:creator>
  <cp:lastModifiedBy>zhaoxiaodong</cp:lastModifiedBy>
  <cp:lastPrinted>2022-05-11T00:42:57Z</cp:lastPrinted>
  <dcterms:modified xsi:type="dcterms:W3CDTF">2022-05-11T00:43:46Z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