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638A02">
      <w:pPr>
        <w:pStyle w:val="5"/>
        <w:widowControl/>
        <w:shd w:val="clear" w:color="auto" w:fill="FFFFFF"/>
        <w:jc w:val="left"/>
        <w:rPr>
          <w:rFonts w:ascii="微软雅黑" w:hAnsi="微软雅黑" w:eastAsia="微软雅黑" w:cs="微软雅黑"/>
          <w:color w:val="000000"/>
        </w:rPr>
      </w:pPr>
      <w:r>
        <w:rPr>
          <w:rFonts w:hint="eastAsia" w:ascii="宋体" w:hAnsi="宋体" w:eastAsia="宋体" w:cs="宋体"/>
          <w:b/>
          <w:bCs/>
          <w:color w:val="000000"/>
          <w:sz w:val="32"/>
          <w:szCs w:val="32"/>
          <w:shd w:val="clear" w:color="auto" w:fill="FFFFFF"/>
        </w:rPr>
        <w:t>附件2</w:t>
      </w:r>
    </w:p>
    <w:p w14:paraId="3D1D69FD">
      <w:pPr>
        <w:pStyle w:val="5"/>
        <w:widowControl/>
        <w:shd w:val="clear" w:color="auto" w:fill="FFFFFF"/>
        <w:jc w:val="center"/>
        <w:outlineLvl w:val="0"/>
        <w:rPr>
          <w:rFonts w:hint="eastAsia" w:ascii="Times New Roman" w:hAnsi="Times New Roman" w:eastAsia="微软雅黑" w:cs="Times New Roman"/>
          <w:b/>
          <w:bCs/>
          <w:color w:val="000000"/>
          <w:sz w:val="36"/>
          <w:szCs w:val="36"/>
          <w:shd w:val="clear" w:color="auto" w:fill="FFFFFF"/>
        </w:rPr>
      </w:pPr>
    </w:p>
    <w:p w14:paraId="24F0F791">
      <w:pPr>
        <w:pStyle w:val="5"/>
        <w:widowControl/>
        <w:shd w:val="clear" w:color="auto" w:fill="FFFFFF"/>
        <w:jc w:val="center"/>
        <w:outlineLvl w:val="0"/>
        <w:rPr>
          <w:rFonts w:hint="eastAsia" w:ascii="Times New Roman" w:hAnsi="Times New Roman" w:eastAsia="微软雅黑" w:cs="Times New Roman"/>
          <w:b/>
          <w:bCs/>
          <w:color w:val="000000"/>
          <w:sz w:val="36"/>
          <w:szCs w:val="36"/>
          <w:shd w:val="clear" w:color="auto" w:fill="FFFFFF"/>
        </w:rPr>
      </w:pPr>
    </w:p>
    <w:p w14:paraId="3120A34A">
      <w:pPr>
        <w:pStyle w:val="5"/>
        <w:widowControl/>
        <w:shd w:val="clear" w:color="auto" w:fill="FFFFFF"/>
        <w:jc w:val="center"/>
        <w:outlineLvl w:val="0"/>
        <w:rPr>
          <w:rFonts w:hint="eastAsia" w:ascii="Times New Roman" w:hAnsi="Times New Roman" w:eastAsia="微软雅黑" w:cs="Times New Roman"/>
          <w:b/>
          <w:bCs/>
          <w:color w:val="000000"/>
          <w:sz w:val="36"/>
          <w:szCs w:val="36"/>
          <w:shd w:val="clear" w:color="auto" w:fill="FFFFFF"/>
        </w:rPr>
      </w:pPr>
    </w:p>
    <w:p w14:paraId="24FD5E31">
      <w:pPr>
        <w:pStyle w:val="5"/>
        <w:widowControl/>
        <w:shd w:val="clear" w:color="auto" w:fill="FFFFFF"/>
        <w:jc w:val="center"/>
        <w:outlineLvl w:val="0"/>
        <w:rPr>
          <w:rFonts w:hint="eastAsia" w:ascii="Times New Roman" w:hAnsi="Times New Roman" w:eastAsia="微软雅黑" w:cs="Times New Roman"/>
          <w:b/>
          <w:bCs/>
          <w:color w:val="000000"/>
          <w:sz w:val="36"/>
          <w:szCs w:val="36"/>
          <w:shd w:val="clear" w:color="auto" w:fill="FFFFFF"/>
        </w:rPr>
      </w:pPr>
    </w:p>
    <w:p w14:paraId="4B971E3F">
      <w:pPr>
        <w:pStyle w:val="5"/>
        <w:widowControl/>
        <w:shd w:val="clear" w:color="auto" w:fill="FFFFFF"/>
        <w:jc w:val="center"/>
        <w:outlineLvl w:val="0"/>
        <w:rPr>
          <w:rFonts w:hint="eastAsia" w:ascii="Times New Roman" w:hAnsi="Times New Roman" w:eastAsia="微软雅黑" w:cs="Times New Roman"/>
          <w:b/>
          <w:bCs/>
          <w:color w:val="000000"/>
          <w:sz w:val="36"/>
          <w:szCs w:val="36"/>
          <w:shd w:val="clear" w:color="auto" w:fill="FFFFFF"/>
        </w:rPr>
      </w:pPr>
    </w:p>
    <w:p w14:paraId="313D9255">
      <w:pPr>
        <w:pStyle w:val="5"/>
        <w:widowControl/>
        <w:shd w:val="clear" w:color="auto" w:fill="FFFFFF"/>
        <w:jc w:val="center"/>
        <w:outlineLvl w:val="0"/>
        <w:rPr>
          <w:rFonts w:hint="eastAsia" w:ascii="Times New Roman" w:hAnsi="Times New Roman" w:eastAsia="微软雅黑" w:cs="Times New Roman"/>
          <w:b/>
          <w:bCs/>
          <w:color w:val="000000"/>
          <w:sz w:val="36"/>
          <w:szCs w:val="36"/>
          <w:shd w:val="clear" w:color="auto" w:fill="FFFFFF"/>
        </w:rPr>
      </w:pPr>
    </w:p>
    <w:p w14:paraId="255F7B5F">
      <w:pPr>
        <w:pStyle w:val="5"/>
        <w:widowControl/>
        <w:shd w:val="clear" w:color="auto" w:fill="FFFFFF"/>
        <w:jc w:val="center"/>
        <w:outlineLvl w:val="0"/>
        <w:rPr>
          <w:rFonts w:hint="eastAsia" w:ascii="Times New Roman" w:hAnsi="Times New Roman" w:eastAsia="微软雅黑" w:cs="Times New Roman"/>
          <w:b/>
          <w:bCs/>
          <w:color w:val="000000"/>
          <w:sz w:val="36"/>
          <w:szCs w:val="36"/>
          <w:shd w:val="clear" w:color="auto" w:fill="FFFFFF"/>
        </w:rPr>
      </w:pPr>
    </w:p>
    <w:p w14:paraId="44F5F111">
      <w:pPr>
        <w:pStyle w:val="5"/>
        <w:widowControl/>
        <w:shd w:val="clear" w:color="auto" w:fill="FFFFFF"/>
        <w:jc w:val="center"/>
        <w:outlineLvl w:val="0"/>
        <w:rPr>
          <w:rFonts w:ascii="微软雅黑" w:hAnsi="微软雅黑" w:eastAsia="微软雅黑" w:cs="微软雅黑"/>
          <w:color w:val="000000"/>
        </w:rPr>
      </w:pPr>
      <w:r>
        <w:rPr>
          <w:rFonts w:hint="eastAsia" w:ascii="Times New Roman" w:hAnsi="Times New Roman" w:eastAsia="微软雅黑" w:cs="Times New Roman"/>
          <w:b/>
          <w:bCs/>
          <w:color w:val="000000"/>
          <w:sz w:val="36"/>
          <w:szCs w:val="36"/>
          <w:shd w:val="clear" w:color="auto" w:fill="FFFFFF"/>
        </w:rPr>
        <w:t>鞍山市千山区甘泉镇综合事务服务中心</w:t>
      </w:r>
    </w:p>
    <w:p w14:paraId="7D336E9A">
      <w:pPr>
        <w:pStyle w:val="5"/>
        <w:widowControl/>
        <w:shd w:val="clear" w:color="auto" w:fill="FFFFFF"/>
        <w:jc w:val="center"/>
        <w:rPr>
          <w:rFonts w:ascii="微软雅黑" w:hAnsi="微软雅黑" w:eastAsia="微软雅黑" w:cs="微软雅黑"/>
          <w:color w:val="000000"/>
        </w:rPr>
      </w:pPr>
      <w:r>
        <w:rPr>
          <w:rFonts w:hint="eastAsia" w:ascii="宋体" w:hAnsi="宋体" w:eastAsia="宋体" w:cs="宋体"/>
          <w:b/>
          <w:bCs/>
          <w:color w:val="000000"/>
          <w:sz w:val="44"/>
          <w:szCs w:val="44"/>
          <w:shd w:val="clear" w:color="auto" w:fill="FFFFFF"/>
        </w:rPr>
        <w:t>202</w:t>
      </w:r>
      <w:r>
        <w:rPr>
          <w:rFonts w:hint="eastAsia" w:ascii="宋体" w:hAnsi="宋体" w:eastAsia="宋体" w:cs="宋体"/>
          <w:b/>
          <w:bCs/>
          <w:color w:val="000000"/>
          <w:sz w:val="44"/>
          <w:szCs w:val="44"/>
          <w:shd w:val="clear" w:color="auto" w:fill="FFFFFF"/>
          <w:lang w:val="en-US" w:eastAsia="zh-CN"/>
        </w:rPr>
        <w:t>6</w:t>
      </w:r>
      <w:r>
        <w:rPr>
          <w:rFonts w:hint="eastAsia" w:ascii="宋体" w:hAnsi="宋体" w:eastAsia="宋体" w:cs="宋体"/>
          <w:b/>
          <w:bCs/>
          <w:color w:val="000000"/>
          <w:sz w:val="44"/>
          <w:szCs w:val="44"/>
          <w:shd w:val="clear" w:color="auto" w:fill="FFFFFF"/>
        </w:rPr>
        <w:t>年度单位预算</w:t>
      </w:r>
    </w:p>
    <w:p w14:paraId="51ECAB1B">
      <w:pPr>
        <w:pStyle w:val="5"/>
        <w:widowControl/>
        <w:shd w:val="clear" w:color="auto" w:fill="FFFFFF"/>
        <w:jc w:val="center"/>
        <w:rPr>
          <w:rFonts w:ascii="黑体" w:hAnsi="宋体" w:eastAsia="黑体" w:cs="黑体"/>
          <w:b/>
          <w:bCs/>
          <w:color w:val="000000"/>
          <w:sz w:val="32"/>
          <w:szCs w:val="32"/>
          <w:shd w:val="clear" w:color="auto" w:fill="FFFFFF"/>
        </w:rPr>
      </w:pPr>
    </w:p>
    <w:p w14:paraId="29EE14A9">
      <w:pPr>
        <w:pStyle w:val="5"/>
        <w:widowControl/>
        <w:shd w:val="clear" w:color="auto" w:fill="FFFFFF"/>
        <w:jc w:val="center"/>
        <w:rPr>
          <w:rFonts w:ascii="黑体" w:hAnsi="宋体" w:eastAsia="黑体" w:cs="黑体"/>
          <w:b/>
          <w:bCs/>
          <w:color w:val="000000"/>
          <w:sz w:val="32"/>
          <w:szCs w:val="32"/>
          <w:shd w:val="clear" w:color="auto" w:fill="FFFFFF"/>
        </w:rPr>
      </w:pPr>
    </w:p>
    <w:p w14:paraId="20691E3D">
      <w:pPr>
        <w:pStyle w:val="5"/>
        <w:widowControl/>
        <w:shd w:val="clear" w:color="auto" w:fill="FFFFFF"/>
        <w:jc w:val="center"/>
        <w:rPr>
          <w:rFonts w:ascii="黑体" w:hAnsi="宋体" w:eastAsia="黑体" w:cs="黑体"/>
          <w:b/>
          <w:bCs/>
          <w:color w:val="000000"/>
          <w:sz w:val="32"/>
          <w:szCs w:val="32"/>
          <w:shd w:val="clear" w:color="auto" w:fill="FFFFFF"/>
        </w:rPr>
      </w:pPr>
    </w:p>
    <w:p w14:paraId="646ADEA1">
      <w:pPr>
        <w:pStyle w:val="5"/>
        <w:widowControl/>
        <w:shd w:val="clear" w:color="auto" w:fill="FFFFFF"/>
        <w:jc w:val="center"/>
        <w:rPr>
          <w:rFonts w:ascii="黑体" w:hAnsi="宋体" w:eastAsia="黑体" w:cs="黑体"/>
          <w:b/>
          <w:bCs/>
          <w:color w:val="000000"/>
          <w:sz w:val="32"/>
          <w:szCs w:val="32"/>
          <w:shd w:val="clear" w:color="auto" w:fill="FFFFFF"/>
        </w:rPr>
      </w:pPr>
    </w:p>
    <w:p w14:paraId="1E7C7861">
      <w:pPr>
        <w:pStyle w:val="5"/>
        <w:widowControl/>
        <w:shd w:val="clear" w:color="auto" w:fill="FFFFFF"/>
        <w:jc w:val="center"/>
        <w:rPr>
          <w:rFonts w:ascii="黑体" w:hAnsi="宋体" w:eastAsia="黑体" w:cs="黑体"/>
          <w:b/>
          <w:bCs/>
          <w:color w:val="000000"/>
          <w:sz w:val="32"/>
          <w:szCs w:val="32"/>
          <w:shd w:val="clear" w:color="auto" w:fill="FFFFFF"/>
        </w:rPr>
      </w:pPr>
    </w:p>
    <w:p w14:paraId="5051C74E">
      <w:pPr>
        <w:pStyle w:val="5"/>
        <w:widowControl/>
        <w:shd w:val="clear" w:color="auto" w:fill="FFFFFF"/>
        <w:jc w:val="center"/>
        <w:rPr>
          <w:rFonts w:ascii="黑体" w:hAnsi="宋体" w:eastAsia="黑体" w:cs="黑体"/>
          <w:b/>
          <w:bCs/>
          <w:color w:val="000000"/>
          <w:sz w:val="32"/>
          <w:szCs w:val="32"/>
          <w:shd w:val="clear" w:color="auto" w:fill="FFFFFF"/>
        </w:rPr>
      </w:pPr>
    </w:p>
    <w:p w14:paraId="732CB407">
      <w:pPr>
        <w:pStyle w:val="5"/>
        <w:widowControl/>
        <w:shd w:val="clear" w:color="auto" w:fill="FFFFFF"/>
        <w:jc w:val="center"/>
        <w:rPr>
          <w:rFonts w:ascii="黑体" w:hAnsi="宋体" w:eastAsia="黑体" w:cs="黑体"/>
          <w:b/>
          <w:bCs/>
          <w:color w:val="000000"/>
          <w:sz w:val="32"/>
          <w:szCs w:val="32"/>
          <w:shd w:val="clear" w:color="auto" w:fill="FFFFFF"/>
        </w:rPr>
      </w:pPr>
    </w:p>
    <w:p w14:paraId="18623025">
      <w:pPr>
        <w:pStyle w:val="5"/>
        <w:widowControl/>
        <w:shd w:val="clear" w:color="auto" w:fill="FFFFFF"/>
        <w:jc w:val="center"/>
        <w:rPr>
          <w:rFonts w:ascii="黑体" w:hAnsi="宋体" w:eastAsia="黑体" w:cs="黑体"/>
          <w:b/>
          <w:bCs/>
          <w:color w:val="000000"/>
          <w:sz w:val="32"/>
          <w:szCs w:val="32"/>
          <w:shd w:val="clear" w:color="auto" w:fill="FFFFFF"/>
        </w:rPr>
      </w:pPr>
    </w:p>
    <w:p w14:paraId="4D8AD204">
      <w:pPr>
        <w:pStyle w:val="5"/>
        <w:widowControl/>
        <w:shd w:val="clear" w:color="auto" w:fill="FFFFFF"/>
        <w:jc w:val="center"/>
        <w:rPr>
          <w:rFonts w:ascii="黑体" w:hAnsi="宋体" w:eastAsia="黑体" w:cs="黑体"/>
          <w:b/>
          <w:bCs/>
          <w:color w:val="000000"/>
          <w:sz w:val="32"/>
          <w:szCs w:val="32"/>
          <w:shd w:val="clear" w:color="auto" w:fill="FFFFFF"/>
        </w:rPr>
      </w:pPr>
    </w:p>
    <w:p w14:paraId="329B8E58">
      <w:pPr>
        <w:pStyle w:val="5"/>
        <w:widowControl/>
        <w:shd w:val="clear" w:color="auto" w:fill="FFFFFF"/>
        <w:jc w:val="center"/>
        <w:rPr>
          <w:rFonts w:ascii="黑体" w:hAnsi="宋体" w:eastAsia="黑体" w:cs="黑体"/>
          <w:b/>
          <w:bCs/>
          <w:color w:val="000000"/>
          <w:sz w:val="32"/>
          <w:szCs w:val="32"/>
          <w:shd w:val="clear" w:color="auto" w:fill="FFFFFF"/>
        </w:rPr>
      </w:pPr>
    </w:p>
    <w:p w14:paraId="5DCEDE53">
      <w:pPr>
        <w:pStyle w:val="5"/>
        <w:widowControl/>
        <w:shd w:val="clear" w:color="auto" w:fill="FFFFFF"/>
        <w:jc w:val="center"/>
        <w:rPr>
          <w:rFonts w:ascii="黑体" w:hAnsi="宋体" w:eastAsia="黑体" w:cs="黑体"/>
          <w:b/>
          <w:bCs/>
          <w:color w:val="000000"/>
          <w:sz w:val="32"/>
          <w:szCs w:val="32"/>
          <w:shd w:val="clear" w:color="auto" w:fill="FFFFFF"/>
        </w:rPr>
      </w:pPr>
    </w:p>
    <w:p w14:paraId="63FD595C">
      <w:pPr>
        <w:pStyle w:val="5"/>
        <w:widowControl/>
        <w:shd w:val="clear" w:color="auto" w:fill="FFFFFF"/>
        <w:jc w:val="center"/>
        <w:rPr>
          <w:rFonts w:ascii="黑体" w:hAnsi="宋体" w:eastAsia="黑体" w:cs="黑体"/>
          <w:b/>
          <w:bCs/>
          <w:color w:val="000000"/>
          <w:sz w:val="32"/>
          <w:szCs w:val="32"/>
          <w:shd w:val="clear" w:color="auto" w:fill="FFFFFF"/>
        </w:rPr>
      </w:pPr>
    </w:p>
    <w:p w14:paraId="34746B88">
      <w:pPr>
        <w:pStyle w:val="5"/>
        <w:widowControl/>
        <w:shd w:val="clear" w:color="auto" w:fill="FFFFFF"/>
        <w:jc w:val="center"/>
        <w:rPr>
          <w:rFonts w:ascii="微软雅黑" w:hAnsi="微软雅黑" w:eastAsia="微软雅黑" w:cs="微软雅黑"/>
          <w:color w:val="000000"/>
        </w:rPr>
      </w:pPr>
      <w:r>
        <w:rPr>
          <w:rFonts w:ascii="黑体" w:hAnsi="宋体" w:eastAsia="黑体" w:cs="黑体"/>
          <w:b/>
          <w:bCs/>
          <w:color w:val="000000"/>
          <w:sz w:val="32"/>
          <w:szCs w:val="32"/>
          <w:shd w:val="clear" w:color="auto" w:fill="FFFFFF"/>
        </w:rPr>
        <w:t>目</w:t>
      </w:r>
      <w:r>
        <w:rPr>
          <w:rFonts w:hint="eastAsia" w:ascii="黑体" w:hAnsi="宋体" w:eastAsia="黑体" w:cs="黑体"/>
          <w:b/>
          <w:bCs/>
          <w:color w:val="000000"/>
          <w:sz w:val="32"/>
          <w:szCs w:val="32"/>
          <w:shd w:val="clear" w:color="auto" w:fill="FFFFFF"/>
        </w:rPr>
        <w:t>  录</w:t>
      </w:r>
    </w:p>
    <w:p w14:paraId="0E3F91A2">
      <w:pPr>
        <w:pStyle w:val="5"/>
        <w:widowControl/>
        <w:shd w:val="clear" w:color="auto" w:fill="FFFFFF"/>
        <w:spacing w:line="560" w:lineRule="atLeast"/>
        <w:ind w:firstLine="422"/>
        <w:jc w:val="left"/>
        <w:rPr>
          <w:rFonts w:ascii="微软雅黑" w:hAnsi="微软雅黑" w:eastAsia="微软雅黑" w:cs="微软雅黑"/>
          <w:color w:val="000000"/>
        </w:rPr>
      </w:pPr>
      <w:r>
        <w:rPr>
          <w:rFonts w:ascii="楷体" w:hAnsi="楷体" w:eastAsia="楷体" w:cs="楷体"/>
          <w:b/>
          <w:bCs/>
          <w:color w:val="000000"/>
          <w:sz w:val="32"/>
          <w:szCs w:val="32"/>
          <w:shd w:val="clear" w:color="auto" w:fill="FFFFFF"/>
        </w:rPr>
        <w:t>第一部</w:t>
      </w:r>
      <w:r>
        <w:rPr>
          <w:rFonts w:hint="eastAsia" w:ascii="楷体" w:hAnsi="楷体" w:eastAsia="楷体" w:cs="楷体"/>
          <w:b/>
          <w:bCs/>
          <w:color w:val="000000"/>
          <w:sz w:val="32"/>
          <w:szCs w:val="32"/>
          <w:shd w:val="clear" w:color="auto" w:fill="FFFFFF"/>
        </w:rPr>
        <w:t>分 部门预算公开管理文件</w:t>
      </w:r>
      <w:r>
        <w:rPr>
          <w:rFonts w:hint="eastAsia" w:ascii="楷体" w:hAnsi="楷体" w:eastAsia="楷体" w:cs="楷体"/>
          <w:color w:val="000000"/>
          <w:sz w:val="32"/>
          <w:szCs w:val="32"/>
          <w:shd w:val="clear" w:color="auto" w:fill="FFFFFF"/>
        </w:rPr>
        <w:t> </w:t>
      </w:r>
    </w:p>
    <w:p w14:paraId="44F24347">
      <w:pPr>
        <w:pStyle w:val="5"/>
        <w:widowControl/>
        <w:shd w:val="clear" w:color="auto" w:fill="FFFFFF"/>
        <w:spacing w:line="560" w:lineRule="atLeast"/>
        <w:ind w:firstLine="422"/>
        <w:jc w:val="left"/>
        <w:rPr>
          <w:rFonts w:ascii="微软雅黑" w:hAnsi="微软雅黑" w:eastAsia="微软雅黑" w:cs="微软雅黑"/>
          <w:color w:val="000000"/>
        </w:rPr>
      </w:pPr>
      <w:r>
        <w:rPr>
          <w:rFonts w:hint="eastAsia" w:ascii="楷体" w:hAnsi="楷体" w:eastAsia="楷体" w:cs="楷体"/>
          <w:b/>
          <w:bCs/>
          <w:color w:val="000000"/>
          <w:sz w:val="32"/>
          <w:szCs w:val="32"/>
          <w:shd w:val="clear" w:color="auto" w:fill="FFFFFF"/>
        </w:rPr>
        <w:t>第二部分 部门（单位）概况</w:t>
      </w:r>
    </w:p>
    <w:p w14:paraId="298ACD88">
      <w:pPr>
        <w:pStyle w:val="5"/>
        <w:widowControl/>
        <w:shd w:val="clear" w:color="auto" w:fill="FFFFFF"/>
        <w:spacing w:line="560" w:lineRule="atLeast"/>
        <w:ind w:firstLine="420"/>
        <w:jc w:val="left"/>
        <w:rPr>
          <w:rFonts w:ascii="微软雅黑" w:hAnsi="微软雅黑" w:eastAsia="微软雅黑" w:cs="微软雅黑"/>
          <w:color w:val="000000"/>
        </w:rPr>
      </w:pPr>
      <w:r>
        <w:rPr>
          <w:rFonts w:ascii="仿宋_GB2312" w:hAnsi="微软雅黑" w:eastAsia="仿宋_GB2312" w:cs="仿宋_GB2312"/>
          <w:color w:val="000000"/>
          <w:sz w:val="32"/>
          <w:szCs w:val="32"/>
          <w:shd w:val="clear" w:color="auto" w:fill="FFFFFF"/>
        </w:rPr>
        <w:t>一、部门</w:t>
      </w:r>
      <w:r>
        <w:rPr>
          <w:rFonts w:hint="eastAsia" w:ascii="仿宋_GB2312" w:hAnsi="微软雅黑" w:eastAsia="仿宋_GB2312" w:cs="仿宋_GB2312"/>
          <w:color w:val="000000"/>
          <w:sz w:val="32"/>
          <w:szCs w:val="32"/>
          <w:shd w:val="clear" w:color="auto" w:fill="FFFFFF"/>
        </w:rPr>
        <w:t>（单位）职责 </w:t>
      </w:r>
    </w:p>
    <w:p w14:paraId="19D87F9C">
      <w:pPr>
        <w:pStyle w:val="5"/>
        <w:widowControl/>
        <w:shd w:val="clear" w:color="auto" w:fill="FFFFFF"/>
        <w:spacing w:line="560" w:lineRule="atLeast"/>
        <w:ind w:firstLine="420"/>
        <w:jc w:val="left"/>
        <w:rPr>
          <w:rFonts w:ascii="微软雅黑" w:hAnsi="微软雅黑" w:eastAsia="微软雅黑" w:cs="微软雅黑"/>
          <w:color w:val="000000"/>
        </w:rPr>
      </w:pPr>
      <w:r>
        <w:rPr>
          <w:rFonts w:hint="eastAsia" w:ascii="仿宋_GB2312" w:hAnsi="微软雅黑" w:eastAsia="仿宋_GB2312" w:cs="仿宋_GB2312"/>
          <w:color w:val="000000"/>
          <w:sz w:val="32"/>
          <w:szCs w:val="32"/>
          <w:shd w:val="clear" w:color="auto" w:fill="FFFFFF"/>
        </w:rPr>
        <w:t>二、机构设置 </w:t>
      </w:r>
    </w:p>
    <w:p w14:paraId="46345441">
      <w:pPr>
        <w:pStyle w:val="5"/>
        <w:widowControl/>
        <w:shd w:val="clear" w:color="auto" w:fill="FFFFFF"/>
        <w:spacing w:line="560" w:lineRule="atLeast"/>
        <w:ind w:firstLine="422"/>
        <w:jc w:val="left"/>
        <w:rPr>
          <w:rFonts w:ascii="微软雅黑" w:hAnsi="微软雅黑" w:eastAsia="微软雅黑" w:cs="微软雅黑"/>
          <w:color w:val="000000"/>
        </w:rPr>
      </w:pPr>
      <w:r>
        <w:rPr>
          <w:rFonts w:hint="eastAsia" w:ascii="楷体" w:hAnsi="楷体" w:eastAsia="楷体" w:cs="楷体"/>
          <w:b/>
          <w:bCs/>
          <w:color w:val="000000"/>
          <w:sz w:val="32"/>
          <w:szCs w:val="32"/>
          <w:shd w:val="clear" w:color="auto" w:fill="FFFFFF"/>
        </w:rPr>
        <w:t>第三部分 202</w:t>
      </w:r>
      <w:r>
        <w:rPr>
          <w:rFonts w:hint="eastAsia" w:ascii="楷体" w:hAnsi="楷体" w:eastAsia="楷体" w:cs="楷体"/>
          <w:b/>
          <w:bCs/>
          <w:color w:val="000000"/>
          <w:sz w:val="32"/>
          <w:szCs w:val="32"/>
          <w:shd w:val="clear" w:color="auto" w:fill="FFFFFF"/>
          <w:lang w:val="en-US" w:eastAsia="zh-CN"/>
        </w:rPr>
        <w:t>6</w:t>
      </w:r>
      <w:r>
        <w:rPr>
          <w:rFonts w:hint="eastAsia" w:ascii="楷体" w:hAnsi="楷体" w:eastAsia="楷体" w:cs="楷体"/>
          <w:b/>
          <w:bCs/>
          <w:color w:val="000000"/>
          <w:sz w:val="32"/>
          <w:szCs w:val="32"/>
          <w:shd w:val="clear" w:color="auto" w:fill="FFFFFF"/>
        </w:rPr>
        <w:t>年部门（单位）预算表</w:t>
      </w:r>
      <w:r>
        <w:rPr>
          <w:rFonts w:hint="eastAsia" w:ascii="楷体" w:hAnsi="楷体" w:eastAsia="楷体" w:cs="楷体"/>
          <w:color w:val="000000"/>
          <w:sz w:val="32"/>
          <w:szCs w:val="32"/>
          <w:shd w:val="clear" w:color="auto" w:fill="FFFFFF"/>
        </w:rPr>
        <w:t> </w:t>
      </w:r>
    </w:p>
    <w:p w14:paraId="2B990EEF">
      <w:pPr>
        <w:pStyle w:val="5"/>
        <w:widowControl/>
        <w:shd w:val="clear" w:color="auto" w:fill="FFFFFF"/>
        <w:spacing w:line="560" w:lineRule="atLeast"/>
        <w:ind w:firstLine="420"/>
        <w:jc w:val="left"/>
        <w:rPr>
          <w:rFonts w:ascii="微软雅黑" w:hAnsi="微软雅黑" w:eastAsia="微软雅黑" w:cs="微软雅黑"/>
          <w:color w:val="000000"/>
        </w:rPr>
      </w:pPr>
      <w:r>
        <w:rPr>
          <w:rFonts w:hint="eastAsia" w:ascii="仿宋_GB2312" w:hAnsi="微软雅黑" w:eastAsia="仿宋_GB2312" w:cs="仿宋_GB2312"/>
          <w:color w:val="000000"/>
          <w:sz w:val="32"/>
          <w:szCs w:val="32"/>
          <w:shd w:val="clear" w:color="auto" w:fill="FFFFFF"/>
        </w:rPr>
        <w:t>一、收支预算总表</w:t>
      </w:r>
    </w:p>
    <w:p w14:paraId="2C8CFFF8">
      <w:pPr>
        <w:pStyle w:val="5"/>
        <w:widowControl/>
        <w:shd w:val="clear" w:color="auto" w:fill="FFFFFF"/>
        <w:spacing w:line="560" w:lineRule="atLeast"/>
        <w:ind w:firstLine="420"/>
        <w:jc w:val="left"/>
        <w:rPr>
          <w:rFonts w:ascii="微软雅黑" w:hAnsi="微软雅黑" w:eastAsia="微软雅黑" w:cs="微软雅黑"/>
          <w:color w:val="000000"/>
        </w:rPr>
      </w:pPr>
      <w:r>
        <w:rPr>
          <w:rFonts w:hint="eastAsia" w:ascii="仿宋_GB2312" w:hAnsi="微软雅黑" w:eastAsia="仿宋_GB2312" w:cs="仿宋_GB2312"/>
          <w:color w:val="000000"/>
          <w:sz w:val="32"/>
          <w:szCs w:val="32"/>
          <w:shd w:val="clear" w:color="auto" w:fill="FFFFFF"/>
        </w:rPr>
        <w:t>二、收入预算总表</w:t>
      </w:r>
    </w:p>
    <w:p w14:paraId="75E62BC5">
      <w:pPr>
        <w:pStyle w:val="5"/>
        <w:widowControl/>
        <w:shd w:val="clear" w:color="auto" w:fill="FFFFFF"/>
        <w:spacing w:line="560" w:lineRule="atLeast"/>
        <w:ind w:firstLine="420"/>
        <w:jc w:val="left"/>
        <w:rPr>
          <w:rFonts w:ascii="微软雅黑" w:hAnsi="微软雅黑" w:eastAsia="微软雅黑" w:cs="微软雅黑"/>
          <w:color w:val="000000"/>
        </w:rPr>
      </w:pPr>
      <w:r>
        <w:rPr>
          <w:rFonts w:hint="eastAsia" w:ascii="仿宋_GB2312" w:hAnsi="微软雅黑" w:eastAsia="仿宋_GB2312" w:cs="仿宋_GB2312"/>
          <w:color w:val="000000"/>
          <w:sz w:val="32"/>
          <w:szCs w:val="32"/>
          <w:shd w:val="clear" w:color="auto" w:fill="FFFFFF"/>
        </w:rPr>
        <w:t>三、支出预算总表</w:t>
      </w:r>
    </w:p>
    <w:p w14:paraId="7A7B1123">
      <w:pPr>
        <w:pStyle w:val="5"/>
        <w:widowControl/>
        <w:shd w:val="clear" w:color="auto" w:fill="FFFFFF"/>
        <w:spacing w:line="560" w:lineRule="atLeast"/>
        <w:ind w:firstLine="420"/>
        <w:jc w:val="left"/>
        <w:rPr>
          <w:rFonts w:ascii="微软雅黑" w:hAnsi="微软雅黑" w:eastAsia="微软雅黑" w:cs="微软雅黑"/>
          <w:color w:val="000000"/>
        </w:rPr>
      </w:pPr>
      <w:r>
        <w:rPr>
          <w:rFonts w:hint="eastAsia" w:ascii="仿宋_GB2312" w:hAnsi="微软雅黑" w:eastAsia="仿宋_GB2312" w:cs="仿宋_GB2312"/>
          <w:color w:val="000000"/>
          <w:sz w:val="32"/>
          <w:szCs w:val="32"/>
          <w:shd w:val="clear" w:color="auto" w:fill="FFFFFF"/>
        </w:rPr>
        <w:t>四、财政拨款收支预算总表</w:t>
      </w:r>
    </w:p>
    <w:p w14:paraId="20B0D943">
      <w:pPr>
        <w:pStyle w:val="5"/>
        <w:widowControl/>
        <w:shd w:val="clear" w:color="auto" w:fill="FFFFFF"/>
        <w:spacing w:line="560" w:lineRule="atLeast"/>
        <w:ind w:firstLine="420"/>
        <w:jc w:val="left"/>
        <w:rPr>
          <w:rFonts w:ascii="微软雅黑" w:hAnsi="微软雅黑" w:eastAsia="微软雅黑" w:cs="微软雅黑"/>
          <w:color w:val="000000"/>
        </w:rPr>
      </w:pPr>
      <w:r>
        <w:rPr>
          <w:rFonts w:hint="eastAsia" w:ascii="仿宋_GB2312" w:hAnsi="微软雅黑" w:eastAsia="仿宋_GB2312" w:cs="仿宋_GB2312"/>
          <w:color w:val="000000"/>
          <w:sz w:val="32"/>
          <w:szCs w:val="32"/>
          <w:shd w:val="clear" w:color="auto" w:fill="FFFFFF"/>
        </w:rPr>
        <w:t>五、一般公共预算支出表</w:t>
      </w:r>
    </w:p>
    <w:p w14:paraId="00E32D6A">
      <w:pPr>
        <w:pStyle w:val="5"/>
        <w:widowControl/>
        <w:shd w:val="clear" w:color="auto" w:fill="FFFFFF"/>
        <w:spacing w:line="560" w:lineRule="atLeast"/>
        <w:ind w:firstLine="420"/>
        <w:jc w:val="left"/>
        <w:rPr>
          <w:rFonts w:ascii="微软雅黑" w:hAnsi="微软雅黑" w:eastAsia="微软雅黑" w:cs="微软雅黑"/>
          <w:color w:val="000000"/>
        </w:rPr>
      </w:pPr>
      <w:r>
        <w:rPr>
          <w:rFonts w:hint="eastAsia" w:ascii="仿宋_GB2312" w:hAnsi="微软雅黑" w:eastAsia="仿宋_GB2312" w:cs="仿宋_GB2312"/>
          <w:color w:val="000000"/>
          <w:sz w:val="32"/>
          <w:szCs w:val="32"/>
          <w:shd w:val="clear" w:color="auto" w:fill="FFFFFF"/>
        </w:rPr>
        <w:t>六、一般公共预算基本支出表</w:t>
      </w:r>
    </w:p>
    <w:p w14:paraId="2B2B61AF">
      <w:pPr>
        <w:pStyle w:val="5"/>
        <w:widowControl/>
        <w:shd w:val="clear" w:color="auto" w:fill="FFFFFF"/>
        <w:spacing w:line="560" w:lineRule="atLeast"/>
        <w:ind w:firstLine="420"/>
        <w:jc w:val="left"/>
        <w:rPr>
          <w:rFonts w:ascii="微软雅黑" w:hAnsi="微软雅黑" w:eastAsia="微软雅黑" w:cs="微软雅黑"/>
          <w:color w:val="000000"/>
        </w:rPr>
      </w:pPr>
      <w:r>
        <w:rPr>
          <w:rFonts w:hint="eastAsia" w:ascii="仿宋_GB2312" w:hAnsi="微软雅黑" w:eastAsia="仿宋_GB2312" w:cs="仿宋_GB2312"/>
          <w:color w:val="000000"/>
          <w:sz w:val="32"/>
          <w:szCs w:val="32"/>
          <w:shd w:val="clear" w:color="auto" w:fill="FFFFFF"/>
        </w:rPr>
        <w:t>七、财政拨款预算“三公”经费支出表</w:t>
      </w:r>
    </w:p>
    <w:p w14:paraId="24657A3F">
      <w:pPr>
        <w:pStyle w:val="5"/>
        <w:widowControl/>
        <w:shd w:val="clear" w:color="auto" w:fill="FFFFFF"/>
        <w:spacing w:line="560" w:lineRule="atLeast"/>
        <w:ind w:firstLine="420"/>
        <w:jc w:val="left"/>
        <w:rPr>
          <w:rFonts w:ascii="微软雅黑" w:hAnsi="微软雅黑" w:eastAsia="微软雅黑" w:cs="微软雅黑"/>
          <w:color w:val="000000"/>
        </w:rPr>
      </w:pPr>
      <w:r>
        <w:rPr>
          <w:rFonts w:hint="eastAsia" w:ascii="仿宋_GB2312" w:hAnsi="微软雅黑" w:eastAsia="仿宋_GB2312" w:cs="仿宋_GB2312"/>
          <w:color w:val="000000"/>
          <w:sz w:val="32"/>
          <w:szCs w:val="32"/>
          <w:shd w:val="clear" w:color="auto" w:fill="FFFFFF"/>
        </w:rPr>
        <w:t>八、政府性基金预算支出表</w:t>
      </w:r>
    </w:p>
    <w:p w14:paraId="1D80D54C">
      <w:pPr>
        <w:pStyle w:val="5"/>
        <w:widowControl/>
        <w:shd w:val="clear" w:color="auto" w:fill="FFFFFF"/>
        <w:spacing w:line="560" w:lineRule="atLeast"/>
        <w:ind w:firstLine="420"/>
        <w:jc w:val="left"/>
        <w:rPr>
          <w:rFonts w:ascii="微软雅黑" w:hAnsi="微软雅黑" w:eastAsia="微软雅黑" w:cs="微软雅黑"/>
          <w:color w:val="000000"/>
        </w:rPr>
      </w:pPr>
      <w:r>
        <w:rPr>
          <w:rFonts w:hint="eastAsia" w:ascii="仿宋_GB2312" w:hAnsi="微软雅黑" w:eastAsia="仿宋_GB2312" w:cs="仿宋_GB2312"/>
          <w:color w:val="000000"/>
          <w:sz w:val="32"/>
          <w:szCs w:val="32"/>
          <w:shd w:val="clear" w:color="auto" w:fill="FFFFFF"/>
        </w:rPr>
        <w:t>九、国有资本经营预算支出表</w:t>
      </w:r>
    </w:p>
    <w:p w14:paraId="417B8184">
      <w:pPr>
        <w:pStyle w:val="5"/>
        <w:widowControl/>
        <w:shd w:val="clear" w:color="auto" w:fill="FFFFFF"/>
        <w:spacing w:line="560" w:lineRule="atLeast"/>
        <w:ind w:firstLine="420"/>
        <w:jc w:val="left"/>
        <w:rPr>
          <w:rFonts w:ascii="微软雅黑" w:hAnsi="微软雅黑" w:eastAsia="微软雅黑" w:cs="微软雅黑"/>
          <w:color w:val="000000"/>
        </w:rPr>
      </w:pPr>
      <w:r>
        <w:rPr>
          <w:rFonts w:hint="eastAsia" w:ascii="仿宋_GB2312" w:hAnsi="微软雅黑" w:eastAsia="仿宋_GB2312" w:cs="仿宋_GB2312"/>
          <w:color w:val="000000"/>
          <w:sz w:val="32"/>
          <w:szCs w:val="32"/>
          <w:shd w:val="clear" w:color="auto" w:fill="FFFFFF"/>
        </w:rPr>
        <w:t>十、项目支出预算表</w:t>
      </w:r>
    </w:p>
    <w:p w14:paraId="442374F0">
      <w:pPr>
        <w:pStyle w:val="5"/>
        <w:widowControl/>
        <w:shd w:val="clear" w:color="auto" w:fill="FFFFFF"/>
        <w:spacing w:line="560" w:lineRule="atLeast"/>
        <w:ind w:firstLine="420"/>
        <w:jc w:val="left"/>
        <w:rPr>
          <w:rFonts w:ascii="微软雅黑" w:hAnsi="微软雅黑" w:eastAsia="微软雅黑" w:cs="微软雅黑"/>
          <w:color w:val="000000"/>
        </w:rPr>
      </w:pPr>
      <w:r>
        <w:rPr>
          <w:rFonts w:hint="eastAsia" w:ascii="仿宋_GB2312" w:hAnsi="微软雅黑" w:eastAsia="仿宋_GB2312" w:cs="仿宋_GB2312"/>
          <w:color w:val="000000"/>
          <w:sz w:val="32"/>
          <w:szCs w:val="32"/>
          <w:shd w:val="clear" w:color="auto" w:fill="FFFFFF"/>
        </w:rPr>
        <w:t>十一、支出功能分类预算表</w:t>
      </w:r>
    </w:p>
    <w:p w14:paraId="658A53A5">
      <w:pPr>
        <w:pStyle w:val="5"/>
        <w:widowControl/>
        <w:shd w:val="clear" w:color="auto" w:fill="FFFFFF"/>
        <w:spacing w:line="560" w:lineRule="atLeast"/>
        <w:ind w:firstLine="420"/>
        <w:jc w:val="left"/>
        <w:rPr>
          <w:rFonts w:ascii="微软雅黑" w:hAnsi="微软雅黑" w:eastAsia="微软雅黑" w:cs="微软雅黑"/>
          <w:color w:val="000000"/>
        </w:rPr>
      </w:pPr>
      <w:r>
        <w:rPr>
          <w:rFonts w:hint="eastAsia" w:ascii="仿宋_GB2312" w:hAnsi="微软雅黑" w:eastAsia="仿宋_GB2312" w:cs="仿宋_GB2312"/>
          <w:color w:val="000000"/>
          <w:sz w:val="32"/>
          <w:szCs w:val="32"/>
          <w:shd w:val="clear" w:color="auto" w:fill="FFFFFF"/>
        </w:rPr>
        <w:t>十二、支出经济分类预算表（政府预算）</w:t>
      </w:r>
    </w:p>
    <w:p w14:paraId="5CDACF9D">
      <w:pPr>
        <w:pStyle w:val="5"/>
        <w:widowControl/>
        <w:shd w:val="clear" w:color="auto" w:fill="FFFFFF"/>
        <w:spacing w:line="560" w:lineRule="atLeast"/>
        <w:ind w:firstLine="420"/>
        <w:jc w:val="left"/>
        <w:rPr>
          <w:rFonts w:ascii="微软雅黑" w:hAnsi="微软雅黑" w:eastAsia="微软雅黑" w:cs="微软雅黑"/>
          <w:color w:val="000000"/>
        </w:rPr>
      </w:pPr>
      <w:r>
        <w:rPr>
          <w:rFonts w:hint="eastAsia" w:ascii="仿宋_GB2312" w:hAnsi="微软雅黑" w:eastAsia="仿宋_GB2312" w:cs="仿宋_GB2312"/>
          <w:color w:val="000000"/>
          <w:sz w:val="32"/>
          <w:szCs w:val="32"/>
          <w:shd w:val="clear" w:color="auto" w:fill="FFFFFF"/>
        </w:rPr>
        <w:t>十三、支出经济分类预算表（部门预算）</w:t>
      </w:r>
    </w:p>
    <w:p w14:paraId="2257307E">
      <w:pPr>
        <w:pStyle w:val="5"/>
        <w:widowControl/>
        <w:shd w:val="clear" w:color="auto" w:fill="FFFFFF"/>
        <w:spacing w:line="560" w:lineRule="atLeast"/>
        <w:ind w:firstLine="420"/>
        <w:jc w:val="left"/>
        <w:rPr>
          <w:rFonts w:ascii="微软雅黑" w:hAnsi="微软雅黑" w:eastAsia="微软雅黑" w:cs="微软雅黑"/>
          <w:color w:val="000000"/>
        </w:rPr>
      </w:pPr>
      <w:r>
        <w:rPr>
          <w:rFonts w:hint="eastAsia" w:ascii="仿宋_GB2312" w:hAnsi="微软雅黑" w:eastAsia="仿宋_GB2312" w:cs="仿宋_GB2312"/>
          <w:color w:val="000000"/>
          <w:sz w:val="32"/>
          <w:szCs w:val="32"/>
          <w:shd w:val="clear" w:color="auto" w:fill="FFFFFF"/>
        </w:rPr>
        <w:t>十四、债务支出预算表</w:t>
      </w:r>
    </w:p>
    <w:p w14:paraId="1EA8775C">
      <w:pPr>
        <w:pStyle w:val="5"/>
        <w:widowControl/>
        <w:shd w:val="clear" w:color="auto" w:fill="FFFFFF"/>
        <w:spacing w:line="560" w:lineRule="atLeast"/>
        <w:ind w:firstLine="420"/>
        <w:jc w:val="left"/>
        <w:rPr>
          <w:rFonts w:ascii="微软雅黑" w:hAnsi="微软雅黑" w:eastAsia="微软雅黑" w:cs="微软雅黑"/>
          <w:color w:val="000000"/>
        </w:rPr>
      </w:pPr>
      <w:r>
        <w:rPr>
          <w:rFonts w:hint="eastAsia" w:ascii="仿宋_GB2312" w:hAnsi="微软雅黑" w:eastAsia="仿宋_GB2312" w:cs="仿宋_GB2312"/>
          <w:color w:val="000000"/>
          <w:sz w:val="32"/>
          <w:szCs w:val="32"/>
          <w:shd w:val="clear" w:color="auto" w:fill="FFFFFF"/>
        </w:rPr>
        <w:t>十五、政府采购支出预算表</w:t>
      </w:r>
    </w:p>
    <w:p w14:paraId="772DA876">
      <w:pPr>
        <w:pStyle w:val="5"/>
        <w:widowControl/>
        <w:shd w:val="clear" w:color="auto" w:fill="FFFFFF"/>
        <w:spacing w:line="560" w:lineRule="atLeast"/>
        <w:ind w:firstLine="420"/>
        <w:jc w:val="left"/>
        <w:rPr>
          <w:rFonts w:ascii="微软雅黑" w:hAnsi="微软雅黑" w:eastAsia="微软雅黑" w:cs="微软雅黑"/>
          <w:color w:val="000000"/>
        </w:rPr>
      </w:pPr>
      <w:r>
        <w:rPr>
          <w:rFonts w:hint="eastAsia" w:ascii="仿宋_GB2312" w:hAnsi="微软雅黑" w:eastAsia="仿宋_GB2312" w:cs="仿宋_GB2312"/>
          <w:color w:val="000000"/>
          <w:sz w:val="32"/>
          <w:szCs w:val="32"/>
          <w:shd w:val="clear" w:color="auto" w:fill="FFFFFF"/>
        </w:rPr>
        <w:t>十六、政府购买服务支出预算表</w:t>
      </w:r>
    </w:p>
    <w:p w14:paraId="42E8620E">
      <w:pPr>
        <w:pStyle w:val="5"/>
        <w:widowControl/>
        <w:shd w:val="clear" w:color="auto" w:fill="FFFFFF"/>
        <w:spacing w:line="560" w:lineRule="atLeast"/>
        <w:ind w:firstLine="420"/>
        <w:jc w:val="left"/>
        <w:rPr>
          <w:rFonts w:ascii="微软雅黑" w:hAnsi="微软雅黑" w:eastAsia="微软雅黑" w:cs="微软雅黑"/>
          <w:color w:val="000000"/>
        </w:rPr>
      </w:pPr>
      <w:r>
        <w:rPr>
          <w:rFonts w:hint="eastAsia" w:ascii="仿宋_GB2312" w:hAnsi="微软雅黑" w:eastAsia="仿宋_GB2312" w:cs="仿宋_GB2312"/>
          <w:color w:val="000000"/>
          <w:sz w:val="32"/>
          <w:szCs w:val="32"/>
          <w:shd w:val="clear" w:color="auto" w:fill="FFFFFF"/>
        </w:rPr>
        <w:t>十七、部门（单位）整体绩效目标表</w:t>
      </w:r>
    </w:p>
    <w:p w14:paraId="57FA4652">
      <w:pPr>
        <w:pStyle w:val="5"/>
        <w:widowControl/>
        <w:shd w:val="clear" w:color="auto" w:fill="FFFFFF"/>
        <w:spacing w:line="560" w:lineRule="atLeast"/>
        <w:ind w:firstLine="420"/>
        <w:jc w:val="left"/>
        <w:rPr>
          <w:rFonts w:ascii="微软雅黑" w:hAnsi="微软雅黑" w:eastAsia="微软雅黑" w:cs="微软雅黑"/>
          <w:color w:val="000000"/>
        </w:rPr>
      </w:pPr>
      <w:r>
        <w:rPr>
          <w:rFonts w:hint="eastAsia" w:ascii="仿宋_GB2312" w:hAnsi="微软雅黑" w:eastAsia="仿宋_GB2312" w:cs="仿宋_GB2312"/>
          <w:color w:val="000000"/>
          <w:sz w:val="32"/>
          <w:szCs w:val="32"/>
          <w:shd w:val="clear" w:color="auto" w:fill="FFFFFF"/>
        </w:rPr>
        <w:t>十八、部门预算项目（政策）绩效目标表</w:t>
      </w:r>
    </w:p>
    <w:p w14:paraId="2B85CD66">
      <w:pPr>
        <w:pStyle w:val="5"/>
        <w:widowControl/>
        <w:shd w:val="clear" w:color="auto" w:fill="FFFFFF"/>
        <w:spacing w:line="560" w:lineRule="atLeast"/>
        <w:ind w:firstLine="420"/>
        <w:jc w:val="left"/>
        <w:rPr>
          <w:rFonts w:ascii="微软雅黑" w:hAnsi="微软雅黑" w:eastAsia="微软雅黑" w:cs="微软雅黑"/>
          <w:color w:val="000000"/>
        </w:rPr>
      </w:pPr>
      <w:r>
        <w:rPr>
          <w:rFonts w:hint="eastAsia" w:ascii="仿宋_GB2312" w:hAnsi="微软雅黑" w:eastAsia="仿宋_GB2312" w:cs="仿宋_GB2312"/>
          <w:color w:val="000000"/>
          <w:sz w:val="32"/>
          <w:szCs w:val="32"/>
          <w:shd w:val="clear" w:color="auto" w:fill="FFFFFF"/>
        </w:rPr>
        <w:t>十九、部门管理专项资金预算表</w:t>
      </w:r>
    </w:p>
    <w:p w14:paraId="3837DB89">
      <w:pPr>
        <w:pStyle w:val="5"/>
        <w:widowControl/>
        <w:shd w:val="clear" w:color="auto" w:fill="FFFFFF"/>
        <w:spacing w:line="560" w:lineRule="atLeast"/>
        <w:ind w:firstLine="422"/>
        <w:jc w:val="left"/>
        <w:rPr>
          <w:rFonts w:ascii="微软雅黑" w:hAnsi="微软雅黑" w:eastAsia="微软雅黑" w:cs="微软雅黑"/>
          <w:color w:val="000000"/>
        </w:rPr>
      </w:pPr>
      <w:r>
        <w:rPr>
          <w:rFonts w:hint="eastAsia" w:ascii="楷体" w:hAnsi="楷体" w:eastAsia="楷体" w:cs="楷体"/>
          <w:b/>
          <w:bCs/>
          <w:color w:val="000000"/>
          <w:sz w:val="32"/>
          <w:szCs w:val="32"/>
          <w:shd w:val="clear" w:color="auto" w:fill="FFFFFF"/>
        </w:rPr>
        <w:t>第四部分 202</w:t>
      </w:r>
      <w:r>
        <w:rPr>
          <w:rFonts w:hint="eastAsia" w:ascii="楷体" w:hAnsi="楷体" w:eastAsia="楷体" w:cs="楷体"/>
          <w:b/>
          <w:bCs/>
          <w:color w:val="000000"/>
          <w:sz w:val="32"/>
          <w:szCs w:val="32"/>
          <w:shd w:val="clear" w:color="auto" w:fill="FFFFFF"/>
          <w:lang w:val="en-US" w:eastAsia="zh-CN"/>
        </w:rPr>
        <w:t>6</w:t>
      </w:r>
      <w:r>
        <w:rPr>
          <w:rFonts w:hint="eastAsia" w:ascii="楷体" w:hAnsi="楷体" w:eastAsia="楷体" w:cs="楷体"/>
          <w:b/>
          <w:bCs/>
          <w:color w:val="000000"/>
          <w:sz w:val="32"/>
          <w:szCs w:val="32"/>
          <w:shd w:val="clear" w:color="auto" w:fill="FFFFFF"/>
        </w:rPr>
        <w:t>年部门（单位）预算情况说明</w:t>
      </w:r>
      <w:r>
        <w:rPr>
          <w:rFonts w:hint="eastAsia" w:ascii="楷体" w:hAnsi="楷体" w:eastAsia="楷体" w:cs="楷体"/>
          <w:color w:val="000000"/>
          <w:sz w:val="32"/>
          <w:szCs w:val="32"/>
          <w:shd w:val="clear" w:color="auto" w:fill="FFFFFF"/>
        </w:rPr>
        <w:t> </w:t>
      </w:r>
    </w:p>
    <w:p w14:paraId="5F85826C">
      <w:pPr>
        <w:pStyle w:val="5"/>
        <w:widowControl/>
        <w:shd w:val="clear" w:color="auto" w:fill="FFFFFF"/>
        <w:spacing w:line="560" w:lineRule="atLeast"/>
        <w:ind w:firstLine="422"/>
        <w:jc w:val="left"/>
        <w:rPr>
          <w:rFonts w:ascii="微软雅黑" w:hAnsi="微软雅黑" w:eastAsia="微软雅黑" w:cs="微软雅黑"/>
          <w:color w:val="000000"/>
        </w:rPr>
      </w:pPr>
      <w:r>
        <w:rPr>
          <w:rFonts w:hint="eastAsia" w:ascii="楷体" w:hAnsi="楷体" w:eastAsia="楷体" w:cs="楷体"/>
          <w:b/>
          <w:bCs/>
          <w:color w:val="000000"/>
          <w:sz w:val="32"/>
          <w:szCs w:val="32"/>
          <w:shd w:val="clear" w:color="auto" w:fill="FFFFFF"/>
        </w:rPr>
        <w:t>第五部分 名词解释</w:t>
      </w:r>
      <w:r>
        <w:rPr>
          <w:rFonts w:hint="eastAsia" w:ascii="楷体" w:hAnsi="楷体" w:eastAsia="楷体" w:cs="楷体"/>
          <w:color w:val="000000"/>
          <w:sz w:val="32"/>
          <w:szCs w:val="32"/>
          <w:shd w:val="clear" w:color="auto" w:fill="FFFFFF"/>
        </w:rPr>
        <w:t> </w:t>
      </w:r>
    </w:p>
    <w:p w14:paraId="74415C38">
      <w:pPr>
        <w:pStyle w:val="5"/>
        <w:widowControl/>
        <w:shd w:val="clear" w:color="auto" w:fill="FFFFFF"/>
        <w:spacing w:line="600" w:lineRule="atLeast"/>
        <w:jc w:val="center"/>
        <w:rPr>
          <w:rFonts w:ascii="楷体" w:hAnsi="楷体" w:eastAsia="楷体" w:cs="楷体"/>
          <w:b/>
          <w:bCs/>
          <w:color w:val="000000"/>
          <w:sz w:val="32"/>
          <w:szCs w:val="32"/>
          <w:shd w:val="clear" w:color="auto" w:fill="FFFFFF"/>
        </w:rPr>
      </w:pPr>
    </w:p>
    <w:p w14:paraId="13BFEC53">
      <w:pPr>
        <w:pStyle w:val="5"/>
        <w:widowControl/>
        <w:shd w:val="clear" w:color="auto" w:fill="FFFFFF"/>
        <w:spacing w:line="600" w:lineRule="atLeast"/>
        <w:jc w:val="center"/>
        <w:rPr>
          <w:rFonts w:ascii="楷体" w:hAnsi="楷体" w:eastAsia="楷体" w:cs="楷体"/>
          <w:b/>
          <w:bCs/>
          <w:color w:val="000000"/>
          <w:sz w:val="32"/>
          <w:szCs w:val="32"/>
          <w:shd w:val="clear" w:color="auto" w:fill="FFFFFF"/>
        </w:rPr>
      </w:pPr>
    </w:p>
    <w:p w14:paraId="4346459C">
      <w:pPr>
        <w:pStyle w:val="5"/>
        <w:widowControl/>
        <w:shd w:val="clear" w:color="auto" w:fill="FFFFFF"/>
        <w:spacing w:line="600" w:lineRule="atLeast"/>
        <w:jc w:val="center"/>
        <w:rPr>
          <w:rFonts w:ascii="楷体" w:hAnsi="楷体" w:eastAsia="楷体" w:cs="楷体"/>
          <w:b/>
          <w:bCs/>
          <w:color w:val="000000"/>
          <w:sz w:val="32"/>
          <w:szCs w:val="32"/>
          <w:shd w:val="clear" w:color="auto" w:fill="FFFFFF"/>
        </w:rPr>
      </w:pPr>
    </w:p>
    <w:p w14:paraId="2F5C151F">
      <w:pPr>
        <w:pStyle w:val="5"/>
        <w:widowControl/>
        <w:shd w:val="clear" w:color="auto" w:fill="FFFFFF"/>
        <w:spacing w:line="600" w:lineRule="atLeast"/>
        <w:jc w:val="center"/>
        <w:rPr>
          <w:rFonts w:ascii="楷体" w:hAnsi="楷体" w:eastAsia="楷体" w:cs="楷体"/>
          <w:b/>
          <w:bCs/>
          <w:color w:val="000000"/>
          <w:sz w:val="32"/>
          <w:szCs w:val="32"/>
          <w:shd w:val="clear" w:color="auto" w:fill="FFFFFF"/>
        </w:rPr>
      </w:pPr>
    </w:p>
    <w:p w14:paraId="1AE6F3FB">
      <w:pPr>
        <w:pStyle w:val="5"/>
        <w:widowControl/>
        <w:shd w:val="clear" w:color="auto" w:fill="FFFFFF"/>
        <w:spacing w:line="600" w:lineRule="atLeast"/>
        <w:jc w:val="center"/>
        <w:rPr>
          <w:rFonts w:ascii="楷体" w:hAnsi="楷体" w:eastAsia="楷体" w:cs="楷体"/>
          <w:b/>
          <w:bCs/>
          <w:color w:val="000000"/>
          <w:sz w:val="32"/>
          <w:szCs w:val="32"/>
          <w:shd w:val="clear" w:color="auto" w:fill="FFFFFF"/>
        </w:rPr>
      </w:pPr>
    </w:p>
    <w:p w14:paraId="42581B42">
      <w:pPr>
        <w:pStyle w:val="5"/>
        <w:widowControl/>
        <w:shd w:val="clear" w:color="auto" w:fill="FFFFFF"/>
        <w:spacing w:line="600" w:lineRule="atLeast"/>
        <w:jc w:val="center"/>
        <w:rPr>
          <w:rFonts w:ascii="楷体" w:hAnsi="楷体" w:eastAsia="楷体" w:cs="楷体"/>
          <w:b/>
          <w:bCs/>
          <w:color w:val="000000"/>
          <w:sz w:val="32"/>
          <w:szCs w:val="32"/>
          <w:shd w:val="clear" w:color="auto" w:fill="FFFFFF"/>
        </w:rPr>
      </w:pPr>
    </w:p>
    <w:p w14:paraId="6DC28092">
      <w:pPr>
        <w:pStyle w:val="5"/>
        <w:widowControl/>
        <w:shd w:val="clear" w:color="auto" w:fill="FFFFFF"/>
        <w:spacing w:line="600" w:lineRule="atLeast"/>
        <w:jc w:val="center"/>
        <w:rPr>
          <w:rFonts w:ascii="楷体" w:hAnsi="楷体" w:eastAsia="楷体" w:cs="楷体"/>
          <w:b/>
          <w:bCs/>
          <w:color w:val="000000"/>
          <w:sz w:val="32"/>
          <w:szCs w:val="32"/>
          <w:shd w:val="clear" w:color="auto" w:fill="FFFFFF"/>
        </w:rPr>
      </w:pPr>
    </w:p>
    <w:p w14:paraId="390EB759">
      <w:pPr>
        <w:pStyle w:val="5"/>
        <w:widowControl/>
        <w:shd w:val="clear" w:color="auto" w:fill="FFFFFF"/>
        <w:spacing w:line="600" w:lineRule="atLeast"/>
        <w:jc w:val="center"/>
        <w:rPr>
          <w:rFonts w:ascii="楷体" w:hAnsi="楷体" w:eastAsia="楷体" w:cs="楷体"/>
          <w:b/>
          <w:bCs/>
          <w:color w:val="000000"/>
          <w:sz w:val="32"/>
          <w:szCs w:val="32"/>
          <w:shd w:val="clear" w:color="auto" w:fill="FFFFFF"/>
        </w:rPr>
      </w:pPr>
    </w:p>
    <w:p w14:paraId="0C9AC839">
      <w:pPr>
        <w:pStyle w:val="5"/>
        <w:widowControl/>
        <w:shd w:val="clear" w:color="auto" w:fill="FFFFFF"/>
        <w:spacing w:line="600" w:lineRule="atLeast"/>
        <w:jc w:val="center"/>
        <w:rPr>
          <w:rFonts w:ascii="楷体" w:hAnsi="楷体" w:eastAsia="楷体" w:cs="楷体"/>
          <w:b/>
          <w:bCs/>
          <w:color w:val="000000"/>
          <w:sz w:val="32"/>
          <w:szCs w:val="32"/>
          <w:shd w:val="clear" w:color="auto" w:fill="FFFFFF"/>
        </w:rPr>
      </w:pPr>
    </w:p>
    <w:p w14:paraId="62325520">
      <w:pPr>
        <w:pStyle w:val="5"/>
        <w:widowControl/>
        <w:shd w:val="clear" w:color="auto" w:fill="FFFFFF"/>
        <w:spacing w:line="600" w:lineRule="atLeast"/>
        <w:jc w:val="center"/>
        <w:rPr>
          <w:rFonts w:ascii="楷体" w:hAnsi="楷体" w:eastAsia="楷体" w:cs="楷体"/>
          <w:b/>
          <w:bCs/>
          <w:color w:val="000000"/>
          <w:sz w:val="32"/>
          <w:szCs w:val="32"/>
          <w:shd w:val="clear" w:color="auto" w:fill="FFFFFF"/>
        </w:rPr>
      </w:pPr>
    </w:p>
    <w:p w14:paraId="2FDFD54D">
      <w:pPr>
        <w:pStyle w:val="5"/>
        <w:widowControl/>
        <w:shd w:val="clear" w:color="auto" w:fill="FFFFFF"/>
        <w:spacing w:line="600" w:lineRule="atLeast"/>
        <w:jc w:val="center"/>
        <w:rPr>
          <w:rFonts w:ascii="楷体" w:hAnsi="楷体" w:eastAsia="楷体" w:cs="楷体"/>
          <w:b/>
          <w:bCs/>
          <w:color w:val="000000"/>
          <w:sz w:val="32"/>
          <w:szCs w:val="32"/>
          <w:shd w:val="clear" w:color="auto" w:fill="FFFFFF"/>
        </w:rPr>
      </w:pPr>
    </w:p>
    <w:p w14:paraId="34D904EB">
      <w:pPr>
        <w:pStyle w:val="5"/>
        <w:widowControl/>
        <w:shd w:val="clear" w:color="auto" w:fill="FFFFFF"/>
        <w:spacing w:line="600" w:lineRule="atLeast"/>
        <w:jc w:val="center"/>
        <w:rPr>
          <w:rFonts w:ascii="楷体" w:hAnsi="楷体" w:eastAsia="楷体" w:cs="楷体"/>
          <w:b/>
          <w:bCs/>
          <w:color w:val="000000"/>
          <w:sz w:val="32"/>
          <w:szCs w:val="32"/>
          <w:shd w:val="clear" w:color="auto" w:fill="FFFFFF"/>
        </w:rPr>
      </w:pPr>
    </w:p>
    <w:p w14:paraId="7D60BF1D">
      <w:pPr>
        <w:pStyle w:val="5"/>
        <w:widowControl/>
        <w:shd w:val="clear" w:color="auto" w:fill="FFFFFF"/>
        <w:spacing w:line="600" w:lineRule="atLeast"/>
        <w:jc w:val="center"/>
        <w:rPr>
          <w:rFonts w:ascii="楷体" w:hAnsi="楷体" w:eastAsia="楷体" w:cs="楷体"/>
          <w:b/>
          <w:bCs/>
          <w:color w:val="000000"/>
          <w:sz w:val="32"/>
          <w:szCs w:val="32"/>
          <w:shd w:val="clear" w:color="auto" w:fill="FFFFFF"/>
        </w:rPr>
      </w:pPr>
    </w:p>
    <w:p w14:paraId="61AA7F1E">
      <w:pPr>
        <w:pStyle w:val="5"/>
        <w:widowControl/>
        <w:shd w:val="clear" w:color="auto" w:fill="FFFFFF"/>
        <w:spacing w:line="600" w:lineRule="atLeast"/>
        <w:jc w:val="center"/>
        <w:rPr>
          <w:rFonts w:ascii="楷体" w:hAnsi="楷体" w:eastAsia="楷体" w:cs="楷体"/>
          <w:b/>
          <w:bCs/>
          <w:color w:val="000000"/>
          <w:sz w:val="32"/>
          <w:szCs w:val="32"/>
          <w:shd w:val="clear" w:color="auto" w:fill="FFFFFF"/>
        </w:rPr>
      </w:pPr>
    </w:p>
    <w:p w14:paraId="612D14F5">
      <w:pPr>
        <w:pStyle w:val="5"/>
        <w:widowControl/>
        <w:shd w:val="clear" w:color="auto" w:fill="FFFFFF"/>
        <w:spacing w:line="600" w:lineRule="atLeast"/>
        <w:jc w:val="center"/>
        <w:rPr>
          <w:rFonts w:ascii="微软雅黑" w:hAnsi="微软雅黑" w:eastAsia="微软雅黑" w:cs="微软雅黑"/>
          <w:color w:val="000000"/>
        </w:rPr>
      </w:pPr>
      <w:r>
        <w:rPr>
          <w:rFonts w:hint="eastAsia" w:ascii="楷体" w:hAnsi="楷体" w:eastAsia="楷体" w:cs="楷体"/>
          <w:b/>
          <w:bCs/>
          <w:color w:val="000000"/>
          <w:sz w:val="32"/>
          <w:szCs w:val="32"/>
          <w:shd w:val="clear" w:color="auto" w:fill="FFFFFF"/>
        </w:rPr>
        <w:t>第一部分  部门预算公开管理文件</w:t>
      </w:r>
    </w:p>
    <w:p w14:paraId="7BECDE5B">
      <w:pPr>
        <w:pStyle w:val="5"/>
        <w:widowControl/>
        <w:shd w:val="clear" w:color="auto" w:fill="FFFFFF"/>
        <w:spacing w:line="600" w:lineRule="atLeast"/>
        <w:jc w:val="center"/>
        <w:rPr>
          <w:rFonts w:ascii="微软雅黑" w:hAnsi="微软雅黑" w:eastAsia="微软雅黑" w:cs="微软雅黑"/>
          <w:color w:val="000000"/>
        </w:rPr>
      </w:pPr>
      <w:r>
        <w:rPr>
          <w:rFonts w:ascii="仿宋" w:hAnsi="仿宋" w:eastAsia="仿宋" w:cs="仿宋"/>
          <w:color w:val="333333"/>
          <w:sz w:val="32"/>
          <w:szCs w:val="32"/>
          <w:shd w:val="clear" w:color="auto" w:fill="FFFFFF"/>
        </w:rPr>
        <w:t>　鞍山市</w:t>
      </w:r>
      <w:r>
        <w:rPr>
          <w:rFonts w:hint="eastAsia" w:ascii="仿宋" w:hAnsi="仿宋" w:eastAsia="仿宋" w:cs="仿宋"/>
          <w:color w:val="333333"/>
          <w:sz w:val="32"/>
          <w:szCs w:val="32"/>
          <w:shd w:val="clear" w:color="auto" w:fill="FFFFFF"/>
        </w:rPr>
        <w:t>预决算信息公开管理暂行办法</w:t>
      </w:r>
    </w:p>
    <w:p w14:paraId="670C240A">
      <w:pPr>
        <w:pStyle w:val="5"/>
        <w:widowControl/>
        <w:shd w:val="clear" w:color="auto" w:fill="FFFFFF"/>
        <w:spacing w:line="600" w:lineRule="atLeast"/>
        <w:jc w:val="center"/>
        <w:rPr>
          <w:rFonts w:ascii="微软雅黑" w:hAnsi="微软雅黑" w:eastAsia="微软雅黑" w:cs="微软雅黑"/>
          <w:color w:val="000000"/>
        </w:rPr>
      </w:pPr>
      <w:r>
        <w:rPr>
          <w:rFonts w:hint="eastAsia" w:ascii="仿宋" w:hAnsi="仿宋" w:eastAsia="仿宋" w:cs="仿宋"/>
          <w:color w:val="333333"/>
          <w:sz w:val="32"/>
          <w:szCs w:val="32"/>
          <w:shd w:val="clear" w:color="auto" w:fill="FFFFFF"/>
        </w:rPr>
        <w:t>（鞍财预〔2019〕313号）</w:t>
      </w:r>
    </w:p>
    <w:p w14:paraId="3C46707F">
      <w:pPr>
        <w:pStyle w:val="5"/>
        <w:widowControl/>
        <w:shd w:val="clear" w:color="auto" w:fill="FFFFFF"/>
        <w:spacing w:after="156" w:line="600" w:lineRule="atLeast"/>
        <w:jc w:val="center"/>
        <w:rPr>
          <w:rFonts w:ascii="微软雅黑" w:hAnsi="微软雅黑" w:eastAsia="微软雅黑" w:cs="微软雅黑"/>
          <w:color w:val="000000"/>
        </w:rPr>
      </w:pPr>
      <w:r>
        <w:rPr>
          <w:rFonts w:hint="eastAsia" w:ascii="黑体" w:hAnsi="宋体" w:eastAsia="黑体" w:cs="黑体"/>
          <w:color w:val="333333"/>
          <w:sz w:val="32"/>
          <w:szCs w:val="32"/>
          <w:shd w:val="clear" w:color="auto" w:fill="FFFFFF"/>
        </w:rPr>
        <w:t>第一章  公开原则</w:t>
      </w:r>
    </w:p>
    <w:p w14:paraId="32BC6D52">
      <w:pPr>
        <w:pStyle w:val="5"/>
        <w:widowControl/>
        <w:shd w:val="clear" w:color="auto" w:fill="FFFFFF"/>
        <w:spacing w:line="600" w:lineRule="atLeast"/>
        <w:jc w:val="left"/>
        <w:rPr>
          <w:rFonts w:ascii="微软雅黑" w:hAnsi="微软雅黑" w:eastAsia="微软雅黑" w:cs="微软雅黑"/>
          <w:color w:val="000000"/>
        </w:rPr>
      </w:pPr>
      <w:r>
        <w:rPr>
          <w:rFonts w:hint="eastAsia" w:ascii="宋体" w:hAnsi="宋体" w:eastAsia="宋体" w:cs="宋体"/>
          <w:color w:val="000000"/>
          <w:sz w:val="32"/>
          <w:szCs w:val="32"/>
          <w:shd w:val="clear" w:color="auto" w:fill="FFFFFF"/>
        </w:rPr>
        <w:t>   </w:t>
      </w:r>
      <w:r>
        <w:rPr>
          <w:rFonts w:hint="eastAsia" w:ascii="仿宋" w:hAnsi="仿宋" w:eastAsia="仿宋" w:cs="仿宋"/>
          <w:color w:val="333333"/>
          <w:sz w:val="32"/>
          <w:szCs w:val="32"/>
          <w:shd w:val="clear" w:color="auto" w:fill="FFFFFF"/>
        </w:rPr>
        <w:t> 第一条  为推进和规范预决算信息公开工作，强化社会监督，转变政府职能，建立透明预决算制度，根据《中华人民共和国预算法》、《中华人民共和国政府信息公开条例》及《地方预决算公开操作规程》等有关规定和要求，结合本部门实际，制定本办法。</w:t>
      </w:r>
    </w:p>
    <w:p w14:paraId="72DA9A16">
      <w:pPr>
        <w:pStyle w:val="5"/>
        <w:widowControl/>
        <w:shd w:val="clear" w:color="auto" w:fill="FFFFFF"/>
        <w:spacing w:line="600" w:lineRule="atLeast"/>
        <w:jc w:val="left"/>
        <w:rPr>
          <w:rFonts w:ascii="微软雅黑" w:hAnsi="微软雅黑" w:eastAsia="微软雅黑" w:cs="微软雅黑"/>
          <w:color w:val="000000"/>
        </w:rPr>
      </w:pPr>
      <w:r>
        <w:rPr>
          <w:rFonts w:hint="eastAsia" w:ascii="仿宋" w:hAnsi="仿宋" w:eastAsia="仿宋" w:cs="仿宋"/>
          <w:color w:val="333333"/>
          <w:sz w:val="32"/>
          <w:szCs w:val="32"/>
          <w:shd w:val="clear" w:color="auto" w:fill="FFFFFF"/>
        </w:rPr>
        <w:t>    第二条  预决算信息以公开为常态，不公开为例外，依法依规公开预决算信息。除涉及国家秘密外，不得少公开、不公开应当公开的事项，保证公开内容全面、真实、完整。</w:t>
      </w:r>
    </w:p>
    <w:p w14:paraId="042311B3">
      <w:pPr>
        <w:pStyle w:val="5"/>
        <w:widowControl/>
        <w:shd w:val="clear" w:color="auto" w:fill="FFFFFF"/>
        <w:spacing w:line="600" w:lineRule="atLeast"/>
        <w:jc w:val="left"/>
        <w:rPr>
          <w:rFonts w:ascii="微软雅黑" w:hAnsi="微软雅黑" w:eastAsia="微软雅黑" w:cs="微软雅黑"/>
          <w:color w:val="000000"/>
        </w:rPr>
      </w:pPr>
      <w:r>
        <w:rPr>
          <w:rFonts w:hint="eastAsia" w:ascii="仿宋" w:hAnsi="仿宋" w:eastAsia="仿宋" w:cs="仿宋"/>
          <w:color w:val="333333"/>
          <w:sz w:val="32"/>
          <w:szCs w:val="32"/>
          <w:shd w:val="clear" w:color="auto" w:fill="FFFFFF"/>
        </w:rPr>
        <w:t>    第三条  公开及时，内容准确，形式规范。方便社会监督，公开内容让公众找得着、看得懂、能监督。</w:t>
      </w:r>
    </w:p>
    <w:p w14:paraId="3C633A5D">
      <w:pPr>
        <w:pStyle w:val="5"/>
        <w:widowControl/>
        <w:shd w:val="clear" w:color="auto" w:fill="FFFFFF"/>
        <w:spacing w:after="156" w:line="600" w:lineRule="atLeast"/>
        <w:jc w:val="center"/>
        <w:rPr>
          <w:rFonts w:ascii="微软雅黑" w:hAnsi="微软雅黑" w:eastAsia="微软雅黑" w:cs="微软雅黑"/>
          <w:color w:val="000000"/>
        </w:rPr>
      </w:pPr>
      <w:r>
        <w:rPr>
          <w:rFonts w:ascii="Tahoma" w:hAnsi="Tahoma" w:eastAsia="Tahoma" w:cs="Tahoma"/>
          <w:color w:val="111111"/>
          <w:sz w:val="18"/>
          <w:szCs w:val="18"/>
          <w:shd w:val="clear" w:color="auto" w:fill="FFFFFF"/>
        </w:rPr>
        <w:t>　</w:t>
      </w:r>
      <w:r>
        <w:rPr>
          <w:rFonts w:hint="eastAsia" w:ascii="黑体" w:hAnsi="宋体" w:eastAsia="黑体" w:cs="黑体"/>
          <w:color w:val="333333"/>
          <w:sz w:val="32"/>
          <w:szCs w:val="32"/>
          <w:shd w:val="clear" w:color="auto" w:fill="FFFFFF"/>
        </w:rPr>
        <w:t>第二章</w:t>
      </w:r>
      <w:r>
        <w:rPr>
          <w:rFonts w:hint="eastAsia" w:ascii="宋体" w:hAnsi="宋体" w:eastAsia="宋体" w:cs="宋体"/>
          <w:color w:val="333333"/>
          <w:sz w:val="32"/>
          <w:szCs w:val="32"/>
          <w:shd w:val="clear" w:color="auto" w:fill="FFFFFF"/>
        </w:rPr>
        <w:t>  </w:t>
      </w:r>
      <w:r>
        <w:rPr>
          <w:rFonts w:hint="eastAsia" w:ascii="黑体" w:hAnsi="宋体" w:eastAsia="黑体" w:cs="黑体"/>
          <w:color w:val="333333"/>
          <w:sz w:val="32"/>
          <w:szCs w:val="32"/>
          <w:shd w:val="clear" w:color="auto" w:fill="FFFFFF"/>
        </w:rPr>
        <w:t>公开主体和职责</w:t>
      </w:r>
      <w:r>
        <w:rPr>
          <w:rFonts w:ascii="Tahoma" w:hAnsi="Tahoma" w:eastAsia="Tahoma" w:cs="Tahoma"/>
          <w:color w:val="111111"/>
          <w:sz w:val="18"/>
          <w:szCs w:val="18"/>
          <w:shd w:val="clear" w:color="auto" w:fill="FFFFFF"/>
        </w:rPr>
        <w:t> </w:t>
      </w:r>
    </w:p>
    <w:p w14:paraId="1CB2E9AA">
      <w:pPr>
        <w:pStyle w:val="5"/>
        <w:widowControl/>
        <w:shd w:val="clear" w:color="auto" w:fill="FFFFFF"/>
        <w:spacing w:line="600" w:lineRule="atLeast"/>
        <w:ind w:firstLine="640"/>
        <w:jc w:val="left"/>
        <w:rPr>
          <w:rFonts w:ascii="微软雅黑" w:hAnsi="微软雅黑" w:eastAsia="微软雅黑" w:cs="微软雅黑"/>
          <w:color w:val="000000"/>
        </w:rPr>
      </w:pPr>
      <w:r>
        <w:rPr>
          <w:rFonts w:hint="eastAsia" w:ascii="仿宋" w:hAnsi="仿宋" w:eastAsia="仿宋" w:cs="仿宋"/>
          <w:color w:val="333333"/>
          <w:sz w:val="32"/>
          <w:szCs w:val="32"/>
          <w:shd w:val="clear" w:color="auto" w:fill="FFFFFF"/>
        </w:rPr>
        <w:t>第四条  部门负责本单位及所属单位的预决算信息公开工作，履行下列职责：</w:t>
      </w:r>
      <w:r>
        <w:rPr>
          <w:rFonts w:hint="eastAsia" w:ascii="宋体" w:hAnsi="宋体" w:eastAsia="宋体" w:cs="宋体"/>
          <w:color w:val="333333"/>
          <w:sz w:val="32"/>
          <w:szCs w:val="32"/>
          <w:shd w:val="clear" w:color="auto" w:fill="FFFFFF"/>
        </w:rPr>
        <w:t> </w:t>
      </w:r>
      <w:r>
        <w:rPr>
          <w:rFonts w:ascii="Tahoma" w:hAnsi="Tahoma" w:eastAsia="Tahoma" w:cs="Tahoma"/>
          <w:color w:val="111111"/>
          <w:sz w:val="18"/>
          <w:szCs w:val="18"/>
          <w:shd w:val="clear" w:color="auto" w:fill="FFFFFF"/>
        </w:rPr>
        <w:t> </w:t>
      </w:r>
    </w:p>
    <w:p w14:paraId="29BE2C89">
      <w:pPr>
        <w:pStyle w:val="5"/>
        <w:widowControl/>
        <w:shd w:val="clear" w:color="auto" w:fill="FFFFFF"/>
        <w:spacing w:line="600" w:lineRule="atLeast"/>
        <w:ind w:firstLine="640"/>
        <w:jc w:val="left"/>
        <w:rPr>
          <w:rFonts w:ascii="微软雅黑" w:hAnsi="微软雅黑" w:eastAsia="微软雅黑" w:cs="微软雅黑"/>
          <w:color w:val="000000"/>
        </w:rPr>
      </w:pPr>
      <w:r>
        <w:rPr>
          <w:rFonts w:hint="eastAsia" w:ascii="仿宋" w:hAnsi="仿宋" w:eastAsia="仿宋" w:cs="仿宋"/>
          <w:color w:val="333333"/>
          <w:sz w:val="32"/>
          <w:szCs w:val="32"/>
          <w:shd w:val="clear" w:color="auto" w:fill="FFFFFF"/>
        </w:rPr>
        <w:t>（一）制定本单位及所属单位预决算信息公开的工作方案；</w:t>
      </w:r>
    </w:p>
    <w:p w14:paraId="73560611">
      <w:pPr>
        <w:pStyle w:val="5"/>
        <w:widowControl/>
        <w:shd w:val="clear" w:color="auto" w:fill="FFFFFF"/>
        <w:spacing w:line="600" w:lineRule="atLeast"/>
        <w:ind w:firstLine="640"/>
        <w:jc w:val="left"/>
        <w:rPr>
          <w:rFonts w:ascii="微软雅黑" w:hAnsi="微软雅黑" w:eastAsia="微软雅黑" w:cs="微软雅黑"/>
          <w:color w:val="000000"/>
        </w:rPr>
      </w:pPr>
      <w:r>
        <w:rPr>
          <w:rFonts w:hint="eastAsia" w:ascii="仿宋" w:hAnsi="仿宋" w:eastAsia="仿宋" w:cs="仿宋"/>
          <w:color w:val="333333"/>
          <w:sz w:val="32"/>
          <w:szCs w:val="32"/>
          <w:shd w:val="clear" w:color="auto" w:fill="FFFFFF"/>
        </w:rPr>
        <w:t>（二）按规定公开本单位及所属单位的预决算信息；</w:t>
      </w:r>
      <w:r>
        <w:rPr>
          <w:rFonts w:hint="eastAsia" w:ascii="宋体" w:hAnsi="宋体" w:eastAsia="宋体" w:cs="宋体"/>
          <w:color w:val="333333"/>
          <w:sz w:val="32"/>
          <w:szCs w:val="32"/>
          <w:shd w:val="clear" w:color="auto" w:fill="FFFFFF"/>
        </w:rPr>
        <w:t> </w:t>
      </w:r>
      <w:r>
        <w:rPr>
          <w:rFonts w:ascii="Tahoma" w:hAnsi="Tahoma" w:eastAsia="Tahoma" w:cs="Tahoma"/>
          <w:color w:val="111111"/>
          <w:sz w:val="18"/>
          <w:szCs w:val="18"/>
          <w:shd w:val="clear" w:color="auto" w:fill="FFFFFF"/>
        </w:rPr>
        <w:t> </w:t>
      </w:r>
    </w:p>
    <w:p w14:paraId="359A1873">
      <w:pPr>
        <w:pStyle w:val="5"/>
        <w:widowControl/>
        <w:shd w:val="clear" w:color="auto" w:fill="FFFFFF"/>
        <w:spacing w:line="600" w:lineRule="atLeast"/>
        <w:ind w:firstLine="640"/>
        <w:jc w:val="left"/>
        <w:rPr>
          <w:rFonts w:ascii="微软雅黑" w:hAnsi="微软雅黑" w:eastAsia="微软雅黑" w:cs="微软雅黑"/>
          <w:color w:val="000000"/>
        </w:rPr>
      </w:pPr>
      <w:r>
        <w:rPr>
          <w:rFonts w:hint="eastAsia" w:ascii="仿宋" w:hAnsi="仿宋" w:eastAsia="仿宋" w:cs="仿宋"/>
          <w:color w:val="333333"/>
          <w:sz w:val="32"/>
          <w:szCs w:val="32"/>
          <w:shd w:val="clear" w:color="auto" w:fill="FFFFFF"/>
        </w:rPr>
        <w:t>（三）对所属单位预决算信息公开工作进行指导、监督和检查；</w:t>
      </w:r>
      <w:r>
        <w:rPr>
          <w:rFonts w:hint="eastAsia" w:ascii="宋体" w:hAnsi="宋体" w:eastAsia="宋体" w:cs="宋体"/>
          <w:color w:val="333333"/>
          <w:sz w:val="32"/>
          <w:szCs w:val="32"/>
          <w:shd w:val="clear" w:color="auto" w:fill="FFFFFF"/>
        </w:rPr>
        <w:t> </w:t>
      </w:r>
      <w:r>
        <w:rPr>
          <w:rFonts w:ascii="Tahoma" w:hAnsi="Tahoma" w:eastAsia="Tahoma" w:cs="Tahoma"/>
          <w:color w:val="111111"/>
          <w:sz w:val="18"/>
          <w:szCs w:val="18"/>
          <w:shd w:val="clear" w:color="auto" w:fill="FFFFFF"/>
        </w:rPr>
        <w:t> </w:t>
      </w:r>
    </w:p>
    <w:p w14:paraId="559BD4C0">
      <w:pPr>
        <w:pStyle w:val="5"/>
        <w:widowControl/>
        <w:shd w:val="clear" w:color="auto" w:fill="FFFFFF"/>
        <w:spacing w:line="600" w:lineRule="atLeast"/>
        <w:ind w:firstLine="640"/>
        <w:jc w:val="left"/>
        <w:rPr>
          <w:rFonts w:ascii="微软雅黑" w:hAnsi="微软雅黑" w:eastAsia="微软雅黑" w:cs="微软雅黑"/>
          <w:color w:val="000000"/>
        </w:rPr>
      </w:pPr>
      <w:r>
        <w:rPr>
          <w:rFonts w:hint="eastAsia" w:ascii="仿宋" w:hAnsi="仿宋" w:eastAsia="仿宋" w:cs="仿宋"/>
          <w:color w:val="333333"/>
          <w:sz w:val="32"/>
          <w:szCs w:val="32"/>
          <w:shd w:val="clear" w:color="auto" w:fill="FFFFFF"/>
        </w:rPr>
        <w:t>（四）按规定做好本单位及所属单位预决算信息公开中的答复工作；</w:t>
      </w:r>
      <w:r>
        <w:rPr>
          <w:rFonts w:hint="eastAsia" w:ascii="宋体" w:hAnsi="宋体" w:eastAsia="宋体" w:cs="宋体"/>
          <w:color w:val="333333"/>
          <w:sz w:val="32"/>
          <w:szCs w:val="32"/>
          <w:shd w:val="clear" w:color="auto" w:fill="FFFFFF"/>
        </w:rPr>
        <w:t> </w:t>
      </w:r>
      <w:r>
        <w:rPr>
          <w:rFonts w:ascii="Tahoma" w:hAnsi="Tahoma" w:eastAsia="Tahoma" w:cs="Tahoma"/>
          <w:color w:val="111111"/>
          <w:sz w:val="18"/>
          <w:szCs w:val="18"/>
          <w:shd w:val="clear" w:color="auto" w:fill="FFFFFF"/>
        </w:rPr>
        <w:t> </w:t>
      </w:r>
    </w:p>
    <w:p w14:paraId="3908BD7B">
      <w:pPr>
        <w:pStyle w:val="5"/>
        <w:widowControl/>
        <w:shd w:val="clear" w:color="auto" w:fill="FFFFFF"/>
        <w:spacing w:line="600" w:lineRule="atLeast"/>
        <w:ind w:firstLine="640"/>
        <w:rPr>
          <w:rFonts w:ascii="微软雅黑" w:hAnsi="微软雅黑" w:eastAsia="微软雅黑" w:cs="微软雅黑"/>
          <w:color w:val="000000"/>
        </w:rPr>
      </w:pPr>
      <w:r>
        <w:rPr>
          <w:rFonts w:hint="eastAsia" w:ascii="仿宋" w:hAnsi="仿宋" w:eastAsia="仿宋" w:cs="仿宋"/>
          <w:color w:val="333333"/>
          <w:sz w:val="32"/>
          <w:szCs w:val="32"/>
          <w:shd w:val="clear" w:color="auto" w:fill="FFFFFF"/>
        </w:rPr>
        <w:t>（五）法律、法规、规章规定的其他职责。</w:t>
      </w:r>
      <w:r>
        <w:rPr>
          <w:rFonts w:hint="eastAsia" w:ascii="宋体" w:hAnsi="宋体" w:eastAsia="宋体" w:cs="宋体"/>
          <w:color w:val="333333"/>
          <w:sz w:val="32"/>
          <w:szCs w:val="32"/>
          <w:shd w:val="clear" w:color="auto" w:fill="FFFFFF"/>
        </w:rPr>
        <w:t> </w:t>
      </w:r>
    </w:p>
    <w:p w14:paraId="65206C98">
      <w:pPr>
        <w:pStyle w:val="5"/>
        <w:widowControl/>
        <w:shd w:val="clear" w:color="auto" w:fill="FFFFFF"/>
        <w:spacing w:line="600" w:lineRule="atLeast"/>
        <w:jc w:val="center"/>
        <w:rPr>
          <w:rFonts w:ascii="微软雅黑" w:hAnsi="微软雅黑" w:eastAsia="微软雅黑" w:cs="微软雅黑"/>
          <w:color w:val="000000"/>
        </w:rPr>
      </w:pPr>
      <w:r>
        <w:rPr>
          <w:rFonts w:hint="eastAsia" w:ascii="黑体" w:hAnsi="宋体" w:eastAsia="黑体" w:cs="黑体"/>
          <w:color w:val="333333"/>
          <w:sz w:val="32"/>
          <w:szCs w:val="32"/>
          <w:shd w:val="clear" w:color="auto" w:fill="FFFFFF"/>
        </w:rPr>
        <w:t>第三章  公开内容</w:t>
      </w:r>
    </w:p>
    <w:p w14:paraId="30BB5EB7">
      <w:pPr>
        <w:pStyle w:val="5"/>
        <w:widowControl/>
        <w:shd w:val="clear" w:color="auto" w:fill="FFFFFF"/>
        <w:spacing w:line="600" w:lineRule="atLeast"/>
        <w:jc w:val="left"/>
        <w:rPr>
          <w:rFonts w:ascii="微软雅黑" w:hAnsi="微软雅黑" w:eastAsia="微软雅黑" w:cs="微软雅黑"/>
          <w:color w:val="000000"/>
        </w:rPr>
      </w:pPr>
      <w:r>
        <w:rPr>
          <w:rFonts w:hint="eastAsia" w:ascii="宋体" w:hAnsi="宋体" w:eastAsia="宋体" w:cs="宋体"/>
          <w:color w:val="000000"/>
          <w:sz w:val="32"/>
          <w:szCs w:val="32"/>
          <w:shd w:val="clear" w:color="auto" w:fill="FFFFFF"/>
        </w:rPr>
        <w:t>  </w:t>
      </w:r>
      <w:r>
        <w:rPr>
          <w:rFonts w:hint="eastAsia" w:ascii="仿宋" w:hAnsi="仿宋" w:eastAsia="仿宋" w:cs="仿宋"/>
          <w:color w:val="333333"/>
          <w:sz w:val="32"/>
          <w:szCs w:val="32"/>
          <w:shd w:val="clear" w:color="auto" w:fill="FFFFFF"/>
        </w:rPr>
        <w:t>  第五条  部门预算信息（涉密信息除外）公开内容包括：</w:t>
      </w:r>
    </w:p>
    <w:p w14:paraId="31787178">
      <w:pPr>
        <w:pStyle w:val="5"/>
        <w:widowControl/>
        <w:shd w:val="clear" w:color="auto" w:fill="FFFFFF"/>
        <w:spacing w:line="600" w:lineRule="atLeast"/>
        <w:jc w:val="left"/>
        <w:rPr>
          <w:rFonts w:ascii="微软雅黑" w:hAnsi="微软雅黑" w:eastAsia="微软雅黑" w:cs="微软雅黑"/>
          <w:color w:val="000000"/>
        </w:rPr>
      </w:pPr>
      <w:r>
        <w:rPr>
          <w:rFonts w:hint="eastAsia" w:ascii="仿宋" w:hAnsi="仿宋" w:eastAsia="仿宋" w:cs="仿宋"/>
          <w:color w:val="333333"/>
          <w:sz w:val="32"/>
          <w:szCs w:val="32"/>
          <w:shd w:val="clear" w:color="auto" w:fill="FFFFFF"/>
        </w:rPr>
        <w:t>    （一）部门概况：主要包括部门主要职责、预算单位构成等。</w:t>
      </w:r>
    </w:p>
    <w:p w14:paraId="5889B0B3">
      <w:pPr>
        <w:pStyle w:val="5"/>
        <w:widowControl/>
        <w:shd w:val="clear" w:color="auto" w:fill="FFFFFF"/>
        <w:spacing w:line="600" w:lineRule="atLeast"/>
        <w:jc w:val="left"/>
        <w:rPr>
          <w:rFonts w:ascii="微软雅黑" w:hAnsi="微软雅黑" w:eastAsia="微软雅黑" w:cs="微软雅黑"/>
          <w:color w:val="000000"/>
        </w:rPr>
      </w:pPr>
      <w:r>
        <w:rPr>
          <w:rFonts w:hint="eastAsia" w:ascii="宋体" w:hAnsi="宋体" w:eastAsia="宋体" w:cs="宋体"/>
          <w:color w:val="000000"/>
          <w:sz w:val="32"/>
          <w:szCs w:val="32"/>
          <w:shd w:val="clear" w:color="auto" w:fill="FFFFFF"/>
        </w:rPr>
        <w:t>    </w:t>
      </w:r>
      <w:r>
        <w:rPr>
          <w:rFonts w:hint="eastAsia" w:ascii="仿宋" w:hAnsi="仿宋" w:eastAsia="仿宋" w:cs="仿宋"/>
          <w:color w:val="333333"/>
          <w:sz w:val="32"/>
          <w:szCs w:val="32"/>
          <w:shd w:val="clear" w:color="auto" w:fill="FFFFFF"/>
        </w:rPr>
        <w:t>（二）部门预算表。主要包括</w:t>
      </w:r>
      <w:r>
        <w:rPr>
          <w:rFonts w:hint="eastAsia" w:ascii="仿宋" w:hAnsi="仿宋" w:eastAsia="仿宋" w:cs="仿宋"/>
          <w:color w:val="000000"/>
          <w:sz w:val="32"/>
          <w:szCs w:val="32"/>
          <w:shd w:val="clear" w:color="auto" w:fill="FFFFFF"/>
        </w:rPr>
        <w:t>部门收支预算总表、部门收入预算总表、部门支出预算总表、一般公共预算支出表、财政拨款预算支出表、政府性基金预算支出表、一般公共预算基本支出表、项目支出预算表、政府采购支出预算表等。</w:t>
      </w:r>
      <w:r>
        <w:rPr>
          <w:rFonts w:ascii="Tahoma" w:hAnsi="Tahoma" w:eastAsia="Tahoma" w:cs="Tahoma"/>
          <w:color w:val="000000"/>
          <w:sz w:val="18"/>
          <w:szCs w:val="18"/>
          <w:shd w:val="clear" w:color="auto" w:fill="FFFFFF"/>
        </w:rPr>
        <w:t> </w:t>
      </w:r>
    </w:p>
    <w:p w14:paraId="464DEA88">
      <w:pPr>
        <w:pStyle w:val="5"/>
        <w:widowControl/>
        <w:shd w:val="clear" w:color="auto" w:fill="FFFFFF"/>
        <w:spacing w:line="600" w:lineRule="atLeast"/>
        <w:ind w:firstLine="660"/>
        <w:jc w:val="left"/>
        <w:rPr>
          <w:rFonts w:ascii="微软雅黑" w:hAnsi="微软雅黑" w:eastAsia="微软雅黑" w:cs="微软雅黑"/>
          <w:color w:val="000000"/>
        </w:rPr>
      </w:pPr>
      <w:r>
        <w:rPr>
          <w:rFonts w:hint="eastAsia" w:ascii="仿宋" w:hAnsi="仿宋" w:eastAsia="仿宋" w:cs="仿宋"/>
          <w:color w:val="333333"/>
          <w:sz w:val="32"/>
          <w:szCs w:val="32"/>
          <w:shd w:val="clear" w:color="auto" w:fill="FFFFFF"/>
        </w:rPr>
        <w:t>（三）部门预算情况说明。主要包括</w:t>
      </w:r>
      <w:r>
        <w:rPr>
          <w:rFonts w:hint="eastAsia" w:ascii="仿宋" w:hAnsi="仿宋" w:eastAsia="仿宋" w:cs="仿宋"/>
          <w:color w:val="000000"/>
          <w:sz w:val="32"/>
          <w:szCs w:val="32"/>
          <w:shd w:val="clear" w:color="auto" w:fill="FFFFFF"/>
        </w:rPr>
        <w:t>部门预算收支增减变化情况说明、</w:t>
      </w:r>
      <w:r>
        <w:rPr>
          <w:rFonts w:hint="eastAsia" w:ascii="仿宋" w:hAnsi="仿宋" w:eastAsia="仿宋" w:cs="仿宋"/>
          <w:color w:val="333333"/>
          <w:sz w:val="32"/>
          <w:szCs w:val="32"/>
          <w:shd w:val="clear" w:color="auto" w:fill="FFFFFF"/>
        </w:rPr>
        <w:t>“三公经费”预算增减变化情况说明、</w:t>
      </w:r>
      <w:r>
        <w:rPr>
          <w:rFonts w:hint="eastAsia" w:ascii="仿宋" w:hAnsi="仿宋" w:eastAsia="仿宋" w:cs="仿宋"/>
          <w:color w:val="000000"/>
          <w:sz w:val="32"/>
          <w:szCs w:val="32"/>
          <w:shd w:val="clear" w:color="auto" w:fill="FFFFFF"/>
        </w:rPr>
        <w:t>机关运行经费安排情况说明、政府采购安排情况说明、国有资产占有使用情况说明、预算绩效目标情况说明等。</w:t>
      </w:r>
    </w:p>
    <w:p w14:paraId="144FBD10">
      <w:pPr>
        <w:pStyle w:val="5"/>
        <w:widowControl/>
        <w:shd w:val="clear" w:color="auto" w:fill="FFFFFF"/>
        <w:spacing w:line="600" w:lineRule="atLeast"/>
        <w:ind w:firstLine="660"/>
        <w:jc w:val="left"/>
        <w:rPr>
          <w:rFonts w:ascii="微软雅黑" w:hAnsi="微软雅黑" w:eastAsia="微软雅黑" w:cs="微软雅黑"/>
          <w:color w:val="000000"/>
        </w:rPr>
      </w:pPr>
      <w:r>
        <w:rPr>
          <w:rFonts w:hint="eastAsia" w:ascii="仿宋" w:hAnsi="仿宋" w:eastAsia="仿宋" w:cs="仿宋"/>
          <w:color w:val="333333"/>
          <w:sz w:val="32"/>
          <w:szCs w:val="32"/>
          <w:shd w:val="clear" w:color="auto" w:fill="FFFFFF"/>
        </w:rPr>
        <w:t>（四）名词解释。主要对涉及本部门预算公开表中的专业名词进行解释说明。</w:t>
      </w:r>
    </w:p>
    <w:p w14:paraId="7F727E60">
      <w:pPr>
        <w:pStyle w:val="5"/>
        <w:widowControl/>
        <w:shd w:val="clear" w:color="auto" w:fill="FFFFFF"/>
        <w:spacing w:line="600" w:lineRule="atLeast"/>
        <w:ind w:firstLine="640"/>
        <w:jc w:val="left"/>
        <w:rPr>
          <w:rFonts w:ascii="微软雅黑" w:hAnsi="微软雅黑" w:eastAsia="微软雅黑" w:cs="微软雅黑"/>
          <w:color w:val="000000"/>
        </w:rPr>
      </w:pPr>
      <w:r>
        <w:rPr>
          <w:rFonts w:ascii="Tahoma" w:hAnsi="Tahoma" w:eastAsia="Tahoma" w:cs="Tahoma"/>
          <w:color w:val="000000"/>
          <w:sz w:val="18"/>
          <w:szCs w:val="18"/>
          <w:shd w:val="clear" w:color="auto" w:fill="FFFFFF"/>
        </w:rPr>
        <w:t>　</w:t>
      </w:r>
      <w:r>
        <w:rPr>
          <w:rFonts w:hint="eastAsia" w:ascii="仿宋" w:hAnsi="仿宋" w:eastAsia="仿宋" w:cs="仿宋"/>
          <w:color w:val="000000"/>
          <w:sz w:val="32"/>
          <w:szCs w:val="32"/>
          <w:shd w:val="clear" w:color="auto" w:fill="FFFFFF"/>
        </w:rPr>
        <w:t>第六条 部门决算信息（涉密信息除外）公开内容包括：</w:t>
      </w:r>
      <w:r>
        <w:rPr>
          <w:rFonts w:ascii="Tahoma" w:hAnsi="Tahoma" w:eastAsia="Tahoma" w:cs="Tahoma"/>
          <w:color w:val="000000"/>
          <w:sz w:val="18"/>
          <w:szCs w:val="18"/>
          <w:shd w:val="clear" w:color="auto" w:fill="FFFFFF"/>
        </w:rPr>
        <w:t> </w:t>
      </w:r>
    </w:p>
    <w:p w14:paraId="76E89573">
      <w:pPr>
        <w:pStyle w:val="5"/>
        <w:widowControl/>
        <w:shd w:val="clear" w:color="auto" w:fill="FFFFFF"/>
        <w:spacing w:line="600" w:lineRule="atLeast"/>
        <w:ind w:firstLine="640"/>
        <w:jc w:val="left"/>
        <w:rPr>
          <w:rFonts w:ascii="微软雅黑" w:hAnsi="微软雅黑" w:eastAsia="微软雅黑" w:cs="微软雅黑"/>
          <w:color w:val="000000"/>
        </w:rPr>
      </w:pPr>
      <w:r>
        <w:rPr>
          <w:rFonts w:hint="eastAsia" w:ascii="仿宋" w:hAnsi="仿宋" w:eastAsia="仿宋" w:cs="仿宋"/>
          <w:color w:val="000000"/>
          <w:sz w:val="32"/>
          <w:szCs w:val="32"/>
          <w:shd w:val="clear" w:color="auto" w:fill="FFFFFF"/>
        </w:rPr>
        <w:t>（一）部门概况。主要包括部门主要职能、部门决算单位构成情况等。</w:t>
      </w:r>
      <w:r>
        <w:rPr>
          <w:rFonts w:ascii="Tahoma" w:hAnsi="Tahoma" w:eastAsia="Tahoma" w:cs="Tahoma"/>
          <w:color w:val="000000"/>
          <w:sz w:val="18"/>
          <w:szCs w:val="18"/>
          <w:shd w:val="clear" w:color="auto" w:fill="FFFFFF"/>
        </w:rPr>
        <w:t> </w:t>
      </w:r>
    </w:p>
    <w:p w14:paraId="077FC479">
      <w:pPr>
        <w:pStyle w:val="5"/>
        <w:widowControl/>
        <w:shd w:val="clear" w:color="auto" w:fill="FFFFFF"/>
        <w:spacing w:line="600" w:lineRule="atLeast"/>
        <w:ind w:firstLine="640"/>
        <w:jc w:val="left"/>
        <w:rPr>
          <w:rFonts w:ascii="微软雅黑" w:hAnsi="微软雅黑" w:eastAsia="微软雅黑" w:cs="微软雅黑"/>
          <w:color w:val="000000"/>
        </w:rPr>
      </w:pPr>
      <w:r>
        <w:rPr>
          <w:rFonts w:hint="eastAsia" w:ascii="仿宋" w:hAnsi="仿宋" w:eastAsia="仿宋" w:cs="仿宋"/>
          <w:color w:val="000000"/>
          <w:sz w:val="32"/>
          <w:szCs w:val="32"/>
          <w:shd w:val="clear" w:color="auto" w:fill="FFFFFF"/>
        </w:rPr>
        <w:t>（二）部门决算表。主要包括收入支出决算总表、财政拨款支出决算表（按功能分类到项级）、财政拨款基本支出决算表（按经济分类到款级）、政府性基金预算财政拨款收入支出决算表、一般公共预算财政拨款“三公”经费等。</w:t>
      </w:r>
      <w:r>
        <w:rPr>
          <w:rFonts w:ascii="Tahoma" w:hAnsi="Tahoma" w:eastAsia="Tahoma" w:cs="Tahoma"/>
          <w:color w:val="000000"/>
          <w:sz w:val="18"/>
          <w:szCs w:val="18"/>
          <w:shd w:val="clear" w:color="auto" w:fill="FFFFFF"/>
        </w:rPr>
        <w:t> </w:t>
      </w:r>
    </w:p>
    <w:p w14:paraId="584A7D6E">
      <w:pPr>
        <w:pStyle w:val="5"/>
        <w:widowControl/>
        <w:shd w:val="clear" w:color="auto" w:fill="FFFFFF"/>
        <w:spacing w:line="600" w:lineRule="atLeast"/>
        <w:ind w:firstLine="640"/>
        <w:jc w:val="left"/>
        <w:rPr>
          <w:rFonts w:ascii="微软雅黑" w:hAnsi="微软雅黑" w:eastAsia="微软雅黑" w:cs="微软雅黑"/>
          <w:color w:val="000000"/>
        </w:rPr>
      </w:pPr>
      <w:r>
        <w:rPr>
          <w:rFonts w:hint="eastAsia" w:ascii="仿宋" w:hAnsi="仿宋" w:eastAsia="仿宋" w:cs="仿宋"/>
          <w:color w:val="000000"/>
          <w:sz w:val="32"/>
          <w:szCs w:val="32"/>
          <w:shd w:val="clear" w:color="auto" w:fill="FFFFFF"/>
        </w:rPr>
        <w:t>（三）部门决算情况说明。包括：部门决算年度收支情况、财政拨款预算执行情况和“三公”经费、机关运行经费、政府采购支出决算情况及其说明。“三公”经费决算公开要说明因公出国（境）团组数及人数，公务用车购置数及保有量，国内公务接待的批次、人数、经费总额以及“三公”经费增减变化原因等情况等相关信息。</w:t>
      </w:r>
      <w:r>
        <w:rPr>
          <w:rFonts w:ascii="Tahoma" w:hAnsi="Tahoma" w:eastAsia="Tahoma" w:cs="Tahoma"/>
          <w:color w:val="000000"/>
          <w:sz w:val="18"/>
          <w:szCs w:val="18"/>
          <w:shd w:val="clear" w:color="auto" w:fill="FFFFFF"/>
        </w:rPr>
        <w:t> </w:t>
      </w:r>
    </w:p>
    <w:p w14:paraId="0C201BE8">
      <w:pPr>
        <w:pStyle w:val="5"/>
        <w:widowControl/>
        <w:shd w:val="clear" w:color="auto" w:fill="FFFFFF"/>
        <w:spacing w:line="600" w:lineRule="atLeast"/>
        <w:ind w:firstLine="660"/>
        <w:jc w:val="left"/>
        <w:rPr>
          <w:rFonts w:ascii="微软雅黑" w:hAnsi="微软雅黑" w:eastAsia="微软雅黑" w:cs="微软雅黑"/>
          <w:color w:val="000000"/>
        </w:rPr>
      </w:pPr>
      <w:r>
        <w:rPr>
          <w:rFonts w:hint="eastAsia" w:ascii="仿宋" w:hAnsi="仿宋" w:eastAsia="仿宋" w:cs="仿宋"/>
          <w:color w:val="000000"/>
          <w:sz w:val="32"/>
          <w:szCs w:val="32"/>
          <w:shd w:val="clear" w:color="auto" w:fill="FFFFFF"/>
        </w:rPr>
        <w:t>（四）名词解释。主要对涉及本部门决算公开表中的专业名称进行解释说明。</w:t>
      </w:r>
    </w:p>
    <w:p w14:paraId="1B5842E4">
      <w:pPr>
        <w:pStyle w:val="5"/>
        <w:widowControl/>
        <w:shd w:val="clear" w:color="auto" w:fill="FFFFFF"/>
        <w:spacing w:line="600" w:lineRule="atLeast"/>
        <w:jc w:val="center"/>
        <w:rPr>
          <w:rFonts w:ascii="微软雅黑" w:hAnsi="微软雅黑" w:eastAsia="微软雅黑" w:cs="微软雅黑"/>
          <w:color w:val="000000"/>
        </w:rPr>
      </w:pPr>
      <w:r>
        <w:rPr>
          <w:rFonts w:hint="eastAsia" w:ascii="黑体" w:hAnsi="宋体" w:eastAsia="黑体" w:cs="黑体"/>
          <w:color w:val="000000"/>
          <w:sz w:val="32"/>
          <w:szCs w:val="32"/>
          <w:shd w:val="clear" w:color="auto" w:fill="FFFFFF"/>
        </w:rPr>
        <w:t>第四章  公开方式</w:t>
      </w:r>
    </w:p>
    <w:p w14:paraId="3F69D10F">
      <w:pPr>
        <w:pStyle w:val="5"/>
        <w:widowControl/>
        <w:shd w:val="clear" w:color="auto" w:fill="FFFFFF"/>
        <w:spacing w:line="600" w:lineRule="atLeast"/>
        <w:jc w:val="left"/>
        <w:rPr>
          <w:rFonts w:ascii="微软雅黑" w:hAnsi="微软雅黑" w:eastAsia="微软雅黑" w:cs="微软雅黑"/>
          <w:color w:val="000000"/>
        </w:rPr>
      </w:pPr>
      <w:r>
        <w:rPr>
          <w:rFonts w:hint="eastAsia" w:ascii="宋体" w:hAnsi="宋体" w:eastAsia="宋体" w:cs="宋体"/>
          <w:color w:val="000000"/>
          <w:sz w:val="32"/>
          <w:szCs w:val="32"/>
          <w:shd w:val="clear" w:color="auto" w:fill="FFFFFF"/>
        </w:rPr>
        <w:t> </w:t>
      </w:r>
      <w:r>
        <w:rPr>
          <w:rFonts w:hint="eastAsia" w:ascii="仿宋" w:hAnsi="仿宋" w:eastAsia="仿宋" w:cs="仿宋"/>
          <w:color w:val="333333"/>
          <w:sz w:val="32"/>
          <w:szCs w:val="32"/>
          <w:shd w:val="clear" w:color="auto" w:fill="FFFFFF"/>
        </w:rPr>
        <w:t>   第七条  预决算信息在本部门门户网站和市政府门户网站设立的“预决算公开”专栏进行公开，并保持长期公开状态，便于社会公众查阅和监督。</w:t>
      </w:r>
    </w:p>
    <w:p w14:paraId="69F0F4A8">
      <w:pPr>
        <w:pStyle w:val="5"/>
        <w:widowControl/>
        <w:shd w:val="clear" w:color="auto" w:fill="FFFFFF"/>
        <w:spacing w:line="600" w:lineRule="atLeast"/>
        <w:jc w:val="center"/>
        <w:rPr>
          <w:rFonts w:ascii="微软雅黑" w:hAnsi="微软雅黑" w:eastAsia="微软雅黑" w:cs="微软雅黑"/>
          <w:color w:val="000000"/>
        </w:rPr>
      </w:pPr>
      <w:r>
        <w:rPr>
          <w:rFonts w:hint="eastAsia" w:ascii="黑体" w:hAnsi="宋体" w:eastAsia="黑体" w:cs="黑体"/>
          <w:color w:val="000000"/>
          <w:sz w:val="32"/>
          <w:szCs w:val="32"/>
          <w:shd w:val="clear" w:color="auto" w:fill="FFFFFF"/>
        </w:rPr>
        <w:t>第五章  公开程序</w:t>
      </w:r>
    </w:p>
    <w:p w14:paraId="7628BEF2">
      <w:pPr>
        <w:pStyle w:val="5"/>
        <w:widowControl/>
        <w:shd w:val="clear" w:color="auto" w:fill="FFFFFF"/>
        <w:spacing w:line="600" w:lineRule="atLeast"/>
        <w:jc w:val="left"/>
        <w:rPr>
          <w:rFonts w:ascii="微软雅黑" w:hAnsi="微软雅黑" w:eastAsia="微软雅黑" w:cs="微软雅黑"/>
          <w:color w:val="000000"/>
        </w:rPr>
      </w:pPr>
      <w:r>
        <w:rPr>
          <w:rFonts w:hint="eastAsia" w:ascii="宋体" w:hAnsi="宋体" w:eastAsia="宋体" w:cs="宋体"/>
          <w:color w:val="000000"/>
          <w:sz w:val="32"/>
          <w:szCs w:val="32"/>
          <w:shd w:val="clear" w:color="auto" w:fill="FFFFFF"/>
        </w:rPr>
        <w:t>   </w:t>
      </w:r>
      <w:r>
        <w:rPr>
          <w:rFonts w:hint="eastAsia" w:ascii="仿宋" w:hAnsi="仿宋" w:eastAsia="仿宋" w:cs="仿宋"/>
          <w:color w:val="333333"/>
          <w:sz w:val="32"/>
          <w:szCs w:val="32"/>
          <w:shd w:val="clear" w:color="auto" w:fill="FFFFFF"/>
        </w:rPr>
        <w:t> 第八条  根据本级财政部门批复的部门预算、部门决算及报表，应当在批复后20日内由本部门公开预决算信息。</w:t>
      </w:r>
    </w:p>
    <w:p w14:paraId="76B97367">
      <w:pPr>
        <w:pStyle w:val="5"/>
        <w:widowControl/>
        <w:shd w:val="clear" w:color="auto" w:fill="FFFFFF"/>
        <w:spacing w:line="600" w:lineRule="atLeast"/>
        <w:jc w:val="center"/>
        <w:rPr>
          <w:rFonts w:ascii="微软雅黑" w:hAnsi="微软雅黑" w:eastAsia="微软雅黑" w:cs="微软雅黑"/>
          <w:color w:val="000000"/>
        </w:rPr>
      </w:pPr>
      <w:r>
        <w:rPr>
          <w:rFonts w:hint="eastAsia" w:ascii="黑体" w:hAnsi="宋体" w:eastAsia="黑体" w:cs="黑体"/>
          <w:color w:val="000000"/>
          <w:sz w:val="32"/>
          <w:szCs w:val="32"/>
          <w:shd w:val="clear" w:color="auto" w:fill="FFFFFF"/>
        </w:rPr>
        <w:t>第六章  附  则</w:t>
      </w:r>
    </w:p>
    <w:p w14:paraId="0BF0268F">
      <w:pPr>
        <w:pStyle w:val="5"/>
        <w:widowControl/>
        <w:shd w:val="clear" w:color="auto" w:fill="FFFFFF"/>
        <w:spacing w:line="600" w:lineRule="atLeast"/>
        <w:ind w:firstLine="640"/>
        <w:rPr>
          <w:rFonts w:ascii="微软雅黑" w:hAnsi="微软雅黑" w:eastAsia="微软雅黑" w:cs="微软雅黑"/>
          <w:color w:val="000000"/>
        </w:rPr>
      </w:pPr>
      <w:r>
        <w:rPr>
          <w:rFonts w:hint="eastAsia" w:ascii="仿宋" w:hAnsi="仿宋" w:eastAsia="仿宋" w:cs="仿宋"/>
          <w:color w:val="333333"/>
          <w:sz w:val="32"/>
          <w:szCs w:val="32"/>
          <w:shd w:val="clear" w:color="auto" w:fill="FFFFFF"/>
        </w:rPr>
        <w:t>第九条  本办法自印发之日起实行。</w:t>
      </w:r>
    </w:p>
    <w:p w14:paraId="6DBC7205">
      <w:pPr>
        <w:pStyle w:val="5"/>
        <w:widowControl/>
        <w:shd w:val="clear" w:color="auto" w:fill="FFFFFF"/>
        <w:spacing w:line="560" w:lineRule="atLeast"/>
        <w:jc w:val="center"/>
        <w:rPr>
          <w:rFonts w:ascii="微软雅黑" w:hAnsi="微软雅黑" w:eastAsia="微软雅黑" w:cs="微软雅黑"/>
          <w:color w:val="000000"/>
        </w:rPr>
      </w:pPr>
      <w:r>
        <w:rPr>
          <w:rFonts w:hint="eastAsia" w:ascii="楷体" w:hAnsi="楷体" w:eastAsia="楷体" w:cs="楷体"/>
          <w:b/>
          <w:bCs/>
          <w:color w:val="000000"/>
          <w:sz w:val="32"/>
          <w:szCs w:val="32"/>
          <w:shd w:val="clear" w:color="auto" w:fill="FFFFFF"/>
        </w:rPr>
        <w:t>第二部分  部门（单位）概况</w:t>
      </w:r>
    </w:p>
    <w:p w14:paraId="38758EC5">
      <w:pPr>
        <w:pStyle w:val="5"/>
        <w:widowControl/>
        <w:shd w:val="clear" w:color="auto" w:fill="FFFFFF"/>
        <w:spacing w:line="560" w:lineRule="atLeast"/>
        <w:jc w:val="left"/>
        <w:outlineLvl w:val="0"/>
        <w:rPr>
          <w:rFonts w:ascii="微软雅黑" w:hAnsi="微软雅黑" w:eastAsia="微软雅黑" w:cs="微软雅黑"/>
          <w:color w:val="000000"/>
        </w:rPr>
      </w:pPr>
      <w:r>
        <w:rPr>
          <w:rFonts w:hint="eastAsia" w:ascii="仿宋_GB2312" w:hAnsi="微软雅黑" w:eastAsia="仿宋_GB2312" w:cs="仿宋_GB2312"/>
          <w:b/>
          <w:bCs/>
          <w:color w:val="000000"/>
          <w:sz w:val="32"/>
          <w:szCs w:val="32"/>
          <w:shd w:val="clear" w:color="auto" w:fill="FFFFFF"/>
        </w:rPr>
        <w:t>   </w:t>
      </w:r>
      <w:r>
        <w:rPr>
          <w:rFonts w:hint="eastAsia" w:ascii="楷体" w:hAnsi="楷体" w:eastAsia="楷体" w:cs="楷体"/>
          <w:b/>
          <w:bCs/>
          <w:color w:val="000000"/>
          <w:sz w:val="32"/>
          <w:szCs w:val="32"/>
          <w:shd w:val="clear" w:color="auto" w:fill="FFFFFF"/>
        </w:rPr>
        <w:t> 一、部门（单位）职责</w:t>
      </w:r>
      <w:r>
        <w:rPr>
          <w:rFonts w:hint="eastAsia" w:ascii="仿宋_GB2312" w:hAnsi="微软雅黑" w:eastAsia="仿宋_GB2312" w:cs="仿宋_GB2312"/>
          <w:color w:val="000000"/>
          <w:sz w:val="32"/>
          <w:szCs w:val="32"/>
          <w:shd w:val="clear" w:color="auto" w:fill="FFFFFF"/>
        </w:rPr>
        <w:t> </w:t>
      </w:r>
    </w:p>
    <w:p w14:paraId="6727CF9C">
      <w:pPr>
        <w:pStyle w:val="5"/>
        <w:widowControl/>
        <w:shd w:val="clear" w:color="auto" w:fill="FFFFFF"/>
        <w:ind w:firstLine="640"/>
        <w:rPr>
          <w:rFonts w:ascii="微软雅黑" w:hAnsi="微软雅黑" w:eastAsia="微软雅黑" w:cs="微软雅黑"/>
          <w:color w:val="000000"/>
        </w:rPr>
      </w:pPr>
      <w:r>
        <w:rPr>
          <w:rFonts w:hint="eastAsia" w:ascii="仿宋" w:hAnsi="仿宋" w:eastAsia="仿宋" w:cs="仿宋"/>
          <w:color w:val="000000"/>
          <w:sz w:val="32"/>
          <w:szCs w:val="32"/>
          <w:shd w:val="clear" w:color="auto" w:fill="FFFFFF"/>
        </w:rPr>
        <w:t>（一）统筹管理事业编制人员，协助镇党委、镇政府调配事业编制人员在综合办事机构的定岗定责等工作；</w:t>
      </w:r>
    </w:p>
    <w:p w14:paraId="4347533F">
      <w:pPr>
        <w:pStyle w:val="5"/>
        <w:widowControl/>
        <w:shd w:val="clear" w:color="auto" w:fill="FFFFFF"/>
        <w:ind w:firstLine="640"/>
        <w:rPr>
          <w:rFonts w:ascii="仿宋_GB2312" w:hAnsi="微软雅黑" w:eastAsia="仿宋_GB2312" w:cs="仿宋_GB2312"/>
          <w:color w:val="000000"/>
          <w:sz w:val="32"/>
          <w:szCs w:val="32"/>
          <w:shd w:val="clear" w:color="auto" w:fill="FFFFFF"/>
        </w:rPr>
      </w:pPr>
      <w:r>
        <w:rPr>
          <w:rFonts w:hint="eastAsia" w:ascii="仿宋" w:hAnsi="仿宋" w:eastAsia="仿宋" w:cs="仿宋"/>
          <w:color w:val="000000"/>
          <w:sz w:val="32"/>
          <w:szCs w:val="32"/>
          <w:shd w:val="clear" w:color="auto" w:fill="FFFFFF"/>
        </w:rPr>
        <w:t>（二）</w:t>
      </w:r>
      <w:r>
        <w:rPr>
          <w:rFonts w:hint="eastAsia" w:ascii="仿宋_GB2312" w:hAnsi="微软雅黑" w:eastAsia="仿宋_GB2312" w:cs="仿宋_GB2312"/>
          <w:color w:val="000000"/>
          <w:sz w:val="32"/>
          <w:szCs w:val="32"/>
          <w:shd w:val="clear" w:color="auto" w:fill="FFFFFF"/>
        </w:rPr>
        <w:t>负责为乡镇综合办事机构提供服务保障工作；</w:t>
      </w:r>
    </w:p>
    <w:p w14:paraId="5F535599">
      <w:pPr>
        <w:pStyle w:val="5"/>
        <w:widowControl/>
        <w:shd w:val="clear" w:color="auto" w:fill="FFFFFF"/>
        <w:ind w:firstLine="640"/>
        <w:rPr>
          <w:rFonts w:ascii="仿宋_GB2312" w:hAnsi="微软雅黑" w:eastAsia="仿宋_GB2312" w:cs="仿宋_GB2312"/>
          <w:color w:val="000000"/>
          <w:sz w:val="32"/>
          <w:szCs w:val="32"/>
          <w:shd w:val="clear" w:color="auto" w:fill="FFFFFF"/>
        </w:rPr>
      </w:pPr>
      <w:r>
        <w:rPr>
          <w:rFonts w:hint="eastAsia" w:ascii="仿宋_GB2312" w:hAnsi="微软雅黑" w:eastAsia="仿宋_GB2312" w:cs="仿宋_GB2312"/>
          <w:color w:val="000000"/>
          <w:sz w:val="32"/>
          <w:szCs w:val="32"/>
          <w:shd w:val="clear" w:color="auto" w:fill="FFFFFF"/>
        </w:rPr>
        <w:t>（三）负责乡镇退役军人服务保障工作；</w:t>
      </w:r>
    </w:p>
    <w:p w14:paraId="5F057B52">
      <w:pPr>
        <w:pStyle w:val="5"/>
        <w:widowControl/>
        <w:shd w:val="clear" w:color="auto" w:fill="FFFFFF"/>
        <w:ind w:firstLine="640"/>
        <w:rPr>
          <w:rFonts w:ascii="微软雅黑" w:hAnsi="微软雅黑" w:eastAsia="微软雅黑" w:cs="微软雅黑"/>
          <w:color w:val="000000"/>
        </w:rPr>
      </w:pPr>
      <w:r>
        <w:rPr>
          <w:rFonts w:hint="eastAsia" w:ascii="仿宋_GB2312" w:hAnsi="微软雅黑" w:eastAsia="仿宋_GB2312" w:cs="仿宋_GB2312"/>
          <w:color w:val="000000"/>
          <w:sz w:val="32"/>
          <w:szCs w:val="32"/>
          <w:shd w:val="clear" w:color="auto" w:fill="FFFFFF"/>
        </w:rPr>
        <w:t>（四）负责完成镇党委、镇政府及上级业务部门交办的其他工作。</w:t>
      </w:r>
    </w:p>
    <w:p w14:paraId="4CD5F21B">
      <w:pPr>
        <w:pStyle w:val="5"/>
        <w:widowControl/>
        <w:shd w:val="clear" w:color="auto" w:fill="FFFFFF"/>
        <w:spacing w:line="560" w:lineRule="atLeast"/>
        <w:jc w:val="left"/>
        <w:outlineLvl w:val="0"/>
        <w:rPr>
          <w:rFonts w:ascii="微软雅黑" w:hAnsi="微软雅黑" w:eastAsia="微软雅黑" w:cs="微软雅黑"/>
          <w:color w:val="000000"/>
        </w:rPr>
      </w:pPr>
      <w:r>
        <w:rPr>
          <w:rFonts w:hint="eastAsia" w:ascii="仿宋_GB2312" w:hAnsi="微软雅黑" w:eastAsia="仿宋_GB2312" w:cs="仿宋_GB2312"/>
          <w:b/>
          <w:bCs/>
          <w:color w:val="000000"/>
          <w:sz w:val="32"/>
          <w:szCs w:val="32"/>
          <w:shd w:val="clear" w:color="auto" w:fill="FFFFFF"/>
        </w:rPr>
        <w:t>    二、机构设置</w:t>
      </w:r>
      <w:r>
        <w:rPr>
          <w:rFonts w:hint="eastAsia" w:ascii="仿宋_GB2312" w:hAnsi="微软雅黑" w:eastAsia="仿宋_GB2312" w:cs="仿宋_GB2312"/>
          <w:color w:val="000000"/>
          <w:sz w:val="32"/>
          <w:szCs w:val="32"/>
          <w:shd w:val="clear" w:color="auto" w:fill="FFFFFF"/>
        </w:rPr>
        <w:t> </w:t>
      </w:r>
    </w:p>
    <w:p w14:paraId="2641C7C9">
      <w:pPr>
        <w:pStyle w:val="5"/>
        <w:widowControl/>
        <w:shd w:val="clear" w:color="auto" w:fill="FFFFFF"/>
        <w:spacing w:line="560" w:lineRule="atLeast"/>
        <w:ind w:firstLine="640"/>
        <w:jc w:val="left"/>
        <w:rPr>
          <w:rFonts w:ascii="微软雅黑" w:hAnsi="微软雅黑" w:eastAsia="微软雅黑" w:cs="微软雅黑"/>
          <w:color w:val="000000"/>
        </w:rPr>
      </w:pPr>
      <w:r>
        <w:rPr>
          <w:rFonts w:hint="eastAsia" w:ascii="仿宋_GB2312" w:hAnsi="微软雅黑" w:eastAsia="仿宋_GB2312" w:cs="仿宋_GB2312"/>
          <w:color w:val="000000"/>
          <w:sz w:val="32"/>
          <w:szCs w:val="32"/>
          <w:shd w:val="clear" w:color="auto" w:fill="FFFFFF"/>
        </w:rPr>
        <w:t>鞍山市千山区甘泉镇综合事务服务中心202</w:t>
      </w:r>
      <w:r>
        <w:rPr>
          <w:rFonts w:hint="eastAsia" w:ascii="仿宋_GB2312" w:hAnsi="微软雅黑" w:eastAsia="仿宋_GB2312" w:cs="仿宋_GB2312"/>
          <w:color w:val="000000"/>
          <w:sz w:val="32"/>
          <w:szCs w:val="32"/>
          <w:shd w:val="clear" w:color="auto" w:fill="FFFFFF"/>
          <w:lang w:val="en-US" w:eastAsia="zh-CN"/>
        </w:rPr>
        <w:t>6</w:t>
      </w:r>
      <w:r>
        <w:rPr>
          <w:rFonts w:hint="eastAsia" w:ascii="仿宋_GB2312" w:hAnsi="微软雅黑" w:eastAsia="仿宋_GB2312" w:cs="仿宋_GB2312"/>
          <w:color w:val="000000"/>
          <w:sz w:val="32"/>
          <w:szCs w:val="32"/>
          <w:shd w:val="clear" w:color="auto" w:fill="FFFFFF"/>
        </w:rPr>
        <w:t>年度单位预算仅包括鞍山市千山区甘泉镇综合事务服务中心本级预算，无其他下属单位预算。</w:t>
      </w:r>
    </w:p>
    <w:p w14:paraId="56345CBC">
      <w:pPr>
        <w:pStyle w:val="5"/>
        <w:widowControl/>
        <w:shd w:val="clear" w:color="auto" w:fill="FFFFFF"/>
        <w:spacing w:line="560" w:lineRule="atLeast"/>
        <w:jc w:val="center"/>
        <w:rPr>
          <w:rFonts w:hint="eastAsia" w:ascii="楷体" w:hAnsi="楷体" w:eastAsia="楷体" w:cs="楷体"/>
          <w:b/>
          <w:bCs/>
          <w:color w:val="000000"/>
          <w:sz w:val="32"/>
          <w:szCs w:val="32"/>
          <w:shd w:val="clear" w:color="auto" w:fill="FFFFFF"/>
        </w:rPr>
      </w:pPr>
    </w:p>
    <w:p w14:paraId="2CC94E7B">
      <w:pPr>
        <w:pStyle w:val="5"/>
        <w:widowControl/>
        <w:shd w:val="clear" w:color="auto" w:fill="FFFFFF"/>
        <w:spacing w:line="560" w:lineRule="atLeast"/>
        <w:jc w:val="center"/>
        <w:rPr>
          <w:rFonts w:hint="eastAsia" w:ascii="楷体" w:hAnsi="楷体" w:eastAsia="楷体" w:cs="楷体"/>
          <w:b/>
          <w:bCs/>
          <w:color w:val="000000"/>
          <w:sz w:val="32"/>
          <w:szCs w:val="32"/>
          <w:shd w:val="clear" w:color="auto" w:fill="FFFFFF"/>
        </w:rPr>
      </w:pPr>
    </w:p>
    <w:p w14:paraId="6A04F985">
      <w:pPr>
        <w:pStyle w:val="5"/>
        <w:widowControl/>
        <w:shd w:val="clear" w:color="auto" w:fill="FFFFFF"/>
        <w:spacing w:line="560" w:lineRule="atLeast"/>
        <w:jc w:val="center"/>
        <w:rPr>
          <w:rFonts w:hint="eastAsia" w:ascii="楷体" w:hAnsi="楷体" w:eastAsia="楷体" w:cs="楷体"/>
          <w:b/>
          <w:bCs/>
          <w:color w:val="000000"/>
          <w:sz w:val="32"/>
          <w:szCs w:val="32"/>
          <w:shd w:val="clear" w:color="auto" w:fill="FFFFFF"/>
        </w:rPr>
      </w:pPr>
    </w:p>
    <w:p w14:paraId="7B4AD3A8">
      <w:pPr>
        <w:pStyle w:val="5"/>
        <w:widowControl/>
        <w:shd w:val="clear" w:color="auto" w:fill="FFFFFF"/>
        <w:spacing w:line="560" w:lineRule="atLeast"/>
        <w:jc w:val="center"/>
        <w:rPr>
          <w:rFonts w:hint="eastAsia" w:ascii="楷体" w:hAnsi="楷体" w:eastAsia="楷体" w:cs="楷体"/>
          <w:b/>
          <w:bCs/>
          <w:color w:val="000000"/>
          <w:sz w:val="32"/>
          <w:szCs w:val="32"/>
          <w:shd w:val="clear" w:color="auto" w:fill="FFFFFF"/>
        </w:rPr>
      </w:pPr>
    </w:p>
    <w:p w14:paraId="7557A3AD">
      <w:pPr>
        <w:pStyle w:val="5"/>
        <w:widowControl/>
        <w:shd w:val="clear" w:color="auto" w:fill="FFFFFF"/>
        <w:spacing w:line="560" w:lineRule="atLeast"/>
        <w:jc w:val="center"/>
        <w:rPr>
          <w:rFonts w:hint="eastAsia" w:ascii="楷体" w:hAnsi="楷体" w:eastAsia="楷体" w:cs="楷体"/>
          <w:b/>
          <w:bCs/>
          <w:color w:val="000000"/>
          <w:sz w:val="32"/>
          <w:szCs w:val="32"/>
          <w:shd w:val="clear" w:color="auto" w:fill="FFFFFF"/>
        </w:rPr>
      </w:pPr>
    </w:p>
    <w:p w14:paraId="5A5F1DFF">
      <w:pPr>
        <w:pStyle w:val="5"/>
        <w:widowControl/>
        <w:shd w:val="clear" w:color="auto" w:fill="FFFFFF"/>
        <w:spacing w:line="560" w:lineRule="atLeast"/>
        <w:jc w:val="center"/>
        <w:rPr>
          <w:rFonts w:hint="eastAsia" w:ascii="楷体" w:hAnsi="楷体" w:eastAsia="楷体" w:cs="楷体"/>
          <w:b/>
          <w:bCs/>
          <w:color w:val="000000"/>
          <w:sz w:val="32"/>
          <w:szCs w:val="32"/>
          <w:shd w:val="clear" w:color="auto" w:fill="FFFFFF"/>
        </w:rPr>
      </w:pPr>
    </w:p>
    <w:p w14:paraId="03A3DCA1">
      <w:pPr>
        <w:pStyle w:val="5"/>
        <w:widowControl/>
        <w:shd w:val="clear" w:color="auto" w:fill="FFFFFF"/>
        <w:spacing w:line="560" w:lineRule="atLeast"/>
        <w:jc w:val="center"/>
        <w:rPr>
          <w:rFonts w:hint="eastAsia" w:ascii="楷体" w:hAnsi="楷体" w:eastAsia="楷体" w:cs="楷体"/>
          <w:b/>
          <w:bCs/>
          <w:color w:val="000000"/>
          <w:sz w:val="32"/>
          <w:szCs w:val="32"/>
          <w:shd w:val="clear" w:color="auto" w:fill="FFFFFF"/>
        </w:rPr>
      </w:pPr>
    </w:p>
    <w:p w14:paraId="4144F186">
      <w:pPr>
        <w:pStyle w:val="5"/>
        <w:widowControl/>
        <w:shd w:val="clear" w:color="auto" w:fill="FFFFFF"/>
        <w:spacing w:line="560" w:lineRule="atLeast"/>
        <w:jc w:val="center"/>
        <w:rPr>
          <w:rFonts w:hint="eastAsia" w:ascii="楷体" w:hAnsi="楷体" w:eastAsia="楷体" w:cs="楷体"/>
          <w:b/>
          <w:bCs/>
          <w:color w:val="000000"/>
          <w:sz w:val="32"/>
          <w:szCs w:val="32"/>
          <w:shd w:val="clear" w:color="auto" w:fill="FFFFFF"/>
        </w:rPr>
      </w:pPr>
    </w:p>
    <w:p w14:paraId="5AA2EDA0">
      <w:pPr>
        <w:pStyle w:val="5"/>
        <w:widowControl/>
        <w:shd w:val="clear" w:color="auto" w:fill="FFFFFF"/>
        <w:spacing w:line="560" w:lineRule="atLeast"/>
        <w:jc w:val="center"/>
        <w:rPr>
          <w:rFonts w:hint="eastAsia" w:ascii="楷体" w:hAnsi="楷体" w:eastAsia="楷体" w:cs="楷体"/>
          <w:b/>
          <w:bCs/>
          <w:color w:val="000000"/>
          <w:sz w:val="32"/>
          <w:szCs w:val="32"/>
          <w:shd w:val="clear" w:color="auto" w:fill="FFFFFF"/>
        </w:rPr>
      </w:pPr>
    </w:p>
    <w:p w14:paraId="33F7EE4B">
      <w:pPr>
        <w:pStyle w:val="5"/>
        <w:widowControl/>
        <w:shd w:val="clear" w:color="auto" w:fill="FFFFFF"/>
        <w:spacing w:line="560" w:lineRule="atLeast"/>
        <w:jc w:val="center"/>
        <w:rPr>
          <w:rFonts w:hint="eastAsia" w:ascii="楷体" w:hAnsi="楷体" w:eastAsia="楷体" w:cs="楷体"/>
          <w:b/>
          <w:bCs/>
          <w:color w:val="000000"/>
          <w:sz w:val="32"/>
          <w:szCs w:val="32"/>
          <w:shd w:val="clear" w:color="auto" w:fill="FFFFFF"/>
        </w:rPr>
      </w:pPr>
    </w:p>
    <w:p w14:paraId="302B04EC">
      <w:pPr>
        <w:pStyle w:val="5"/>
        <w:widowControl/>
        <w:shd w:val="clear" w:color="auto" w:fill="FFFFFF"/>
        <w:spacing w:line="560" w:lineRule="atLeast"/>
        <w:jc w:val="center"/>
        <w:rPr>
          <w:rFonts w:hint="eastAsia" w:ascii="楷体" w:hAnsi="楷体" w:eastAsia="楷体" w:cs="楷体"/>
          <w:b/>
          <w:bCs/>
          <w:color w:val="000000"/>
          <w:sz w:val="32"/>
          <w:szCs w:val="32"/>
          <w:shd w:val="clear" w:color="auto" w:fill="FFFFFF"/>
        </w:rPr>
      </w:pPr>
    </w:p>
    <w:p w14:paraId="0AE617A3">
      <w:pPr>
        <w:pStyle w:val="5"/>
        <w:widowControl/>
        <w:shd w:val="clear" w:color="auto" w:fill="FFFFFF"/>
        <w:spacing w:line="560" w:lineRule="atLeast"/>
        <w:jc w:val="center"/>
        <w:rPr>
          <w:rFonts w:hint="eastAsia" w:ascii="楷体" w:hAnsi="楷体" w:eastAsia="楷体" w:cs="楷体"/>
          <w:b/>
          <w:bCs/>
          <w:color w:val="000000"/>
          <w:sz w:val="32"/>
          <w:szCs w:val="32"/>
          <w:shd w:val="clear" w:color="auto" w:fill="FFFFFF"/>
        </w:rPr>
      </w:pPr>
    </w:p>
    <w:p w14:paraId="431A2A9B">
      <w:pPr>
        <w:pStyle w:val="5"/>
        <w:widowControl/>
        <w:shd w:val="clear" w:color="auto" w:fill="FFFFFF"/>
        <w:spacing w:line="560" w:lineRule="atLeast"/>
        <w:jc w:val="center"/>
        <w:rPr>
          <w:rFonts w:hint="eastAsia" w:ascii="楷体" w:hAnsi="楷体" w:eastAsia="楷体" w:cs="楷体"/>
          <w:b/>
          <w:bCs/>
          <w:color w:val="000000"/>
          <w:sz w:val="32"/>
          <w:szCs w:val="32"/>
          <w:shd w:val="clear" w:color="auto" w:fill="FFFFFF"/>
        </w:rPr>
      </w:pPr>
    </w:p>
    <w:p w14:paraId="75459DA8">
      <w:pPr>
        <w:pStyle w:val="5"/>
        <w:widowControl/>
        <w:shd w:val="clear" w:color="auto" w:fill="FFFFFF"/>
        <w:spacing w:line="560" w:lineRule="atLeast"/>
        <w:jc w:val="center"/>
        <w:rPr>
          <w:rFonts w:hint="eastAsia" w:ascii="楷体" w:hAnsi="楷体" w:eastAsia="楷体" w:cs="楷体"/>
          <w:b/>
          <w:bCs/>
          <w:color w:val="000000"/>
          <w:sz w:val="32"/>
          <w:szCs w:val="32"/>
          <w:shd w:val="clear" w:color="auto" w:fill="FFFFFF"/>
        </w:rPr>
      </w:pPr>
    </w:p>
    <w:p w14:paraId="4E36CDDD">
      <w:pPr>
        <w:pStyle w:val="5"/>
        <w:widowControl/>
        <w:shd w:val="clear" w:color="auto" w:fill="FFFFFF"/>
        <w:spacing w:line="560" w:lineRule="atLeast"/>
        <w:jc w:val="center"/>
        <w:rPr>
          <w:rFonts w:hint="eastAsia" w:ascii="楷体" w:hAnsi="楷体" w:eastAsia="楷体" w:cs="楷体"/>
          <w:b/>
          <w:bCs/>
          <w:color w:val="000000"/>
          <w:sz w:val="32"/>
          <w:szCs w:val="32"/>
          <w:shd w:val="clear" w:color="auto" w:fill="FFFFFF"/>
        </w:rPr>
      </w:pPr>
    </w:p>
    <w:p w14:paraId="0CA742B6">
      <w:pPr>
        <w:pStyle w:val="5"/>
        <w:widowControl/>
        <w:shd w:val="clear" w:color="auto" w:fill="FFFFFF"/>
        <w:spacing w:line="560" w:lineRule="atLeast"/>
        <w:jc w:val="center"/>
        <w:rPr>
          <w:rFonts w:hint="eastAsia" w:ascii="楷体" w:hAnsi="楷体" w:eastAsia="楷体" w:cs="楷体"/>
          <w:b/>
          <w:bCs/>
          <w:color w:val="000000"/>
          <w:sz w:val="32"/>
          <w:szCs w:val="32"/>
          <w:shd w:val="clear" w:color="auto" w:fill="FFFFFF"/>
        </w:rPr>
      </w:pPr>
    </w:p>
    <w:p w14:paraId="213D9A58">
      <w:pPr>
        <w:pStyle w:val="5"/>
        <w:widowControl/>
        <w:shd w:val="clear" w:color="auto" w:fill="FFFFFF"/>
        <w:spacing w:line="560" w:lineRule="atLeast"/>
        <w:jc w:val="center"/>
        <w:rPr>
          <w:rFonts w:hint="eastAsia" w:ascii="楷体" w:hAnsi="楷体" w:eastAsia="楷体" w:cs="楷体"/>
          <w:b/>
          <w:bCs/>
          <w:color w:val="000000"/>
          <w:sz w:val="32"/>
          <w:szCs w:val="32"/>
          <w:shd w:val="clear" w:color="auto" w:fill="FFFFFF"/>
        </w:rPr>
      </w:pPr>
    </w:p>
    <w:p w14:paraId="2C4CBE4B">
      <w:pPr>
        <w:pStyle w:val="5"/>
        <w:widowControl/>
        <w:shd w:val="clear" w:color="auto" w:fill="FFFFFF"/>
        <w:spacing w:line="560" w:lineRule="atLeast"/>
        <w:jc w:val="center"/>
        <w:rPr>
          <w:rFonts w:ascii="微软雅黑" w:hAnsi="微软雅黑" w:eastAsia="微软雅黑" w:cs="微软雅黑"/>
          <w:color w:val="000000"/>
        </w:rPr>
      </w:pPr>
      <w:r>
        <w:rPr>
          <w:rFonts w:hint="eastAsia" w:ascii="楷体" w:hAnsi="楷体" w:eastAsia="楷体" w:cs="楷体"/>
          <w:b/>
          <w:bCs/>
          <w:color w:val="000000"/>
          <w:sz w:val="32"/>
          <w:szCs w:val="32"/>
          <w:shd w:val="clear" w:color="auto" w:fill="FFFFFF"/>
        </w:rPr>
        <w:t>第三部分 部门（单位）预算表</w:t>
      </w:r>
      <w:r>
        <w:rPr>
          <w:rFonts w:hint="eastAsia" w:ascii="楷体" w:hAnsi="楷体" w:eastAsia="楷体" w:cs="楷体"/>
          <w:color w:val="000000"/>
          <w:sz w:val="32"/>
          <w:szCs w:val="32"/>
          <w:shd w:val="clear" w:color="auto" w:fill="FFFFFF"/>
        </w:rPr>
        <w:t> </w:t>
      </w:r>
    </w:p>
    <w:p w14:paraId="2D667114">
      <w:pPr>
        <w:pStyle w:val="5"/>
        <w:widowControl/>
        <w:shd w:val="clear" w:color="auto" w:fill="FFFFFF"/>
        <w:spacing w:line="560" w:lineRule="atLeast"/>
        <w:jc w:val="center"/>
        <w:rPr>
          <w:rFonts w:ascii="仿宋_GB2312" w:hAnsi="微软雅黑" w:eastAsia="仿宋_GB2312" w:cs="仿宋_GB2312"/>
          <w:color w:val="000000"/>
          <w:sz w:val="32"/>
          <w:szCs w:val="32"/>
          <w:shd w:val="clear" w:color="auto" w:fill="FFFFFF"/>
        </w:rPr>
      </w:pPr>
      <w:r>
        <w:rPr>
          <w:rFonts w:hint="eastAsia" w:ascii="仿宋_GB2312" w:hAnsi="微软雅黑" w:eastAsia="仿宋_GB2312" w:cs="仿宋_GB2312"/>
          <w:color w:val="000000"/>
          <w:sz w:val="32"/>
          <w:szCs w:val="32"/>
          <w:shd w:val="clear" w:color="auto" w:fill="FFFFFF"/>
        </w:rPr>
        <w:t>202</w:t>
      </w:r>
      <w:r>
        <w:rPr>
          <w:rFonts w:hint="eastAsia" w:ascii="仿宋_GB2312" w:hAnsi="微软雅黑" w:eastAsia="仿宋_GB2312" w:cs="仿宋_GB2312"/>
          <w:color w:val="000000"/>
          <w:sz w:val="32"/>
          <w:szCs w:val="32"/>
          <w:shd w:val="clear" w:color="auto" w:fill="FFFFFF"/>
          <w:lang w:val="en-US" w:eastAsia="zh-CN"/>
        </w:rPr>
        <w:t>6</w:t>
      </w:r>
      <w:r>
        <w:rPr>
          <w:rFonts w:hint="eastAsia" w:ascii="仿宋_GB2312" w:hAnsi="微软雅黑" w:eastAsia="仿宋_GB2312" w:cs="仿宋_GB2312"/>
          <w:color w:val="000000"/>
          <w:sz w:val="32"/>
          <w:szCs w:val="32"/>
          <w:shd w:val="clear" w:color="auto" w:fill="FFFFFF"/>
        </w:rPr>
        <w:t>年部门（单位）预算表（具体明细见附表） </w:t>
      </w:r>
    </w:p>
    <w:p w14:paraId="5B998B2A">
      <w:pPr>
        <w:pStyle w:val="5"/>
        <w:widowControl/>
        <w:shd w:val="clear" w:color="auto" w:fill="FFFFFF"/>
        <w:spacing w:line="560" w:lineRule="atLeast"/>
        <w:jc w:val="center"/>
        <w:rPr>
          <w:rFonts w:hint="eastAsia" w:ascii="楷体" w:hAnsi="楷体" w:eastAsia="楷体" w:cs="楷体"/>
          <w:b/>
          <w:bCs/>
          <w:color w:val="000000"/>
          <w:sz w:val="32"/>
          <w:szCs w:val="32"/>
          <w:shd w:val="clear" w:color="auto" w:fill="FFFFFF"/>
        </w:rPr>
      </w:pPr>
    </w:p>
    <w:p w14:paraId="0262961F">
      <w:pPr>
        <w:pStyle w:val="5"/>
        <w:widowControl/>
        <w:shd w:val="clear" w:color="auto" w:fill="FFFFFF"/>
        <w:spacing w:line="560" w:lineRule="atLeast"/>
        <w:jc w:val="center"/>
        <w:rPr>
          <w:rFonts w:hint="eastAsia" w:ascii="楷体" w:hAnsi="楷体" w:eastAsia="楷体" w:cs="楷体"/>
          <w:b/>
          <w:bCs/>
          <w:color w:val="000000"/>
          <w:sz w:val="32"/>
          <w:szCs w:val="32"/>
          <w:shd w:val="clear" w:color="auto" w:fill="FFFFFF"/>
        </w:rPr>
      </w:pPr>
    </w:p>
    <w:p w14:paraId="03BFDBB3">
      <w:pPr>
        <w:pStyle w:val="5"/>
        <w:widowControl/>
        <w:shd w:val="clear" w:color="auto" w:fill="FFFFFF"/>
        <w:spacing w:line="560" w:lineRule="atLeast"/>
        <w:jc w:val="center"/>
        <w:rPr>
          <w:rFonts w:hint="eastAsia" w:ascii="楷体" w:hAnsi="楷体" w:eastAsia="楷体" w:cs="楷体"/>
          <w:b/>
          <w:bCs/>
          <w:color w:val="000000"/>
          <w:sz w:val="32"/>
          <w:szCs w:val="32"/>
          <w:shd w:val="clear" w:color="auto" w:fill="FFFFFF"/>
        </w:rPr>
      </w:pPr>
    </w:p>
    <w:p w14:paraId="78E9BB6D">
      <w:pPr>
        <w:pStyle w:val="5"/>
        <w:widowControl/>
        <w:shd w:val="clear" w:color="auto" w:fill="FFFFFF"/>
        <w:spacing w:line="560" w:lineRule="atLeast"/>
        <w:jc w:val="center"/>
        <w:rPr>
          <w:rFonts w:hint="eastAsia" w:ascii="楷体" w:hAnsi="楷体" w:eastAsia="楷体" w:cs="楷体"/>
          <w:b/>
          <w:bCs/>
          <w:color w:val="000000"/>
          <w:sz w:val="32"/>
          <w:szCs w:val="32"/>
          <w:shd w:val="clear" w:color="auto" w:fill="FFFFFF"/>
        </w:rPr>
      </w:pPr>
    </w:p>
    <w:p w14:paraId="6E27D47B">
      <w:pPr>
        <w:pStyle w:val="5"/>
        <w:widowControl/>
        <w:shd w:val="clear" w:color="auto" w:fill="FFFFFF"/>
        <w:spacing w:line="560" w:lineRule="atLeast"/>
        <w:jc w:val="center"/>
        <w:rPr>
          <w:rFonts w:hint="eastAsia" w:ascii="楷体" w:hAnsi="楷体" w:eastAsia="楷体" w:cs="楷体"/>
          <w:b/>
          <w:bCs/>
          <w:color w:val="000000"/>
          <w:sz w:val="32"/>
          <w:szCs w:val="32"/>
          <w:shd w:val="clear" w:color="auto" w:fill="FFFFFF"/>
        </w:rPr>
      </w:pPr>
    </w:p>
    <w:p w14:paraId="2EE21C34">
      <w:pPr>
        <w:pStyle w:val="5"/>
        <w:widowControl/>
        <w:shd w:val="clear" w:color="auto" w:fill="FFFFFF"/>
        <w:spacing w:line="560" w:lineRule="atLeast"/>
        <w:jc w:val="center"/>
        <w:rPr>
          <w:rFonts w:hint="eastAsia" w:ascii="楷体" w:hAnsi="楷体" w:eastAsia="楷体" w:cs="楷体"/>
          <w:b/>
          <w:bCs/>
          <w:color w:val="000000"/>
          <w:sz w:val="32"/>
          <w:szCs w:val="32"/>
          <w:shd w:val="clear" w:color="auto" w:fill="FFFFFF"/>
        </w:rPr>
      </w:pPr>
    </w:p>
    <w:p w14:paraId="2234CBA4">
      <w:pPr>
        <w:pStyle w:val="5"/>
        <w:widowControl/>
        <w:shd w:val="clear" w:color="auto" w:fill="FFFFFF"/>
        <w:spacing w:line="560" w:lineRule="atLeast"/>
        <w:jc w:val="center"/>
        <w:rPr>
          <w:rFonts w:hint="eastAsia" w:ascii="楷体" w:hAnsi="楷体" w:eastAsia="楷体" w:cs="楷体"/>
          <w:b/>
          <w:bCs/>
          <w:color w:val="000000"/>
          <w:sz w:val="32"/>
          <w:szCs w:val="32"/>
          <w:shd w:val="clear" w:color="auto" w:fill="FFFFFF"/>
        </w:rPr>
      </w:pPr>
    </w:p>
    <w:p w14:paraId="0335FB6C">
      <w:pPr>
        <w:pStyle w:val="5"/>
        <w:widowControl/>
        <w:shd w:val="clear" w:color="auto" w:fill="FFFFFF"/>
        <w:spacing w:line="560" w:lineRule="atLeast"/>
        <w:jc w:val="center"/>
        <w:rPr>
          <w:rFonts w:hint="eastAsia" w:ascii="楷体" w:hAnsi="楷体" w:eastAsia="楷体" w:cs="楷体"/>
          <w:b/>
          <w:bCs/>
          <w:color w:val="000000"/>
          <w:sz w:val="32"/>
          <w:szCs w:val="32"/>
          <w:shd w:val="clear" w:color="auto" w:fill="FFFFFF"/>
        </w:rPr>
      </w:pPr>
    </w:p>
    <w:p w14:paraId="6E45D333">
      <w:pPr>
        <w:pStyle w:val="5"/>
        <w:widowControl/>
        <w:shd w:val="clear" w:color="auto" w:fill="FFFFFF"/>
        <w:spacing w:line="560" w:lineRule="atLeast"/>
        <w:jc w:val="center"/>
        <w:rPr>
          <w:rFonts w:hint="eastAsia" w:ascii="楷体" w:hAnsi="楷体" w:eastAsia="楷体" w:cs="楷体"/>
          <w:b/>
          <w:bCs/>
          <w:color w:val="000000"/>
          <w:sz w:val="32"/>
          <w:szCs w:val="32"/>
          <w:shd w:val="clear" w:color="auto" w:fill="FFFFFF"/>
        </w:rPr>
      </w:pPr>
    </w:p>
    <w:p w14:paraId="436CD06E">
      <w:pPr>
        <w:pStyle w:val="5"/>
        <w:widowControl/>
        <w:shd w:val="clear" w:color="auto" w:fill="FFFFFF"/>
        <w:spacing w:line="560" w:lineRule="atLeast"/>
        <w:jc w:val="center"/>
        <w:rPr>
          <w:rFonts w:hint="eastAsia" w:ascii="楷体" w:hAnsi="楷体" w:eastAsia="楷体" w:cs="楷体"/>
          <w:b/>
          <w:bCs/>
          <w:color w:val="000000"/>
          <w:sz w:val="32"/>
          <w:szCs w:val="32"/>
          <w:shd w:val="clear" w:color="auto" w:fill="FFFFFF"/>
        </w:rPr>
      </w:pPr>
    </w:p>
    <w:p w14:paraId="74C2093C">
      <w:pPr>
        <w:pStyle w:val="5"/>
        <w:widowControl/>
        <w:shd w:val="clear" w:color="auto" w:fill="FFFFFF"/>
        <w:spacing w:line="560" w:lineRule="atLeast"/>
        <w:jc w:val="center"/>
        <w:rPr>
          <w:rFonts w:hint="eastAsia" w:ascii="楷体" w:hAnsi="楷体" w:eastAsia="楷体" w:cs="楷体"/>
          <w:b/>
          <w:bCs/>
          <w:color w:val="000000"/>
          <w:sz w:val="32"/>
          <w:szCs w:val="32"/>
          <w:shd w:val="clear" w:color="auto" w:fill="FFFFFF"/>
        </w:rPr>
      </w:pPr>
    </w:p>
    <w:p w14:paraId="7634A09E">
      <w:pPr>
        <w:pStyle w:val="5"/>
        <w:widowControl/>
        <w:shd w:val="clear" w:color="auto" w:fill="FFFFFF"/>
        <w:spacing w:line="560" w:lineRule="atLeast"/>
        <w:jc w:val="center"/>
        <w:rPr>
          <w:rFonts w:hint="eastAsia" w:ascii="楷体" w:hAnsi="楷体" w:eastAsia="楷体" w:cs="楷体"/>
          <w:b/>
          <w:bCs/>
          <w:color w:val="000000"/>
          <w:sz w:val="32"/>
          <w:szCs w:val="32"/>
          <w:shd w:val="clear" w:color="auto" w:fill="FFFFFF"/>
        </w:rPr>
      </w:pPr>
    </w:p>
    <w:p w14:paraId="3E98F9DE">
      <w:pPr>
        <w:pStyle w:val="5"/>
        <w:widowControl/>
        <w:shd w:val="clear" w:color="auto" w:fill="FFFFFF"/>
        <w:spacing w:line="560" w:lineRule="atLeast"/>
        <w:jc w:val="center"/>
        <w:rPr>
          <w:rFonts w:hint="eastAsia" w:ascii="楷体" w:hAnsi="楷体" w:eastAsia="楷体" w:cs="楷体"/>
          <w:b/>
          <w:bCs/>
          <w:color w:val="000000"/>
          <w:sz w:val="32"/>
          <w:szCs w:val="32"/>
          <w:shd w:val="clear" w:color="auto" w:fill="FFFFFF"/>
        </w:rPr>
      </w:pPr>
    </w:p>
    <w:p w14:paraId="15301A96">
      <w:pPr>
        <w:pStyle w:val="5"/>
        <w:widowControl/>
        <w:shd w:val="clear" w:color="auto" w:fill="FFFFFF"/>
        <w:spacing w:line="560" w:lineRule="atLeast"/>
        <w:jc w:val="center"/>
        <w:rPr>
          <w:rFonts w:hint="eastAsia" w:ascii="楷体" w:hAnsi="楷体" w:eastAsia="楷体" w:cs="楷体"/>
          <w:b/>
          <w:bCs/>
          <w:color w:val="000000"/>
          <w:sz w:val="32"/>
          <w:szCs w:val="32"/>
          <w:shd w:val="clear" w:color="auto" w:fill="FFFFFF"/>
        </w:rPr>
      </w:pPr>
    </w:p>
    <w:p w14:paraId="4F033B8F">
      <w:pPr>
        <w:pStyle w:val="5"/>
        <w:widowControl/>
        <w:shd w:val="clear" w:color="auto" w:fill="FFFFFF"/>
        <w:spacing w:line="560" w:lineRule="atLeast"/>
        <w:jc w:val="center"/>
        <w:rPr>
          <w:rFonts w:hint="eastAsia" w:ascii="楷体" w:hAnsi="楷体" w:eastAsia="楷体" w:cs="楷体"/>
          <w:b/>
          <w:bCs/>
          <w:color w:val="000000"/>
          <w:sz w:val="32"/>
          <w:szCs w:val="32"/>
          <w:shd w:val="clear" w:color="auto" w:fill="FFFFFF"/>
        </w:rPr>
      </w:pPr>
    </w:p>
    <w:p w14:paraId="158EADBE">
      <w:pPr>
        <w:pStyle w:val="5"/>
        <w:widowControl/>
        <w:shd w:val="clear" w:color="auto" w:fill="FFFFFF"/>
        <w:spacing w:line="560" w:lineRule="atLeast"/>
        <w:jc w:val="center"/>
        <w:rPr>
          <w:rFonts w:hint="eastAsia" w:ascii="楷体" w:hAnsi="楷体" w:eastAsia="楷体" w:cs="楷体"/>
          <w:b/>
          <w:bCs/>
          <w:color w:val="000000"/>
          <w:sz w:val="32"/>
          <w:szCs w:val="32"/>
          <w:shd w:val="clear" w:color="auto" w:fill="FFFFFF"/>
        </w:rPr>
      </w:pPr>
    </w:p>
    <w:p w14:paraId="129C77E9">
      <w:pPr>
        <w:pStyle w:val="5"/>
        <w:widowControl/>
        <w:shd w:val="clear" w:color="auto" w:fill="FFFFFF"/>
        <w:spacing w:line="560" w:lineRule="atLeast"/>
        <w:jc w:val="center"/>
        <w:rPr>
          <w:rFonts w:hint="eastAsia" w:ascii="楷体" w:hAnsi="楷体" w:eastAsia="楷体" w:cs="楷体"/>
          <w:b/>
          <w:bCs/>
          <w:color w:val="000000"/>
          <w:sz w:val="32"/>
          <w:szCs w:val="32"/>
          <w:shd w:val="clear" w:color="auto" w:fill="FFFFFF"/>
        </w:rPr>
      </w:pPr>
    </w:p>
    <w:p w14:paraId="1527018F">
      <w:pPr>
        <w:pStyle w:val="5"/>
        <w:widowControl/>
        <w:shd w:val="clear" w:color="auto" w:fill="FFFFFF"/>
        <w:spacing w:line="560" w:lineRule="atLeast"/>
        <w:jc w:val="center"/>
        <w:rPr>
          <w:rFonts w:hint="eastAsia" w:ascii="楷体" w:hAnsi="楷体" w:eastAsia="楷体" w:cs="楷体"/>
          <w:b/>
          <w:bCs/>
          <w:color w:val="000000"/>
          <w:sz w:val="32"/>
          <w:szCs w:val="32"/>
          <w:shd w:val="clear" w:color="auto" w:fill="FFFFFF"/>
        </w:rPr>
      </w:pPr>
    </w:p>
    <w:p w14:paraId="1E46166F">
      <w:pPr>
        <w:pStyle w:val="5"/>
        <w:widowControl/>
        <w:shd w:val="clear" w:color="auto" w:fill="FFFFFF"/>
        <w:spacing w:line="560" w:lineRule="atLeast"/>
        <w:jc w:val="center"/>
        <w:rPr>
          <w:rFonts w:hint="eastAsia" w:ascii="楷体" w:hAnsi="楷体" w:eastAsia="楷体" w:cs="楷体"/>
          <w:b/>
          <w:bCs/>
          <w:color w:val="000000"/>
          <w:sz w:val="32"/>
          <w:szCs w:val="32"/>
          <w:shd w:val="clear" w:color="auto" w:fill="FFFFFF"/>
        </w:rPr>
      </w:pPr>
    </w:p>
    <w:p w14:paraId="044D3D41">
      <w:pPr>
        <w:pStyle w:val="5"/>
        <w:widowControl/>
        <w:shd w:val="clear" w:color="auto" w:fill="FFFFFF"/>
        <w:spacing w:line="560" w:lineRule="atLeast"/>
        <w:jc w:val="center"/>
        <w:rPr>
          <w:rFonts w:ascii="微软雅黑" w:hAnsi="微软雅黑" w:eastAsia="微软雅黑" w:cs="微软雅黑"/>
          <w:color w:val="000000"/>
        </w:rPr>
      </w:pPr>
      <w:r>
        <w:rPr>
          <w:rFonts w:hint="eastAsia" w:ascii="楷体" w:hAnsi="楷体" w:eastAsia="楷体" w:cs="楷体"/>
          <w:b/>
          <w:bCs/>
          <w:color w:val="000000"/>
          <w:sz w:val="32"/>
          <w:szCs w:val="32"/>
          <w:shd w:val="clear" w:color="auto" w:fill="FFFFFF"/>
        </w:rPr>
        <w:t>第四部分</w:t>
      </w:r>
      <w:r>
        <w:rPr>
          <w:rFonts w:hint="eastAsia" w:ascii="宋体" w:hAnsi="宋体" w:eastAsia="宋体" w:cs="宋体"/>
          <w:b/>
          <w:bCs/>
          <w:color w:val="000000"/>
          <w:sz w:val="32"/>
          <w:szCs w:val="32"/>
          <w:shd w:val="clear" w:color="auto" w:fill="FFFFFF"/>
        </w:rPr>
        <w:t> </w:t>
      </w:r>
      <w:r>
        <w:rPr>
          <w:rFonts w:hint="eastAsia" w:ascii="楷体" w:hAnsi="楷体" w:eastAsia="楷体" w:cs="楷体"/>
          <w:b/>
          <w:bCs/>
          <w:color w:val="000000"/>
          <w:sz w:val="32"/>
          <w:szCs w:val="32"/>
          <w:shd w:val="clear" w:color="auto" w:fill="FFFFFF"/>
        </w:rPr>
        <w:t>部门（单位）预算情况说明</w:t>
      </w:r>
      <w:r>
        <w:rPr>
          <w:rFonts w:hint="eastAsia" w:ascii="楷体" w:hAnsi="楷体" w:eastAsia="楷体" w:cs="楷体"/>
          <w:color w:val="000000"/>
          <w:sz w:val="32"/>
          <w:szCs w:val="32"/>
          <w:shd w:val="clear" w:color="auto" w:fill="FFFFFF"/>
        </w:rPr>
        <w:t> </w:t>
      </w:r>
    </w:p>
    <w:p w14:paraId="75EE08DA">
      <w:pPr>
        <w:pStyle w:val="5"/>
        <w:widowControl/>
        <w:shd w:val="clear" w:color="auto" w:fill="FFFFFF"/>
        <w:spacing w:line="560" w:lineRule="atLeast"/>
        <w:jc w:val="left"/>
        <w:rPr>
          <w:rFonts w:ascii="微软雅黑" w:hAnsi="微软雅黑" w:eastAsia="微软雅黑" w:cs="微软雅黑"/>
          <w:color w:val="000000"/>
        </w:rPr>
      </w:pPr>
      <w:r>
        <w:rPr>
          <w:rFonts w:hint="eastAsia" w:ascii="楷体" w:hAnsi="楷体" w:eastAsia="楷体" w:cs="楷体"/>
          <w:b/>
          <w:bCs/>
          <w:color w:val="000000"/>
          <w:sz w:val="32"/>
          <w:szCs w:val="32"/>
          <w:shd w:val="clear" w:color="auto" w:fill="FFFFFF"/>
        </w:rPr>
        <w:t>    一、收支预算的总体说明</w:t>
      </w:r>
      <w:r>
        <w:rPr>
          <w:rFonts w:hint="eastAsia" w:ascii="楷体" w:hAnsi="楷体" w:eastAsia="楷体" w:cs="楷体"/>
          <w:color w:val="000000"/>
          <w:sz w:val="32"/>
          <w:szCs w:val="32"/>
          <w:shd w:val="clear" w:color="auto" w:fill="FFFFFF"/>
        </w:rPr>
        <w:t> </w:t>
      </w:r>
    </w:p>
    <w:p w14:paraId="6AA0ABBD">
      <w:pPr>
        <w:pStyle w:val="5"/>
        <w:widowControl/>
        <w:shd w:val="clear" w:color="auto" w:fill="FFFFFF"/>
        <w:spacing w:line="560" w:lineRule="atLeast"/>
        <w:jc w:val="left"/>
        <w:rPr>
          <w:rFonts w:ascii="微软雅黑" w:hAnsi="微软雅黑" w:eastAsia="微软雅黑" w:cs="微软雅黑"/>
          <w:color w:val="000000"/>
        </w:rPr>
      </w:pPr>
      <w:r>
        <w:rPr>
          <w:rFonts w:hint="eastAsia" w:ascii="仿宋_GB2312" w:hAnsi="微软雅黑" w:eastAsia="仿宋_GB2312" w:cs="仿宋_GB2312"/>
          <w:color w:val="000000"/>
          <w:sz w:val="32"/>
          <w:szCs w:val="32"/>
          <w:shd w:val="clear" w:color="auto" w:fill="FFFFFF"/>
        </w:rPr>
        <w:t>    按照综合预算的原则，鞍山市千山区甘泉镇综合事务服务中心部门及所属单位所有收入和支出均纳入部门预算管理，202</w:t>
      </w:r>
      <w:r>
        <w:rPr>
          <w:rFonts w:hint="eastAsia" w:ascii="仿宋_GB2312" w:hAnsi="微软雅黑" w:eastAsia="仿宋_GB2312" w:cs="仿宋_GB2312"/>
          <w:color w:val="000000"/>
          <w:sz w:val="32"/>
          <w:szCs w:val="32"/>
          <w:shd w:val="clear" w:color="auto" w:fill="FFFFFF"/>
          <w:lang w:val="en-US" w:eastAsia="zh-CN"/>
        </w:rPr>
        <w:t>6</w:t>
      </w:r>
      <w:r>
        <w:rPr>
          <w:rFonts w:hint="eastAsia" w:ascii="仿宋_GB2312" w:hAnsi="微软雅黑" w:eastAsia="仿宋_GB2312" w:cs="仿宋_GB2312"/>
          <w:color w:val="000000"/>
          <w:sz w:val="32"/>
          <w:szCs w:val="32"/>
          <w:shd w:val="clear" w:color="auto" w:fill="FFFFFF"/>
        </w:rPr>
        <w:t>年收支总预算</w:t>
      </w:r>
      <w:r>
        <w:rPr>
          <w:rFonts w:hint="eastAsia" w:ascii="仿宋_GB2312" w:hAnsi="微软雅黑" w:eastAsia="仿宋_GB2312" w:cs="仿宋_GB2312"/>
          <w:color w:val="000000"/>
          <w:sz w:val="32"/>
          <w:szCs w:val="32"/>
          <w:shd w:val="clear" w:color="auto" w:fill="FFFFFF"/>
          <w:lang w:val="en-US" w:eastAsia="zh-CN"/>
        </w:rPr>
        <w:t>934.86</w:t>
      </w:r>
      <w:r>
        <w:rPr>
          <w:rFonts w:hint="eastAsia" w:ascii="仿宋_GB2312" w:hAnsi="微软雅黑" w:eastAsia="仿宋_GB2312" w:cs="仿宋_GB2312"/>
          <w:color w:val="000000"/>
          <w:sz w:val="32"/>
          <w:szCs w:val="32"/>
          <w:shd w:val="clear" w:color="auto" w:fill="FFFFFF"/>
        </w:rPr>
        <w:t>万元。</w:t>
      </w:r>
    </w:p>
    <w:p w14:paraId="4568B179">
      <w:pPr>
        <w:pStyle w:val="5"/>
        <w:widowControl/>
        <w:shd w:val="clear" w:color="auto" w:fill="FFFFFF"/>
        <w:spacing w:line="560" w:lineRule="atLeast"/>
        <w:jc w:val="left"/>
        <w:rPr>
          <w:rFonts w:ascii="微软雅黑" w:hAnsi="微软雅黑" w:eastAsia="微软雅黑" w:cs="微软雅黑"/>
          <w:color w:val="000000"/>
        </w:rPr>
      </w:pPr>
      <w:r>
        <w:rPr>
          <w:rFonts w:hint="eastAsia" w:ascii="仿宋_GB2312" w:hAnsi="微软雅黑" w:eastAsia="仿宋_GB2312" w:cs="仿宋_GB2312"/>
          <w:color w:val="000000"/>
          <w:sz w:val="32"/>
          <w:szCs w:val="32"/>
          <w:shd w:val="clear" w:color="auto" w:fill="FFFFFF"/>
        </w:rPr>
        <w:t>    （一）收入预算</w:t>
      </w:r>
      <w:r>
        <w:rPr>
          <w:rFonts w:hint="eastAsia" w:ascii="仿宋_GB2312" w:hAnsi="微软雅黑" w:eastAsia="仿宋_GB2312" w:cs="仿宋_GB2312"/>
          <w:color w:val="000000"/>
          <w:sz w:val="32"/>
          <w:szCs w:val="32"/>
          <w:shd w:val="clear" w:color="auto" w:fill="FFFFFF"/>
          <w:lang w:val="en-US" w:eastAsia="zh-CN"/>
        </w:rPr>
        <w:t>934.86</w:t>
      </w:r>
      <w:r>
        <w:rPr>
          <w:rFonts w:hint="eastAsia" w:ascii="仿宋_GB2312" w:hAnsi="微软雅黑" w:eastAsia="仿宋_GB2312" w:cs="仿宋_GB2312"/>
          <w:color w:val="000000"/>
          <w:sz w:val="32"/>
          <w:szCs w:val="32"/>
          <w:shd w:val="clear" w:color="auto" w:fill="FFFFFF"/>
        </w:rPr>
        <w:t>万元，其中：</w:t>
      </w:r>
    </w:p>
    <w:p w14:paraId="0CCFF9C5">
      <w:pPr>
        <w:pStyle w:val="5"/>
        <w:widowControl/>
        <w:shd w:val="clear" w:color="auto" w:fill="FFFFFF"/>
        <w:spacing w:line="560" w:lineRule="atLeast"/>
        <w:jc w:val="left"/>
        <w:outlineLvl w:val="0"/>
        <w:rPr>
          <w:rFonts w:ascii="微软雅黑" w:hAnsi="微软雅黑" w:eastAsia="微软雅黑" w:cs="微软雅黑"/>
          <w:color w:val="000000"/>
        </w:rPr>
      </w:pPr>
      <w:r>
        <w:rPr>
          <w:rFonts w:hint="eastAsia" w:ascii="仿宋_GB2312" w:hAnsi="微软雅黑" w:eastAsia="仿宋_GB2312" w:cs="仿宋_GB2312"/>
          <w:color w:val="000000"/>
          <w:sz w:val="32"/>
          <w:szCs w:val="32"/>
          <w:shd w:val="clear" w:color="auto" w:fill="FFFFFF"/>
        </w:rPr>
        <w:t>      一般公共预算拨款收入</w:t>
      </w:r>
      <w:r>
        <w:rPr>
          <w:rFonts w:hint="eastAsia" w:ascii="仿宋_GB2312" w:hAnsi="微软雅黑" w:eastAsia="仿宋_GB2312" w:cs="仿宋_GB2312"/>
          <w:color w:val="000000"/>
          <w:sz w:val="32"/>
          <w:szCs w:val="32"/>
          <w:shd w:val="clear" w:color="auto" w:fill="FFFFFF"/>
          <w:lang w:val="en-US" w:eastAsia="zh-CN"/>
        </w:rPr>
        <w:t>934.86</w:t>
      </w:r>
      <w:r>
        <w:rPr>
          <w:rFonts w:hint="eastAsia" w:ascii="仿宋_GB2312" w:hAnsi="微软雅黑" w:eastAsia="仿宋_GB2312" w:cs="仿宋_GB2312"/>
          <w:color w:val="000000"/>
          <w:sz w:val="32"/>
          <w:szCs w:val="32"/>
          <w:shd w:val="clear" w:color="auto" w:fill="FFFFFF"/>
        </w:rPr>
        <w:t>万元；</w:t>
      </w:r>
    </w:p>
    <w:p w14:paraId="2A60D979">
      <w:pPr>
        <w:pStyle w:val="5"/>
        <w:widowControl/>
        <w:shd w:val="clear" w:color="auto" w:fill="FFFFFF"/>
        <w:spacing w:line="560" w:lineRule="atLeast"/>
        <w:jc w:val="left"/>
        <w:outlineLvl w:val="0"/>
        <w:rPr>
          <w:rFonts w:ascii="微软雅黑" w:hAnsi="微软雅黑" w:eastAsia="微软雅黑" w:cs="微软雅黑"/>
          <w:color w:val="000000"/>
        </w:rPr>
      </w:pPr>
      <w:r>
        <w:rPr>
          <w:rFonts w:hint="eastAsia" w:ascii="仿宋_GB2312" w:hAnsi="微软雅黑" w:eastAsia="仿宋_GB2312" w:cs="仿宋_GB2312"/>
          <w:color w:val="000000"/>
          <w:sz w:val="32"/>
          <w:szCs w:val="32"/>
          <w:shd w:val="clear" w:color="auto" w:fill="FFFFFF"/>
        </w:rPr>
        <w:t>    （二）支出预算</w:t>
      </w:r>
      <w:r>
        <w:rPr>
          <w:rFonts w:hint="eastAsia" w:ascii="仿宋_GB2312" w:hAnsi="微软雅黑" w:eastAsia="仿宋_GB2312" w:cs="仿宋_GB2312"/>
          <w:color w:val="000000"/>
          <w:sz w:val="32"/>
          <w:szCs w:val="32"/>
          <w:shd w:val="clear" w:color="auto" w:fill="FFFFFF"/>
          <w:lang w:val="en-US" w:eastAsia="zh-CN"/>
        </w:rPr>
        <w:t>934.86</w:t>
      </w:r>
      <w:r>
        <w:rPr>
          <w:rFonts w:hint="eastAsia" w:ascii="仿宋_GB2312" w:hAnsi="微软雅黑" w:eastAsia="仿宋_GB2312" w:cs="仿宋_GB2312"/>
          <w:color w:val="000000"/>
          <w:sz w:val="32"/>
          <w:szCs w:val="32"/>
          <w:shd w:val="clear" w:color="auto" w:fill="FFFFFF"/>
        </w:rPr>
        <w:t>万元，其中：</w:t>
      </w:r>
    </w:p>
    <w:p w14:paraId="51362EA3">
      <w:pPr>
        <w:pStyle w:val="5"/>
        <w:widowControl/>
        <w:shd w:val="clear" w:color="auto" w:fill="FFFFFF"/>
        <w:spacing w:line="560" w:lineRule="atLeast"/>
        <w:jc w:val="left"/>
        <w:rPr>
          <w:rFonts w:ascii="微软雅黑" w:hAnsi="微软雅黑" w:eastAsia="微软雅黑" w:cs="微软雅黑"/>
          <w:color w:val="000000"/>
        </w:rPr>
      </w:pPr>
      <w:r>
        <w:rPr>
          <w:rFonts w:hint="eastAsia" w:ascii="仿宋_GB2312" w:hAnsi="微软雅黑" w:eastAsia="仿宋_GB2312" w:cs="仿宋_GB2312"/>
          <w:color w:val="000000"/>
          <w:sz w:val="32"/>
          <w:szCs w:val="32"/>
          <w:shd w:val="clear" w:color="auto" w:fill="FFFFFF"/>
        </w:rPr>
        <w:t>     基本支出</w:t>
      </w:r>
      <w:r>
        <w:rPr>
          <w:rFonts w:hint="eastAsia" w:ascii="仿宋_GB2312" w:hAnsi="微软雅黑" w:eastAsia="仿宋_GB2312" w:cs="仿宋_GB2312"/>
          <w:color w:val="000000"/>
          <w:sz w:val="32"/>
          <w:szCs w:val="32"/>
          <w:shd w:val="clear" w:color="auto" w:fill="FFFFFF"/>
          <w:lang w:val="en-US" w:eastAsia="zh-CN"/>
        </w:rPr>
        <w:t>934.86</w:t>
      </w:r>
      <w:r>
        <w:rPr>
          <w:rFonts w:hint="eastAsia" w:ascii="仿宋_GB2312" w:hAnsi="微软雅黑" w:eastAsia="仿宋_GB2312" w:cs="仿宋_GB2312"/>
          <w:color w:val="000000"/>
          <w:sz w:val="32"/>
          <w:szCs w:val="32"/>
          <w:shd w:val="clear" w:color="auto" w:fill="FFFFFF"/>
        </w:rPr>
        <w:t>万元；</w:t>
      </w:r>
    </w:p>
    <w:p w14:paraId="1CA5AA7B">
      <w:pPr>
        <w:pStyle w:val="5"/>
        <w:widowControl/>
        <w:shd w:val="clear" w:color="auto" w:fill="FFFFFF"/>
        <w:spacing w:line="560" w:lineRule="atLeast"/>
        <w:ind w:firstLine="640"/>
        <w:jc w:val="left"/>
        <w:rPr>
          <w:rFonts w:ascii="微软雅黑" w:hAnsi="微软雅黑" w:eastAsia="微软雅黑" w:cs="微软雅黑"/>
          <w:color w:val="000000"/>
        </w:rPr>
      </w:pPr>
      <w:r>
        <w:rPr>
          <w:rFonts w:hint="eastAsia" w:ascii="仿宋_GB2312" w:hAnsi="微软雅黑" w:eastAsia="仿宋_GB2312" w:cs="仿宋_GB2312"/>
          <w:color w:val="000000"/>
          <w:sz w:val="32"/>
          <w:szCs w:val="32"/>
          <w:shd w:val="clear" w:color="auto" w:fill="FFFFFF"/>
        </w:rPr>
        <w:t>在支出预算中，其中一般公共服务支出</w:t>
      </w:r>
      <w:r>
        <w:rPr>
          <w:rFonts w:hint="eastAsia" w:ascii="仿宋_GB2312" w:hAnsi="微软雅黑" w:eastAsia="仿宋_GB2312" w:cs="仿宋_GB2312"/>
          <w:color w:val="000000"/>
          <w:sz w:val="32"/>
          <w:szCs w:val="32"/>
          <w:shd w:val="clear" w:color="auto" w:fill="FFFFFF"/>
          <w:lang w:val="en-US" w:eastAsia="zh-CN"/>
        </w:rPr>
        <w:t>650.56</w:t>
      </w:r>
      <w:r>
        <w:rPr>
          <w:rFonts w:hint="eastAsia" w:ascii="仿宋_GB2312" w:hAnsi="微软雅黑" w:eastAsia="仿宋_GB2312" w:cs="仿宋_GB2312"/>
          <w:color w:val="000000"/>
          <w:sz w:val="32"/>
          <w:szCs w:val="32"/>
          <w:shd w:val="clear" w:color="auto" w:fill="FFFFFF"/>
        </w:rPr>
        <w:t>万元，社会保障和就业支出</w:t>
      </w:r>
      <w:r>
        <w:rPr>
          <w:rFonts w:hint="eastAsia" w:ascii="仿宋_GB2312" w:hAnsi="微软雅黑" w:eastAsia="仿宋_GB2312" w:cs="仿宋_GB2312"/>
          <w:color w:val="000000"/>
          <w:sz w:val="32"/>
          <w:szCs w:val="32"/>
          <w:shd w:val="clear" w:color="auto" w:fill="FFFFFF"/>
          <w:lang w:val="en-US" w:eastAsia="zh-CN"/>
        </w:rPr>
        <w:t>176.8</w:t>
      </w:r>
      <w:r>
        <w:rPr>
          <w:rFonts w:hint="eastAsia" w:ascii="仿宋_GB2312" w:hAnsi="微软雅黑" w:eastAsia="仿宋_GB2312" w:cs="仿宋_GB2312"/>
          <w:color w:val="000000"/>
          <w:sz w:val="32"/>
          <w:szCs w:val="32"/>
          <w:shd w:val="clear" w:color="auto" w:fill="FFFFFF"/>
        </w:rPr>
        <w:t>万元，卫生健康支出</w:t>
      </w:r>
      <w:r>
        <w:rPr>
          <w:rFonts w:hint="eastAsia" w:ascii="仿宋_GB2312" w:hAnsi="微软雅黑" w:eastAsia="仿宋_GB2312" w:cs="仿宋_GB2312"/>
          <w:color w:val="000000"/>
          <w:sz w:val="32"/>
          <w:szCs w:val="32"/>
          <w:shd w:val="clear" w:color="auto" w:fill="FFFFFF"/>
          <w:lang w:val="en-US" w:eastAsia="zh-CN"/>
        </w:rPr>
        <w:t>39.3</w:t>
      </w:r>
      <w:r>
        <w:rPr>
          <w:rFonts w:hint="eastAsia" w:ascii="仿宋_GB2312" w:hAnsi="微软雅黑" w:eastAsia="仿宋_GB2312" w:cs="仿宋_GB2312"/>
          <w:color w:val="000000"/>
          <w:sz w:val="32"/>
          <w:szCs w:val="32"/>
          <w:shd w:val="clear" w:color="auto" w:fill="FFFFFF"/>
        </w:rPr>
        <w:t>万元，住房保障支出</w:t>
      </w:r>
      <w:r>
        <w:rPr>
          <w:rFonts w:hint="eastAsia" w:ascii="仿宋_GB2312" w:hAnsi="微软雅黑" w:eastAsia="仿宋_GB2312" w:cs="仿宋_GB2312"/>
          <w:color w:val="000000"/>
          <w:sz w:val="32"/>
          <w:szCs w:val="32"/>
          <w:shd w:val="clear" w:color="auto" w:fill="FFFFFF"/>
          <w:lang w:val="en-US" w:eastAsia="zh-CN"/>
        </w:rPr>
        <w:t>68.2</w:t>
      </w:r>
      <w:r>
        <w:rPr>
          <w:rFonts w:hint="eastAsia" w:ascii="仿宋_GB2312" w:hAnsi="微软雅黑" w:eastAsia="仿宋_GB2312" w:cs="仿宋_GB2312"/>
          <w:color w:val="000000"/>
          <w:sz w:val="32"/>
          <w:szCs w:val="32"/>
          <w:shd w:val="clear" w:color="auto" w:fill="FFFFFF"/>
        </w:rPr>
        <w:t>万元。</w:t>
      </w:r>
    </w:p>
    <w:p w14:paraId="0D7167C3">
      <w:pPr>
        <w:pStyle w:val="5"/>
        <w:widowControl/>
        <w:shd w:val="clear" w:color="auto" w:fill="FFFFFF"/>
        <w:spacing w:line="560" w:lineRule="atLeast"/>
        <w:ind w:firstLine="640"/>
        <w:jc w:val="left"/>
        <w:rPr>
          <w:rFonts w:ascii="微软雅黑" w:hAnsi="微软雅黑" w:eastAsia="微软雅黑" w:cs="微软雅黑"/>
          <w:color w:val="000000"/>
        </w:rPr>
      </w:pPr>
      <w:r>
        <w:rPr>
          <w:rFonts w:hint="eastAsia" w:ascii="仿宋_GB2312" w:hAnsi="微软雅黑" w:eastAsia="仿宋_GB2312" w:cs="仿宋_GB2312"/>
          <w:color w:val="000000"/>
          <w:sz w:val="32"/>
          <w:szCs w:val="32"/>
          <w:shd w:val="clear" w:color="auto" w:fill="FFFFFF"/>
        </w:rPr>
        <w:t>在支出预算中，其中机关运行经费支出</w:t>
      </w:r>
      <w:r>
        <w:rPr>
          <w:rFonts w:hint="eastAsia" w:ascii="仿宋_GB2312" w:hAnsi="微软雅黑" w:eastAsia="仿宋_GB2312" w:cs="仿宋_GB2312"/>
          <w:color w:val="000000"/>
          <w:sz w:val="32"/>
          <w:szCs w:val="32"/>
          <w:shd w:val="clear" w:color="auto" w:fill="FFFFFF"/>
          <w:lang w:val="en-US" w:eastAsia="zh-CN"/>
        </w:rPr>
        <w:t>12</w:t>
      </w:r>
      <w:r>
        <w:rPr>
          <w:rFonts w:hint="eastAsia" w:ascii="仿宋_GB2312" w:hAnsi="微软雅黑" w:eastAsia="仿宋_GB2312" w:cs="仿宋_GB2312"/>
          <w:color w:val="000000"/>
          <w:sz w:val="32"/>
          <w:szCs w:val="32"/>
          <w:shd w:val="clear" w:color="auto" w:fill="FFFFFF"/>
        </w:rPr>
        <w:t>万元。</w:t>
      </w:r>
    </w:p>
    <w:p w14:paraId="6040967E">
      <w:pPr>
        <w:pStyle w:val="5"/>
        <w:widowControl/>
        <w:shd w:val="clear" w:color="auto" w:fill="FFFFFF"/>
        <w:spacing w:line="560" w:lineRule="atLeast"/>
        <w:jc w:val="left"/>
        <w:rPr>
          <w:rFonts w:ascii="微软雅黑" w:hAnsi="微软雅黑" w:eastAsia="微软雅黑" w:cs="微软雅黑"/>
          <w:color w:val="000000"/>
        </w:rPr>
      </w:pPr>
      <w:r>
        <w:rPr>
          <w:rFonts w:hint="eastAsia" w:ascii="仿宋_GB2312" w:hAnsi="微软雅黑" w:eastAsia="仿宋_GB2312" w:cs="仿宋_GB2312"/>
          <w:color w:val="000000"/>
          <w:sz w:val="32"/>
          <w:szCs w:val="32"/>
          <w:shd w:val="clear" w:color="auto" w:fill="FFFFFF"/>
        </w:rPr>
        <w:t>  </w:t>
      </w:r>
      <w:r>
        <w:rPr>
          <w:rFonts w:hint="eastAsia" w:ascii="楷体" w:hAnsi="楷体" w:eastAsia="楷体" w:cs="楷体"/>
          <w:b/>
          <w:bCs/>
          <w:color w:val="000000"/>
          <w:sz w:val="32"/>
          <w:szCs w:val="32"/>
          <w:shd w:val="clear" w:color="auto" w:fill="FFFFFF"/>
        </w:rPr>
        <w:t>  二、财政拨款收支预算情况说明</w:t>
      </w:r>
      <w:r>
        <w:rPr>
          <w:rFonts w:hint="eastAsia" w:ascii="楷体" w:hAnsi="楷体" w:eastAsia="楷体" w:cs="楷体"/>
          <w:color w:val="000000"/>
          <w:sz w:val="32"/>
          <w:szCs w:val="32"/>
          <w:shd w:val="clear" w:color="auto" w:fill="FFFFFF"/>
        </w:rPr>
        <w:t> </w:t>
      </w:r>
    </w:p>
    <w:p w14:paraId="551200CD">
      <w:pPr>
        <w:pStyle w:val="5"/>
        <w:widowControl/>
        <w:shd w:val="clear" w:color="auto" w:fill="FFFFFF"/>
        <w:spacing w:line="560" w:lineRule="atLeast"/>
        <w:jc w:val="left"/>
        <w:rPr>
          <w:rFonts w:ascii="微软雅黑" w:hAnsi="微软雅黑" w:eastAsia="微软雅黑" w:cs="微软雅黑"/>
          <w:color w:val="000000"/>
        </w:rPr>
      </w:pPr>
      <w:r>
        <w:rPr>
          <w:rFonts w:hint="eastAsia" w:ascii="仿宋_GB2312" w:hAnsi="微软雅黑" w:eastAsia="仿宋_GB2312" w:cs="仿宋_GB2312"/>
          <w:color w:val="000000"/>
          <w:sz w:val="32"/>
          <w:szCs w:val="32"/>
          <w:shd w:val="clear" w:color="auto" w:fill="FFFFFF"/>
        </w:rPr>
        <w:t>    鞍山市千山区甘泉镇综合事务服务中心部门及所属单位202</w:t>
      </w:r>
      <w:r>
        <w:rPr>
          <w:rFonts w:hint="eastAsia" w:ascii="仿宋_GB2312" w:hAnsi="微软雅黑" w:eastAsia="仿宋_GB2312" w:cs="仿宋_GB2312"/>
          <w:color w:val="000000"/>
          <w:sz w:val="32"/>
          <w:szCs w:val="32"/>
          <w:shd w:val="clear" w:color="auto" w:fill="FFFFFF"/>
          <w:lang w:val="en-US" w:eastAsia="zh-CN"/>
        </w:rPr>
        <w:t>6</w:t>
      </w:r>
      <w:r>
        <w:rPr>
          <w:rFonts w:hint="eastAsia" w:ascii="仿宋_GB2312" w:hAnsi="微软雅黑" w:eastAsia="仿宋_GB2312" w:cs="仿宋_GB2312"/>
          <w:color w:val="000000"/>
          <w:sz w:val="32"/>
          <w:szCs w:val="32"/>
          <w:shd w:val="clear" w:color="auto" w:fill="FFFFFF"/>
        </w:rPr>
        <w:t>年财政拨款收支总预算</w:t>
      </w:r>
      <w:r>
        <w:rPr>
          <w:rFonts w:hint="eastAsia" w:ascii="仿宋_GB2312" w:hAnsi="微软雅黑" w:eastAsia="仿宋_GB2312" w:cs="仿宋_GB2312"/>
          <w:color w:val="000000"/>
          <w:sz w:val="32"/>
          <w:szCs w:val="32"/>
          <w:shd w:val="clear" w:color="auto" w:fill="FFFFFF"/>
          <w:lang w:val="en-US" w:eastAsia="zh-CN"/>
        </w:rPr>
        <w:t>934.86</w:t>
      </w:r>
      <w:r>
        <w:rPr>
          <w:rFonts w:hint="eastAsia" w:ascii="仿宋_GB2312" w:hAnsi="微软雅黑" w:eastAsia="仿宋_GB2312" w:cs="仿宋_GB2312"/>
          <w:color w:val="000000"/>
          <w:sz w:val="32"/>
          <w:szCs w:val="32"/>
          <w:shd w:val="clear" w:color="auto" w:fill="FFFFFF"/>
        </w:rPr>
        <w:t>万元。收入预算为一般公共预算拨款，无政府性基金预算拨款和国有资本经营预算拨款，包括：当年财政拨款收入</w:t>
      </w:r>
      <w:r>
        <w:rPr>
          <w:rFonts w:hint="eastAsia" w:ascii="仿宋_GB2312" w:hAnsi="微软雅黑" w:eastAsia="仿宋_GB2312" w:cs="仿宋_GB2312"/>
          <w:color w:val="000000"/>
          <w:sz w:val="32"/>
          <w:szCs w:val="32"/>
          <w:shd w:val="clear" w:color="auto" w:fill="FFFFFF"/>
          <w:lang w:val="en-US" w:eastAsia="zh-CN"/>
        </w:rPr>
        <w:t>934.86</w:t>
      </w:r>
      <w:r>
        <w:rPr>
          <w:rFonts w:hint="eastAsia" w:ascii="仿宋_GB2312" w:hAnsi="微软雅黑" w:eastAsia="仿宋_GB2312" w:cs="仿宋_GB2312"/>
          <w:color w:val="000000"/>
          <w:sz w:val="32"/>
          <w:szCs w:val="32"/>
          <w:shd w:val="clear" w:color="auto" w:fill="FFFFFF"/>
        </w:rPr>
        <w:t>万元，；支出预算按功能支出包括：一般公共服务支出</w:t>
      </w:r>
      <w:r>
        <w:rPr>
          <w:rFonts w:hint="eastAsia" w:ascii="仿宋_GB2312" w:hAnsi="微软雅黑" w:eastAsia="仿宋_GB2312" w:cs="仿宋_GB2312"/>
          <w:color w:val="000000"/>
          <w:sz w:val="32"/>
          <w:szCs w:val="32"/>
          <w:shd w:val="clear" w:color="auto" w:fill="FFFFFF"/>
          <w:lang w:val="en-US" w:eastAsia="zh-CN"/>
        </w:rPr>
        <w:t>650.56</w:t>
      </w:r>
      <w:r>
        <w:rPr>
          <w:rFonts w:hint="eastAsia" w:ascii="仿宋_GB2312" w:hAnsi="微软雅黑" w:eastAsia="仿宋_GB2312" w:cs="仿宋_GB2312"/>
          <w:color w:val="000000"/>
          <w:sz w:val="32"/>
          <w:szCs w:val="32"/>
          <w:shd w:val="clear" w:color="auto" w:fill="FFFFFF"/>
        </w:rPr>
        <w:t>万元，社会保障和就业支出</w:t>
      </w:r>
      <w:r>
        <w:rPr>
          <w:rFonts w:hint="eastAsia" w:ascii="仿宋_GB2312" w:hAnsi="微软雅黑" w:eastAsia="仿宋_GB2312" w:cs="仿宋_GB2312"/>
          <w:color w:val="000000"/>
          <w:sz w:val="32"/>
          <w:szCs w:val="32"/>
          <w:shd w:val="clear" w:color="auto" w:fill="FFFFFF"/>
          <w:lang w:val="en-US" w:eastAsia="zh-CN"/>
        </w:rPr>
        <w:t>176.8</w:t>
      </w:r>
      <w:r>
        <w:rPr>
          <w:rFonts w:hint="eastAsia" w:ascii="仿宋_GB2312" w:hAnsi="微软雅黑" w:eastAsia="仿宋_GB2312" w:cs="仿宋_GB2312"/>
          <w:color w:val="000000"/>
          <w:sz w:val="32"/>
          <w:szCs w:val="32"/>
          <w:shd w:val="clear" w:color="auto" w:fill="FFFFFF"/>
        </w:rPr>
        <w:t>万元、卫生健康支出</w:t>
      </w:r>
      <w:r>
        <w:rPr>
          <w:rFonts w:hint="eastAsia" w:ascii="仿宋_GB2312" w:hAnsi="微软雅黑" w:eastAsia="仿宋_GB2312" w:cs="仿宋_GB2312"/>
          <w:color w:val="000000"/>
          <w:sz w:val="32"/>
          <w:szCs w:val="32"/>
          <w:shd w:val="clear" w:color="auto" w:fill="FFFFFF"/>
          <w:lang w:val="en-US" w:eastAsia="zh-CN"/>
        </w:rPr>
        <w:t>39.3</w:t>
      </w:r>
      <w:r>
        <w:rPr>
          <w:rFonts w:hint="eastAsia" w:ascii="仿宋_GB2312" w:hAnsi="微软雅黑" w:eastAsia="仿宋_GB2312" w:cs="仿宋_GB2312"/>
          <w:color w:val="000000"/>
          <w:sz w:val="32"/>
          <w:szCs w:val="32"/>
          <w:shd w:val="clear" w:color="auto" w:fill="FFFFFF"/>
        </w:rPr>
        <w:t>万元，住房保障支出</w:t>
      </w:r>
      <w:r>
        <w:rPr>
          <w:rFonts w:hint="eastAsia" w:ascii="仿宋_GB2312" w:hAnsi="微软雅黑" w:eastAsia="仿宋_GB2312" w:cs="仿宋_GB2312"/>
          <w:color w:val="000000"/>
          <w:sz w:val="32"/>
          <w:szCs w:val="32"/>
          <w:shd w:val="clear" w:color="auto" w:fill="FFFFFF"/>
          <w:lang w:val="en-US" w:eastAsia="zh-CN"/>
        </w:rPr>
        <w:t>68.2</w:t>
      </w:r>
      <w:r>
        <w:rPr>
          <w:rFonts w:hint="eastAsia" w:ascii="仿宋_GB2312" w:hAnsi="微软雅黑" w:eastAsia="仿宋_GB2312" w:cs="仿宋_GB2312"/>
          <w:color w:val="000000"/>
          <w:sz w:val="32"/>
          <w:szCs w:val="32"/>
          <w:shd w:val="clear" w:color="auto" w:fill="FFFFFF"/>
        </w:rPr>
        <w:t>万元；按经济支出包括:工资福利支出</w:t>
      </w:r>
      <w:r>
        <w:rPr>
          <w:rFonts w:hint="eastAsia" w:ascii="仿宋_GB2312" w:hAnsi="微软雅黑" w:eastAsia="仿宋_GB2312" w:cs="仿宋_GB2312"/>
          <w:color w:val="000000"/>
          <w:sz w:val="32"/>
          <w:szCs w:val="32"/>
          <w:shd w:val="clear" w:color="auto" w:fill="FFFFFF"/>
          <w:lang w:val="en-US" w:eastAsia="zh-CN"/>
        </w:rPr>
        <w:t>853.9</w:t>
      </w:r>
      <w:r>
        <w:rPr>
          <w:rFonts w:hint="eastAsia" w:ascii="仿宋_GB2312" w:hAnsi="微软雅黑" w:eastAsia="仿宋_GB2312" w:cs="仿宋_GB2312"/>
          <w:color w:val="000000"/>
          <w:sz w:val="32"/>
          <w:szCs w:val="32"/>
          <w:shd w:val="clear" w:color="auto" w:fill="FFFFFF"/>
        </w:rPr>
        <w:t>万元，商品和服务支出</w:t>
      </w:r>
      <w:r>
        <w:rPr>
          <w:rFonts w:hint="eastAsia" w:ascii="仿宋_GB2312" w:hAnsi="微软雅黑" w:eastAsia="仿宋_GB2312" w:cs="仿宋_GB2312"/>
          <w:color w:val="000000"/>
          <w:sz w:val="32"/>
          <w:szCs w:val="32"/>
          <w:shd w:val="clear" w:color="auto" w:fill="FFFFFF"/>
          <w:lang w:val="en-US" w:eastAsia="zh-CN"/>
        </w:rPr>
        <w:t>12</w:t>
      </w:r>
      <w:r>
        <w:rPr>
          <w:rFonts w:hint="eastAsia" w:ascii="仿宋_GB2312" w:hAnsi="微软雅黑" w:eastAsia="仿宋_GB2312" w:cs="仿宋_GB2312"/>
          <w:color w:val="000000"/>
          <w:sz w:val="32"/>
          <w:szCs w:val="32"/>
          <w:shd w:val="clear" w:color="auto" w:fill="FFFFFF"/>
        </w:rPr>
        <w:t>万元，对个人和家庭的补助</w:t>
      </w:r>
      <w:r>
        <w:rPr>
          <w:rFonts w:hint="eastAsia" w:ascii="仿宋_GB2312" w:hAnsi="微软雅黑" w:eastAsia="仿宋_GB2312" w:cs="仿宋_GB2312"/>
          <w:color w:val="000000"/>
          <w:sz w:val="32"/>
          <w:szCs w:val="32"/>
          <w:shd w:val="clear" w:color="auto" w:fill="FFFFFF"/>
          <w:lang w:val="en-US" w:eastAsia="zh-CN"/>
        </w:rPr>
        <w:t>68.96</w:t>
      </w:r>
      <w:r>
        <w:rPr>
          <w:rFonts w:hint="eastAsia" w:ascii="仿宋_GB2312" w:hAnsi="微软雅黑" w:eastAsia="仿宋_GB2312" w:cs="仿宋_GB2312"/>
          <w:color w:val="000000"/>
          <w:sz w:val="32"/>
          <w:szCs w:val="32"/>
          <w:shd w:val="clear" w:color="auto" w:fill="FFFFFF"/>
        </w:rPr>
        <w:t>万元。 </w:t>
      </w:r>
    </w:p>
    <w:p w14:paraId="3C13D08E">
      <w:pPr>
        <w:pStyle w:val="5"/>
        <w:widowControl/>
        <w:shd w:val="clear" w:color="auto" w:fill="FFFFFF"/>
        <w:rPr>
          <w:rFonts w:ascii="微软雅黑" w:hAnsi="微软雅黑" w:eastAsia="微软雅黑" w:cs="微软雅黑"/>
          <w:color w:val="000000"/>
        </w:rPr>
      </w:pPr>
      <w:r>
        <w:rPr>
          <w:rFonts w:hint="eastAsia" w:ascii="仿宋_GB2312" w:hAnsi="微软雅黑" w:eastAsia="仿宋_GB2312" w:cs="仿宋_GB2312"/>
          <w:color w:val="000000"/>
          <w:sz w:val="32"/>
          <w:szCs w:val="32"/>
          <w:shd w:val="clear" w:color="auto" w:fill="FFFFFF"/>
        </w:rPr>
        <w:t>    </w:t>
      </w:r>
      <w:r>
        <w:rPr>
          <w:rFonts w:hint="eastAsia" w:ascii="楷体" w:hAnsi="楷体" w:eastAsia="楷体" w:cs="楷体"/>
          <w:color w:val="000000"/>
          <w:sz w:val="32"/>
          <w:szCs w:val="32"/>
          <w:shd w:val="clear" w:color="auto" w:fill="FFFFFF"/>
        </w:rPr>
        <w:t>    三、</w:t>
      </w:r>
      <w:r>
        <w:rPr>
          <w:rFonts w:hint="eastAsia" w:ascii="楷体" w:hAnsi="楷体" w:eastAsia="楷体" w:cs="楷体"/>
          <w:b/>
          <w:bCs/>
          <w:color w:val="000000"/>
          <w:sz w:val="32"/>
          <w:szCs w:val="32"/>
          <w:shd w:val="clear" w:color="auto" w:fill="FFFFFF"/>
        </w:rPr>
        <w:t>一般公共预算基本支出情况说明</w:t>
      </w:r>
    </w:p>
    <w:p w14:paraId="5FFFECF3">
      <w:pPr>
        <w:pStyle w:val="5"/>
        <w:widowControl/>
        <w:shd w:val="clear" w:color="auto" w:fill="FFFFFF"/>
        <w:spacing w:line="560" w:lineRule="atLeast"/>
        <w:jc w:val="left"/>
        <w:rPr>
          <w:rFonts w:ascii="微软雅黑" w:hAnsi="微软雅黑" w:eastAsia="微软雅黑" w:cs="微软雅黑"/>
          <w:color w:val="000000"/>
        </w:rPr>
      </w:pPr>
      <w:r>
        <w:rPr>
          <w:rFonts w:hint="eastAsia" w:ascii="仿宋_GB2312" w:hAnsi="微软雅黑" w:eastAsia="仿宋_GB2312" w:cs="仿宋_GB2312"/>
          <w:b/>
          <w:bCs/>
          <w:color w:val="000000"/>
          <w:sz w:val="32"/>
          <w:szCs w:val="32"/>
          <w:shd w:val="clear" w:color="auto" w:fill="FFFFFF"/>
        </w:rPr>
        <w:t>    </w:t>
      </w:r>
      <w:r>
        <w:rPr>
          <w:rFonts w:hint="eastAsia" w:ascii="仿宋_GB2312" w:hAnsi="微软雅黑" w:eastAsia="仿宋_GB2312" w:cs="仿宋_GB2312"/>
          <w:color w:val="000000"/>
          <w:sz w:val="32"/>
          <w:szCs w:val="32"/>
          <w:shd w:val="clear" w:color="auto" w:fill="FFFFFF"/>
        </w:rPr>
        <w:t>鞍山市千山区大屯镇综合事务服务中心部门及所属单位202</w:t>
      </w:r>
      <w:r>
        <w:rPr>
          <w:rFonts w:hint="eastAsia" w:ascii="仿宋_GB2312" w:hAnsi="微软雅黑" w:eastAsia="仿宋_GB2312" w:cs="仿宋_GB2312"/>
          <w:color w:val="000000"/>
          <w:sz w:val="32"/>
          <w:szCs w:val="32"/>
          <w:shd w:val="clear" w:color="auto" w:fill="FFFFFF"/>
          <w:lang w:val="en-US" w:eastAsia="zh-CN"/>
        </w:rPr>
        <w:t>6</w:t>
      </w:r>
      <w:r>
        <w:rPr>
          <w:rFonts w:hint="eastAsia" w:ascii="仿宋_GB2312" w:hAnsi="微软雅黑" w:eastAsia="仿宋_GB2312" w:cs="仿宋_GB2312"/>
          <w:color w:val="000000"/>
          <w:sz w:val="32"/>
          <w:szCs w:val="32"/>
          <w:shd w:val="clear" w:color="auto" w:fill="FFFFFF"/>
        </w:rPr>
        <w:t>年一般公共预算基本支出</w:t>
      </w:r>
      <w:r>
        <w:rPr>
          <w:rFonts w:hint="eastAsia" w:ascii="仿宋_GB2312" w:hAnsi="微软雅黑" w:eastAsia="仿宋_GB2312" w:cs="仿宋_GB2312"/>
          <w:color w:val="000000"/>
          <w:sz w:val="32"/>
          <w:szCs w:val="32"/>
          <w:shd w:val="clear" w:color="auto" w:fill="FFFFFF"/>
          <w:lang w:val="en-US" w:eastAsia="zh-CN"/>
        </w:rPr>
        <w:t>934.86</w:t>
      </w:r>
      <w:r>
        <w:rPr>
          <w:rFonts w:hint="eastAsia" w:ascii="仿宋_GB2312" w:hAnsi="微软雅黑" w:eastAsia="仿宋_GB2312" w:cs="仿宋_GB2312"/>
          <w:color w:val="000000"/>
          <w:sz w:val="32"/>
          <w:szCs w:val="32"/>
          <w:shd w:val="clear" w:color="auto" w:fill="FFFFFF"/>
        </w:rPr>
        <w:t> 万元，其中工资福利支出</w:t>
      </w:r>
      <w:r>
        <w:rPr>
          <w:rFonts w:hint="eastAsia" w:ascii="仿宋_GB2312" w:hAnsi="微软雅黑" w:eastAsia="仿宋_GB2312" w:cs="仿宋_GB2312"/>
          <w:color w:val="000000"/>
          <w:sz w:val="32"/>
          <w:szCs w:val="32"/>
          <w:shd w:val="clear" w:color="auto" w:fill="FFFFFF"/>
          <w:lang w:val="en-US" w:eastAsia="zh-CN"/>
        </w:rPr>
        <w:t>853.9</w:t>
      </w:r>
      <w:r>
        <w:rPr>
          <w:rFonts w:hint="eastAsia" w:ascii="仿宋_GB2312" w:hAnsi="微软雅黑" w:eastAsia="仿宋_GB2312" w:cs="仿宋_GB2312"/>
          <w:color w:val="000000"/>
          <w:sz w:val="32"/>
          <w:szCs w:val="32"/>
          <w:shd w:val="clear" w:color="auto" w:fill="FFFFFF"/>
        </w:rPr>
        <w:t>万元，商品和服务支出</w:t>
      </w:r>
      <w:r>
        <w:rPr>
          <w:rFonts w:hint="eastAsia" w:ascii="仿宋_GB2312" w:hAnsi="微软雅黑" w:eastAsia="仿宋_GB2312" w:cs="仿宋_GB2312"/>
          <w:color w:val="000000"/>
          <w:sz w:val="32"/>
          <w:szCs w:val="32"/>
          <w:shd w:val="clear" w:color="auto" w:fill="FFFFFF"/>
          <w:lang w:val="en-US" w:eastAsia="zh-CN"/>
        </w:rPr>
        <w:t>12</w:t>
      </w:r>
      <w:r>
        <w:rPr>
          <w:rFonts w:hint="eastAsia" w:ascii="仿宋_GB2312" w:hAnsi="微软雅黑" w:eastAsia="仿宋_GB2312" w:cs="仿宋_GB2312"/>
          <w:color w:val="000000"/>
          <w:sz w:val="32"/>
          <w:szCs w:val="32"/>
          <w:shd w:val="clear" w:color="auto" w:fill="FFFFFF"/>
        </w:rPr>
        <w:t>万元，对个人和家庭补助支出</w:t>
      </w:r>
      <w:r>
        <w:rPr>
          <w:rFonts w:hint="eastAsia" w:ascii="仿宋_GB2312" w:hAnsi="微软雅黑" w:eastAsia="仿宋_GB2312" w:cs="仿宋_GB2312"/>
          <w:color w:val="000000"/>
          <w:sz w:val="32"/>
          <w:szCs w:val="32"/>
          <w:shd w:val="clear" w:color="auto" w:fill="FFFFFF"/>
          <w:lang w:val="en-US" w:eastAsia="zh-CN"/>
        </w:rPr>
        <w:t>68.96</w:t>
      </w:r>
      <w:r>
        <w:rPr>
          <w:rFonts w:hint="eastAsia" w:ascii="仿宋_GB2312" w:hAnsi="微软雅黑" w:eastAsia="仿宋_GB2312" w:cs="仿宋_GB2312"/>
          <w:color w:val="000000"/>
          <w:sz w:val="32"/>
          <w:szCs w:val="32"/>
          <w:shd w:val="clear" w:color="auto" w:fill="FFFFFF"/>
        </w:rPr>
        <w:t>万元。</w:t>
      </w:r>
    </w:p>
    <w:p w14:paraId="2E405B64">
      <w:pPr>
        <w:pStyle w:val="5"/>
        <w:widowControl/>
        <w:shd w:val="clear" w:color="auto" w:fill="FFFFFF"/>
        <w:ind w:firstLine="640"/>
        <w:jc w:val="left"/>
        <w:rPr>
          <w:rFonts w:ascii="微软雅黑" w:hAnsi="微软雅黑" w:eastAsia="微软雅黑" w:cs="微软雅黑"/>
          <w:color w:val="000000"/>
        </w:rPr>
      </w:pPr>
      <w:r>
        <w:rPr>
          <w:rFonts w:hint="eastAsia" w:ascii="仿宋_GB2312" w:hAnsi="微软雅黑" w:eastAsia="仿宋_GB2312" w:cs="仿宋_GB2312"/>
          <w:color w:val="000000"/>
          <w:sz w:val="32"/>
          <w:szCs w:val="32"/>
          <w:shd w:val="clear" w:color="auto" w:fill="FFFFFF"/>
        </w:rPr>
        <w:t>人员经费（即工资福利支出与对个人和家庭补助支出之和）</w:t>
      </w:r>
      <w:r>
        <w:rPr>
          <w:rFonts w:hint="eastAsia" w:ascii="仿宋_GB2312" w:hAnsi="微软雅黑" w:eastAsia="仿宋_GB2312" w:cs="仿宋_GB2312"/>
          <w:color w:val="000000"/>
          <w:sz w:val="32"/>
          <w:szCs w:val="32"/>
          <w:shd w:val="clear" w:color="auto" w:fill="FFFFFF"/>
          <w:lang w:val="en-US" w:eastAsia="zh-CN"/>
        </w:rPr>
        <w:t>922.86</w:t>
      </w:r>
      <w:r>
        <w:rPr>
          <w:rFonts w:hint="eastAsia" w:ascii="仿宋_GB2312" w:hAnsi="微软雅黑" w:eastAsia="仿宋_GB2312" w:cs="仿宋_GB2312"/>
          <w:color w:val="000000"/>
          <w:sz w:val="32"/>
          <w:szCs w:val="32"/>
          <w:shd w:val="clear" w:color="auto" w:fill="FFFFFF"/>
        </w:rPr>
        <w:t>万元，主要包括：基本工资、津贴补贴（含购房补贴、在职个人取暖费等）、奖金、绩效工资、机关事业单位基本养老保险、职业年金缴费、职工基本医疗保险缴费、住房公积金、其他社会保障缴费、其他工资福利支出、</w:t>
      </w:r>
      <w:r>
        <w:rPr>
          <w:rFonts w:hint="eastAsia" w:ascii="仿宋_GB2312" w:hAnsi="微软雅黑" w:eastAsia="仿宋_GB2312" w:cs="仿宋_GB2312"/>
          <w:color w:val="000000"/>
          <w:sz w:val="31"/>
          <w:szCs w:val="31"/>
          <w:shd w:val="clear" w:color="auto" w:fill="FFFFFF"/>
        </w:rPr>
        <w:t>离休费、退休费、抚恤金、生活补助、医疗费补助、奖励金、其他对个人和家庭的补助支出。</w:t>
      </w:r>
    </w:p>
    <w:p w14:paraId="5934E14B">
      <w:pPr>
        <w:pStyle w:val="5"/>
        <w:widowControl/>
        <w:shd w:val="clear" w:color="auto" w:fill="FFFFFF"/>
        <w:spacing w:line="560" w:lineRule="atLeast"/>
        <w:ind w:firstLine="640"/>
        <w:jc w:val="left"/>
        <w:rPr>
          <w:rFonts w:ascii="微软雅黑" w:hAnsi="微软雅黑" w:eastAsia="微软雅黑" w:cs="微软雅黑"/>
          <w:color w:val="000000"/>
        </w:rPr>
      </w:pPr>
      <w:r>
        <w:rPr>
          <w:rFonts w:hint="eastAsia" w:ascii="仿宋_GB2312" w:hAnsi="微软雅黑" w:eastAsia="仿宋_GB2312" w:cs="仿宋_GB2312"/>
          <w:color w:val="000000"/>
          <w:sz w:val="32"/>
          <w:szCs w:val="32"/>
          <w:shd w:val="clear" w:color="auto" w:fill="FFFFFF"/>
        </w:rPr>
        <w:t>公用经费（即商品和服务支出）</w:t>
      </w:r>
      <w:r>
        <w:rPr>
          <w:rFonts w:hint="eastAsia" w:ascii="仿宋_GB2312" w:hAnsi="微软雅黑" w:eastAsia="仿宋_GB2312" w:cs="仿宋_GB2312"/>
          <w:color w:val="000000"/>
          <w:sz w:val="32"/>
          <w:szCs w:val="32"/>
          <w:shd w:val="clear" w:color="auto" w:fill="FFFFFF"/>
          <w:lang w:val="en-US" w:eastAsia="zh-CN"/>
        </w:rPr>
        <w:t>12</w:t>
      </w:r>
      <w:r>
        <w:rPr>
          <w:rFonts w:hint="eastAsia" w:ascii="仿宋_GB2312" w:hAnsi="微软雅黑" w:eastAsia="仿宋_GB2312" w:cs="仿宋_GB2312"/>
          <w:color w:val="000000"/>
          <w:sz w:val="32"/>
          <w:szCs w:val="32"/>
          <w:shd w:val="clear" w:color="auto" w:fill="FFFFFF"/>
        </w:rPr>
        <w:t>万元，主要包括：办公费、印刷费、咨询费、手续费、水费、电费、邮电费、办公取暖费、物业管理费、差旅费、因公出国（境）费用、维修（护）费、租赁费、会议费、培训费、公务接待费、专用材料费、被装购置费、专用燃料费、劳务费、委托业务费、工会经费、福利费、公务用车运行维护费、其他交通费用和其他商品服务支出等。</w:t>
      </w:r>
    </w:p>
    <w:p w14:paraId="5E3BEFF9">
      <w:pPr>
        <w:pStyle w:val="5"/>
        <w:widowControl/>
        <w:shd w:val="clear" w:color="auto" w:fill="FFFFFF"/>
        <w:spacing w:line="560" w:lineRule="atLeast"/>
        <w:ind w:firstLine="640"/>
        <w:jc w:val="left"/>
        <w:rPr>
          <w:rFonts w:ascii="微软雅黑" w:hAnsi="微软雅黑" w:eastAsia="微软雅黑" w:cs="微软雅黑"/>
          <w:color w:val="000000"/>
        </w:rPr>
      </w:pPr>
      <w:r>
        <w:rPr>
          <w:rFonts w:hint="eastAsia" w:ascii="楷体" w:hAnsi="楷体" w:eastAsia="楷体" w:cs="楷体"/>
          <w:b/>
          <w:bCs/>
          <w:color w:val="000000"/>
          <w:sz w:val="32"/>
          <w:szCs w:val="32"/>
          <w:shd w:val="clear" w:color="auto" w:fill="FFFFFF"/>
        </w:rPr>
        <w:t>四、“三公”经费预算情况说明（请注意增减原因要与数字逻辑关系相符）</w:t>
      </w:r>
      <w:r>
        <w:rPr>
          <w:rFonts w:hint="eastAsia" w:ascii="楷体" w:hAnsi="楷体" w:eastAsia="楷体" w:cs="楷体"/>
          <w:color w:val="000000"/>
          <w:sz w:val="32"/>
          <w:szCs w:val="32"/>
          <w:shd w:val="clear" w:color="auto" w:fill="FFFFFF"/>
        </w:rPr>
        <w:t> </w:t>
      </w:r>
    </w:p>
    <w:p w14:paraId="3F7DB93B">
      <w:pPr>
        <w:pStyle w:val="5"/>
        <w:widowControl/>
        <w:shd w:val="clear" w:color="auto" w:fill="FFFFFF"/>
        <w:spacing w:line="560" w:lineRule="atLeast"/>
        <w:jc w:val="left"/>
        <w:rPr>
          <w:rFonts w:ascii="微软雅黑" w:hAnsi="微软雅黑" w:eastAsia="微软雅黑" w:cs="微软雅黑"/>
          <w:color w:val="000000"/>
        </w:rPr>
      </w:pPr>
      <w:r>
        <w:rPr>
          <w:rFonts w:hint="eastAsia" w:ascii="仿宋_GB2312" w:hAnsi="微软雅黑" w:eastAsia="仿宋_GB2312" w:cs="仿宋_GB2312"/>
          <w:color w:val="000000"/>
          <w:sz w:val="32"/>
          <w:szCs w:val="32"/>
          <w:shd w:val="clear" w:color="auto" w:fill="FFFFFF"/>
        </w:rPr>
        <w:t>    202</w:t>
      </w:r>
      <w:r>
        <w:rPr>
          <w:rFonts w:hint="eastAsia" w:ascii="仿宋_GB2312" w:hAnsi="微软雅黑" w:eastAsia="仿宋_GB2312" w:cs="仿宋_GB2312"/>
          <w:color w:val="000000"/>
          <w:sz w:val="32"/>
          <w:szCs w:val="32"/>
          <w:shd w:val="clear" w:color="auto" w:fill="FFFFFF"/>
          <w:lang w:val="en-US" w:eastAsia="zh-CN"/>
        </w:rPr>
        <w:t>6</w:t>
      </w:r>
      <w:r>
        <w:rPr>
          <w:rFonts w:hint="eastAsia" w:ascii="仿宋_GB2312" w:hAnsi="微软雅黑" w:eastAsia="仿宋_GB2312" w:cs="仿宋_GB2312"/>
          <w:color w:val="000000"/>
          <w:sz w:val="32"/>
          <w:szCs w:val="32"/>
          <w:shd w:val="clear" w:color="auto" w:fill="FFFFFF"/>
        </w:rPr>
        <w:t>年财政拨款预算安排的“三公”经费预算数0万元，比上年预算数减少0万元，下降0%。</w:t>
      </w:r>
    </w:p>
    <w:p w14:paraId="3D3AE374">
      <w:pPr>
        <w:pStyle w:val="5"/>
        <w:widowControl/>
        <w:shd w:val="clear" w:color="auto" w:fill="FFFFFF"/>
        <w:spacing w:line="560" w:lineRule="atLeast"/>
        <w:ind w:firstLine="642"/>
        <w:jc w:val="left"/>
        <w:rPr>
          <w:rFonts w:ascii="微软雅黑" w:hAnsi="微软雅黑" w:eastAsia="微软雅黑" w:cs="微软雅黑"/>
          <w:color w:val="000000"/>
        </w:rPr>
      </w:pPr>
      <w:r>
        <w:rPr>
          <w:rFonts w:hint="eastAsia" w:ascii="楷体" w:hAnsi="楷体" w:eastAsia="楷体" w:cs="楷体"/>
          <w:b/>
          <w:bCs/>
          <w:color w:val="000000"/>
          <w:sz w:val="32"/>
          <w:szCs w:val="32"/>
          <w:shd w:val="clear" w:color="auto" w:fill="FFFFFF"/>
        </w:rPr>
        <w:t>五、其他重要事项情况说明</w:t>
      </w:r>
      <w:r>
        <w:rPr>
          <w:rFonts w:hint="eastAsia" w:ascii="楷体" w:hAnsi="楷体" w:eastAsia="楷体" w:cs="楷体"/>
          <w:color w:val="000000"/>
          <w:sz w:val="32"/>
          <w:szCs w:val="32"/>
          <w:shd w:val="clear" w:color="auto" w:fill="FFFFFF"/>
        </w:rPr>
        <w:t> </w:t>
      </w:r>
    </w:p>
    <w:p w14:paraId="35FA0C91">
      <w:pPr>
        <w:pStyle w:val="5"/>
        <w:widowControl/>
        <w:shd w:val="clear" w:color="auto" w:fill="FFFFFF"/>
        <w:spacing w:line="560" w:lineRule="atLeast"/>
        <w:ind w:firstLine="642"/>
        <w:jc w:val="left"/>
        <w:rPr>
          <w:rFonts w:ascii="微软雅黑" w:hAnsi="微软雅黑" w:eastAsia="微软雅黑" w:cs="微软雅黑"/>
          <w:color w:val="000000"/>
        </w:rPr>
      </w:pPr>
      <w:r>
        <w:rPr>
          <w:rFonts w:hint="eastAsia" w:ascii="仿宋_GB2312" w:hAnsi="微软雅黑" w:eastAsia="仿宋_GB2312" w:cs="仿宋_GB2312"/>
          <w:color w:val="000000"/>
          <w:sz w:val="32"/>
          <w:szCs w:val="32"/>
          <w:shd w:val="clear" w:color="auto" w:fill="FFFFFF"/>
        </w:rPr>
        <w:t>（一）机关（事业）运行经费安排情况 </w:t>
      </w:r>
    </w:p>
    <w:p w14:paraId="1E11D421">
      <w:pPr>
        <w:pStyle w:val="5"/>
        <w:widowControl/>
        <w:shd w:val="clear" w:color="auto" w:fill="FFFFFF"/>
        <w:spacing w:line="560" w:lineRule="atLeast"/>
        <w:jc w:val="left"/>
        <w:rPr>
          <w:rFonts w:ascii="微软雅黑" w:hAnsi="微软雅黑" w:eastAsia="微软雅黑" w:cs="微软雅黑"/>
          <w:color w:val="000000"/>
        </w:rPr>
      </w:pPr>
      <w:r>
        <w:rPr>
          <w:rFonts w:hint="eastAsia" w:ascii="仿宋_GB2312" w:hAnsi="微软雅黑" w:eastAsia="仿宋_GB2312" w:cs="仿宋_GB2312"/>
          <w:color w:val="000000"/>
          <w:sz w:val="32"/>
          <w:szCs w:val="32"/>
          <w:shd w:val="clear" w:color="auto" w:fill="FFFFFF"/>
        </w:rPr>
        <w:t>    202</w:t>
      </w:r>
      <w:r>
        <w:rPr>
          <w:rFonts w:hint="eastAsia" w:ascii="仿宋_GB2312" w:hAnsi="微软雅黑" w:eastAsia="仿宋_GB2312" w:cs="仿宋_GB2312"/>
          <w:color w:val="000000"/>
          <w:sz w:val="32"/>
          <w:szCs w:val="32"/>
          <w:shd w:val="clear" w:color="auto" w:fill="FFFFFF"/>
          <w:lang w:val="en-US" w:eastAsia="zh-CN"/>
        </w:rPr>
        <w:t>6</w:t>
      </w:r>
      <w:r>
        <w:rPr>
          <w:rFonts w:hint="eastAsia" w:ascii="仿宋_GB2312" w:hAnsi="微软雅黑" w:eastAsia="仿宋_GB2312" w:cs="仿宋_GB2312"/>
          <w:color w:val="000000"/>
          <w:sz w:val="32"/>
          <w:szCs w:val="32"/>
          <w:shd w:val="clear" w:color="auto" w:fill="FFFFFF"/>
        </w:rPr>
        <w:t>年机关（事业）运行经费预算为</w:t>
      </w:r>
      <w:r>
        <w:rPr>
          <w:rFonts w:hint="eastAsia" w:ascii="仿宋_GB2312" w:hAnsi="微软雅黑" w:eastAsia="仿宋_GB2312" w:cs="仿宋_GB2312"/>
          <w:color w:val="000000"/>
          <w:sz w:val="32"/>
          <w:szCs w:val="32"/>
          <w:shd w:val="clear" w:color="auto" w:fill="FFFFFF"/>
          <w:lang w:val="en-US" w:eastAsia="zh-CN"/>
        </w:rPr>
        <w:t>12</w:t>
      </w:r>
      <w:r>
        <w:rPr>
          <w:rFonts w:hint="eastAsia" w:ascii="仿宋_GB2312" w:hAnsi="微软雅黑" w:eastAsia="仿宋_GB2312" w:cs="仿宋_GB2312"/>
          <w:color w:val="000000"/>
          <w:sz w:val="32"/>
          <w:szCs w:val="32"/>
          <w:shd w:val="clear" w:color="auto" w:fill="FFFFFF"/>
        </w:rPr>
        <w:t>万元，主要包括本部门的办公及印刷费、邮电费、差旅费、会议费、福利费、日常维修费、专用材料及一般设备购置费、办公用房水电费、办公用房取暖费、办公用房物业管理费、公务用车运行维护费以及其他费用。</w:t>
      </w:r>
    </w:p>
    <w:p w14:paraId="29288C04">
      <w:pPr>
        <w:pStyle w:val="5"/>
        <w:widowControl/>
        <w:shd w:val="clear" w:color="auto" w:fill="FFFFFF"/>
        <w:spacing w:line="560" w:lineRule="atLeast"/>
        <w:jc w:val="left"/>
        <w:rPr>
          <w:rFonts w:ascii="微软雅黑" w:hAnsi="微软雅黑" w:eastAsia="微软雅黑" w:cs="微软雅黑"/>
          <w:color w:val="000000"/>
        </w:rPr>
      </w:pPr>
      <w:r>
        <w:rPr>
          <w:rFonts w:hint="eastAsia" w:ascii="仿宋_GB2312" w:hAnsi="微软雅黑" w:eastAsia="仿宋_GB2312" w:cs="仿宋_GB2312"/>
          <w:color w:val="000000"/>
          <w:sz w:val="32"/>
          <w:szCs w:val="32"/>
          <w:shd w:val="clear" w:color="auto" w:fill="FFFFFF"/>
        </w:rPr>
        <w:t>    （二）</w:t>
      </w:r>
      <w:bookmarkStart w:id="0" w:name="OLE_LINK7"/>
      <w:bookmarkStart w:id="1" w:name="OLE_LINK6"/>
      <w:r>
        <w:rPr>
          <w:rFonts w:hint="eastAsia" w:ascii="仿宋_GB2312" w:hAnsi="微软雅黑" w:eastAsia="仿宋_GB2312" w:cs="仿宋_GB2312"/>
          <w:color w:val="000000"/>
          <w:sz w:val="32"/>
          <w:szCs w:val="32"/>
          <w:shd w:val="clear" w:color="auto" w:fill="FFFFFF"/>
        </w:rPr>
        <w:t>政府采购预算安排情况</w:t>
      </w:r>
      <w:bookmarkEnd w:id="0"/>
      <w:bookmarkEnd w:id="1"/>
      <w:r>
        <w:rPr>
          <w:rFonts w:hint="eastAsia" w:ascii="仿宋_GB2312" w:hAnsi="微软雅黑" w:eastAsia="仿宋_GB2312" w:cs="仿宋_GB2312"/>
          <w:color w:val="000000"/>
          <w:sz w:val="32"/>
          <w:szCs w:val="32"/>
          <w:shd w:val="clear" w:color="auto" w:fill="FFFFFF"/>
        </w:rPr>
        <w:t> </w:t>
      </w:r>
    </w:p>
    <w:p w14:paraId="380FAAB0">
      <w:pPr>
        <w:pStyle w:val="5"/>
        <w:widowControl/>
        <w:shd w:val="clear" w:color="auto" w:fill="FFFFFF"/>
        <w:spacing w:line="560" w:lineRule="atLeast"/>
        <w:jc w:val="left"/>
        <w:rPr>
          <w:rFonts w:ascii="微软雅黑" w:hAnsi="微软雅黑" w:eastAsia="微软雅黑" w:cs="微软雅黑"/>
          <w:color w:val="000000"/>
        </w:rPr>
      </w:pPr>
      <w:r>
        <w:rPr>
          <w:rFonts w:hint="eastAsia" w:ascii="仿宋_GB2312" w:hAnsi="微软雅黑" w:eastAsia="仿宋_GB2312" w:cs="仿宋_GB2312"/>
          <w:color w:val="000000"/>
          <w:sz w:val="32"/>
          <w:szCs w:val="32"/>
          <w:shd w:val="clear" w:color="auto" w:fill="FFFFFF"/>
        </w:rPr>
        <w:t>    202</w:t>
      </w:r>
      <w:r>
        <w:rPr>
          <w:rFonts w:hint="eastAsia" w:ascii="仿宋_GB2312" w:hAnsi="微软雅黑" w:eastAsia="仿宋_GB2312" w:cs="仿宋_GB2312"/>
          <w:color w:val="000000"/>
          <w:sz w:val="32"/>
          <w:szCs w:val="32"/>
          <w:shd w:val="clear" w:color="auto" w:fill="FFFFFF"/>
          <w:lang w:val="en-US" w:eastAsia="zh-CN"/>
        </w:rPr>
        <w:t>6</w:t>
      </w:r>
      <w:r>
        <w:rPr>
          <w:rFonts w:hint="eastAsia" w:ascii="仿宋_GB2312" w:hAnsi="微软雅黑" w:eastAsia="仿宋_GB2312" w:cs="仿宋_GB2312"/>
          <w:color w:val="000000"/>
          <w:sz w:val="32"/>
          <w:szCs w:val="32"/>
          <w:shd w:val="clear" w:color="auto" w:fill="FFFFFF"/>
        </w:rPr>
        <w:t>年政府采购预算0万元，其中：货物采购0万元，工程采购0万元，服务采购0万元。</w:t>
      </w:r>
    </w:p>
    <w:p w14:paraId="1285C767">
      <w:pPr>
        <w:pStyle w:val="5"/>
        <w:widowControl/>
        <w:shd w:val="clear" w:color="auto" w:fill="FFFFFF"/>
        <w:spacing w:line="560" w:lineRule="atLeast"/>
        <w:jc w:val="left"/>
        <w:rPr>
          <w:rFonts w:ascii="微软雅黑" w:hAnsi="微软雅黑" w:eastAsia="微软雅黑" w:cs="微软雅黑"/>
          <w:color w:val="000000"/>
        </w:rPr>
      </w:pPr>
      <w:r>
        <w:rPr>
          <w:rFonts w:hint="eastAsia" w:ascii="仿宋_GB2312" w:hAnsi="微软雅黑" w:eastAsia="仿宋_GB2312" w:cs="仿宋_GB2312"/>
          <w:color w:val="000000"/>
          <w:sz w:val="32"/>
          <w:szCs w:val="32"/>
          <w:shd w:val="clear" w:color="auto" w:fill="FFFFFF"/>
        </w:rPr>
        <w:t>    （三）政府购买服务预算安排情况 </w:t>
      </w:r>
    </w:p>
    <w:p w14:paraId="78C9275D">
      <w:pPr>
        <w:pStyle w:val="5"/>
        <w:widowControl/>
        <w:shd w:val="clear" w:color="auto" w:fill="FFFFFF"/>
        <w:spacing w:line="560" w:lineRule="atLeast"/>
        <w:jc w:val="left"/>
        <w:rPr>
          <w:rFonts w:ascii="微软雅黑" w:hAnsi="微软雅黑" w:eastAsia="微软雅黑" w:cs="微软雅黑"/>
          <w:color w:val="000000"/>
        </w:rPr>
      </w:pPr>
      <w:r>
        <w:rPr>
          <w:rFonts w:hint="eastAsia" w:ascii="仿宋_GB2312" w:hAnsi="微软雅黑" w:eastAsia="仿宋_GB2312" w:cs="仿宋_GB2312"/>
          <w:color w:val="000000"/>
          <w:sz w:val="32"/>
          <w:szCs w:val="32"/>
          <w:shd w:val="clear" w:color="auto" w:fill="FFFFFF"/>
        </w:rPr>
        <w:t>    202</w:t>
      </w:r>
      <w:r>
        <w:rPr>
          <w:rFonts w:hint="eastAsia" w:ascii="仿宋_GB2312" w:hAnsi="微软雅黑" w:eastAsia="仿宋_GB2312" w:cs="仿宋_GB2312"/>
          <w:color w:val="000000"/>
          <w:sz w:val="32"/>
          <w:szCs w:val="32"/>
          <w:shd w:val="clear" w:color="auto" w:fill="FFFFFF"/>
          <w:lang w:val="en-US" w:eastAsia="zh-CN"/>
        </w:rPr>
        <w:t>6</w:t>
      </w:r>
      <w:r>
        <w:rPr>
          <w:rFonts w:hint="eastAsia" w:ascii="仿宋_GB2312" w:hAnsi="微软雅黑" w:eastAsia="仿宋_GB2312" w:cs="仿宋_GB2312"/>
          <w:color w:val="000000"/>
          <w:sz w:val="32"/>
          <w:szCs w:val="32"/>
          <w:shd w:val="clear" w:color="auto" w:fill="FFFFFF"/>
        </w:rPr>
        <w:t>年政府购买服务预算0万元 。 </w:t>
      </w:r>
    </w:p>
    <w:p w14:paraId="22891439">
      <w:pPr>
        <w:pStyle w:val="5"/>
        <w:widowControl/>
        <w:shd w:val="clear" w:color="auto" w:fill="FFFFFF"/>
        <w:spacing w:line="560" w:lineRule="atLeast"/>
        <w:jc w:val="left"/>
        <w:rPr>
          <w:rFonts w:ascii="微软雅黑" w:hAnsi="微软雅黑" w:eastAsia="微软雅黑" w:cs="微软雅黑"/>
          <w:color w:val="000000"/>
        </w:rPr>
      </w:pPr>
      <w:r>
        <w:rPr>
          <w:rFonts w:hint="eastAsia" w:ascii="仿宋_GB2312" w:hAnsi="微软雅黑" w:eastAsia="仿宋_GB2312" w:cs="仿宋_GB2312"/>
          <w:color w:val="000000"/>
          <w:sz w:val="32"/>
          <w:szCs w:val="32"/>
          <w:shd w:val="clear" w:color="auto" w:fill="FFFFFF"/>
        </w:rPr>
        <w:t>   （四）国有资产占有使用情况 </w:t>
      </w:r>
    </w:p>
    <w:p w14:paraId="70BA4E93">
      <w:pPr>
        <w:pStyle w:val="5"/>
        <w:widowControl/>
        <w:shd w:val="clear" w:color="auto" w:fill="FFFFFF"/>
        <w:spacing w:line="560" w:lineRule="atLeast"/>
        <w:ind w:firstLine="420"/>
        <w:jc w:val="left"/>
        <w:rPr>
          <w:rFonts w:ascii="微软雅黑" w:hAnsi="微软雅黑" w:eastAsia="微软雅黑" w:cs="微软雅黑"/>
          <w:color w:val="000000"/>
        </w:rPr>
      </w:pPr>
      <w:r>
        <w:rPr>
          <w:rFonts w:hint="eastAsia" w:ascii="仿宋_GB2312" w:hAnsi="微软雅黑" w:eastAsia="仿宋_GB2312" w:cs="仿宋_GB2312"/>
          <w:color w:val="000000"/>
          <w:sz w:val="32"/>
          <w:szCs w:val="32"/>
          <w:shd w:val="clear" w:color="auto" w:fill="FFFFFF"/>
        </w:rPr>
        <w:t> 截至202</w:t>
      </w:r>
      <w:r>
        <w:rPr>
          <w:rFonts w:hint="eastAsia" w:ascii="仿宋_GB2312" w:hAnsi="微软雅黑" w:eastAsia="仿宋_GB2312" w:cs="仿宋_GB2312"/>
          <w:color w:val="000000"/>
          <w:sz w:val="32"/>
          <w:szCs w:val="32"/>
          <w:shd w:val="clear" w:color="auto" w:fill="FFFFFF"/>
          <w:lang w:val="en-US" w:eastAsia="zh-CN"/>
        </w:rPr>
        <w:t>5</w:t>
      </w:r>
      <w:r>
        <w:rPr>
          <w:rFonts w:hint="eastAsia" w:ascii="仿宋_GB2312" w:hAnsi="微软雅黑" w:eastAsia="仿宋_GB2312" w:cs="仿宋_GB2312"/>
          <w:color w:val="000000"/>
          <w:sz w:val="32"/>
          <w:szCs w:val="32"/>
          <w:shd w:val="clear" w:color="auto" w:fill="FFFFFF"/>
        </w:rPr>
        <w:t>年12月，鞍山市千山区大屯镇综合事务服务中心及所属单位共有车辆0辆。</w:t>
      </w:r>
    </w:p>
    <w:p w14:paraId="3AB8D0B3">
      <w:pPr>
        <w:pStyle w:val="5"/>
        <w:widowControl/>
        <w:shd w:val="clear" w:color="auto" w:fill="FFFFFF"/>
        <w:spacing w:line="560" w:lineRule="atLeast"/>
        <w:ind w:firstLine="420"/>
        <w:jc w:val="left"/>
        <w:rPr>
          <w:rFonts w:ascii="微软雅黑" w:hAnsi="微软雅黑" w:eastAsia="微软雅黑" w:cs="微软雅黑"/>
          <w:color w:val="000000"/>
        </w:rPr>
      </w:pPr>
      <w:r>
        <w:rPr>
          <w:rFonts w:hint="eastAsia" w:ascii="仿宋_GB2312" w:hAnsi="微软雅黑" w:eastAsia="仿宋_GB2312" w:cs="仿宋_GB2312"/>
          <w:color w:val="000000"/>
          <w:sz w:val="32"/>
          <w:szCs w:val="32"/>
          <w:shd w:val="clear" w:color="auto" w:fill="FFFFFF"/>
        </w:rPr>
        <w:t> 单位价值50万元以上有通用设备0台（套），单位价值100万元以上专业设备0台（套）。 </w:t>
      </w:r>
    </w:p>
    <w:p w14:paraId="4CC47FDC">
      <w:pPr>
        <w:pStyle w:val="5"/>
        <w:widowControl/>
        <w:shd w:val="clear" w:color="auto" w:fill="FFFFFF"/>
        <w:spacing w:line="560" w:lineRule="atLeast"/>
        <w:ind w:firstLine="420"/>
        <w:jc w:val="left"/>
        <w:rPr>
          <w:rFonts w:ascii="微软雅黑" w:hAnsi="微软雅黑" w:eastAsia="微软雅黑" w:cs="微软雅黑"/>
          <w:color w:val="000000"/>
        </w:rPr>
      </w:pPr>
      <w:r>
        <w:rPr>
          <w:rFonts w:hint="eastAsia" w:ascii="仿宋_GB2312" w:hAnsi="微软雅黑" w:eastAsia="仿宋_GB2312" w:cs="仿宋_GB2312"/>
          <w:color w:val="000000"/>
          <w:sz w:val="32"/>
          <w:szCs w:val="32"/>
          <w:shd w:val="clear" w:color="auto" w:fill="FFFFFF"/>
        </w:rPr>
        <w:t>202</w:t>
      </w:r>
      <w:r>
        <w:rPr>
          <w:rFonts w:hint="eastAsia" w:ascii="仿宋_GB2312" w:hAnsi="微软雅黑" w:eastAsia="仿宋_GB2312" w:cs="仿宋_GB2312"/>
          <w:color w:val="000000"/>
          <w:sz w:val="32"/>
          <w:szCs w:val="32"/>
          <w:shd w:val="clear" w:color="auto" w:fill="FFFFFF"/>
          <w:lang w:val="en-US" w:eastAsia="zh-CN"/>
        </w:rPr>
        <w:t>6</w:t>
      </w:r>
      <w:r>
        <w:rPr>
          <w:rFonts w:hint="eastAsia" w:ascii="仿宋_GB2312" w:hAnsi="微软雅黑" w:eastAsia="仿宋_GB2312" w:cs="仿宋_GB2312"/>
          <w:color w:val="000000"/>
          <w:sz w:val="32"/>
          <w:szCs w:val="32"/>
          <w:shd w:val="clear" w:color="auto" w:fill="FFFFFF"/>
        </w:rPr>
        <w:t>年年初预算购置车辆0台，金额0万元。</w:t>
      </w:r>
    </w:p>
    <w:p w14:paraId="093FEBBF">
      <w:pPr>
        <w:pStyle w:val="5"/>
        <w:widowControl/>
        <w:shd w:val="clear" w:color="auto" w:fill="FFFFFF"/>
        <w:spacing w:line="560" w:lineRule="atLeast"/>
        <w:ind w:firstLine="420"/>
        <w:jc w:val="left"/>
        <w:outlineLvl w:val="0"/>
        <w:rPr>
          <w:rFonts w:ascii="微软雅黑" w:hAnsi="微软雅黑" w:eastAsia="微软雅黑" w:cs="微软雅黑"/>
          <w:color w:val="000000"/>
        </w:rPr>
      </w:pPr>
      <w:r>
        <w:rPr>
          <w:rFonts w:hint="eastAsia" w:ascii="仿宋_GB2312" w:hAnsi="微软雅黑" w:eastAsia="仿宋_GB2312" w:cs="仿宋_GB2312"/>
          <w:color w:val="000000"/>
          <w:sz w:val="32"/>
          <w:szCs w:val="32"/>
          <w:shd w:val="clear" w:color="auto" w:fill="FFFFFF"/>
        </w:rPr>
        <w:t>（五）预算资金绩效目标情况 </w:t>
      </w:r>
    </w:p>
    <w:p w14:paraId="0318A91E">
      <w:pPr>
        <w:pStyle w:val="5"/>
        <w:widowControl/>
        <w:shd w:val="clear" w:color="auto" w:fill="FFFFFF"/>
        <w:spacing w:line="560" w:lineRule="atLeast"/>
        <w:ind w:firstLine="420"/>
        <w:jc w:val="left"/>
        <w:rPr>
          <w:rFonts w:ascii="微软雅黑" w:hAnsi="微软雅黑" w:eastAsia="微软雅黑" w:cs="微软雅黑"/>
          <w:color w:val="000000"/>
        </w:rPr>
      </w:pPr>
      <w:r>
        <w:rPr>
          <w:rFonts w:hint="eastAsia" w:ascii="仿宋_GB2312" w:hAnsi="微软雅黑" w:eastAsia="仿宋_GB2312" w:cs="仿宋_GB2312"/>
          <w:color w:val="000000"/>
          <w:sz w:val="32"/>
          <w:szCs w:val="32"/>
          <w:shd w:val="clear" w:color="auto" w:fill="FFFFFF"/>
        </w:rPr>
        <w:t> 根据预算绩效管理要求，202</w:t>
      </w:r>
      <w:r>
        <w:rPr>
          <w:rFonts w:hint="eastAsia" w:ascii="仿宋_GB2312" w:hAnsi="微软雅黑" w:eastAsia="仿宋_GB2312" w:cs="仿宋_GB2312"/>
          <w:color w:val="000000"/>
          <w:sz w:val="32"/>
          <w:szCs w:val="32"/>
          <w:shd w:val="clear" w:color="auto" w:fill="FFFFFF"/>
          <w:lang w:val="en-US" w:eastAsia="zh-CN"/>
        </w:rPr>
        <w:t>6</w:t>
      </w:r>
      <w:r>
        <w:rPr>
          <w:rFonts w:hint="eastAsia" w:ascii="仿宋_GB2312" w:hAnsi="微软雅黑" w:eastAsia="仿宋_GB2312" w:cs="仿宋_GB2312"/>
          <w:color w:val="000000"/>
          <w:sz w:val="32"/>
          <w:szCs w:val="32"/>
          <w:shd w:val="clear" w:color="auto" w:fill="FFFFFF"/>
        </w:rPr>
        <w:t>年应编制部门（单位）整体绩效目标共1个，实际编制部门（单位）整体绩效目标共1个，编制覆盖率（实际编制部门（单位）整体绩效目标/应编制部门（单位）整体绩效目标为100%。</w:t>
      </w:r>
    </w:p>
    <w:p w14:paraId="3BC71929">
      <w:pPr>
        <w:pStyle w:val="5"/>
        <w:widowControl/>
        <w:shd w:val="clear" w:color="auto" w:fill="FFFFFF"/>
        <w:ind w:firstLine="620"/>
        <w:jc w:val="left"/>
        <w:rPr>
          <w:rFonts w:ascii="微软雅黑" w:hAnsi="微软雅黑" w:eastAsia="微软雅黑" w:cs="微软雅黑"/>
          <w:color w:val="000000"/>
        </w:rPr>
      </w:pPr>
      <w:r>
        <w:rPr>
          <w:rFonts w:hint="eastAsia" w:ascii="仿宋_GB2312" w:hAnsi="微软雅黑" w:eastAsia="仿宋_GB2312" w:cs="仿宋_GB2312"/>
          <w:color w:val="000000"/>
          <w:sz w:val="31"/>
          <w:szCs w:val="31"/>
          <w:shd w:val="clear" w:color="auto" w:fill="FFFFFF"/>
        </w:rPr>
        <w:t>202</w:t>
      </w:r>
      <w:r>
        <w:rPr>
          <w:rFonts w:hint="eastAsia" w:ascii="仿宋_GB2312" w:hAnsi="微软雅黑" w:eastAsia="仿宋_GB2312" w:cs="仿宋_GB2312"/>
          <w:color w:val="000000"/>
          <w:sz w:val="31"/>
          <w:szCs w:val="31"/>
          <w:shd w:val="clear" w:color="auto" w:fill="FFFFFF"/>
          <w:lang w:val="en-US" w:eastAsia="zh-CN"/>
        </w:rPr>
        <w:t>6</w:t>
      </w:r>
      <w:r>
        <w:rPr>
          <w:rFonts w:hint="eastAsia" w:ascii="仿宋_GB2312" w:hAnsi="微软雅黑" w:eastAsia="仿宋_GB2312" w:cs="仿宋_GB2312"/>
          <w:color w:val="000000"/>
          <w:sz w:val="31"/>
          <w:szCs w:val="31"/>
          <w:shd w:val="clear" w:color="auto" w:fill="FFFFFF"/>
        </w:rPr>
        <w:t>年应编制项目绩效目标（包括特定目标类和其他运转类）</w:t>
      </w:r>
      <w:r>
        <w:rPr>
          <w:rFonts w:ascii="仿宋_GB2312" w:hAnsi="微软雅黑" w:eastAsia="仿宋_GB2312" w:cs="仿宋_GB2312"/>
          <w:color w:val="000000"/>
          <w:sz w:val="32"/>
          <w:szCs w:val="32"/>
          <w:shd w:val="clear" w:color="auto" w:fill="FFFFFF"/>
        </w:rPr>
        <w:t>0</w:t>
      </w:r>
      <w:r>
        <w:rPr>
          <w:rFonts w:hint="eastAsia" w:ascii="仿宋_GB2312" w:hAnsi="微软雅黑" w:eastAsia="仿宋_GB2312" w:cs="仿宋_GB2312"/>
          <w:color w:val="000000"/>
          <w:sz w:val="31"/>
          <w:szCs w:val="31"/>
          <w:shd w:val="clear" w:color="auto" w:fill="FFFFFF"/>
        </w:rPr>
        <w:t>个，实际编制项目绩效目标</w:t>
      </w:r>
      <w:r>
        <w:rPr>
          <w:rFonts w:ascii="仿宋_GB2312" w:hAnsi="微软雅黑" w:eastAsia="仿宋_GB2312" w:cs="仿宋_GB2312"/>
          <w:color w:val="000000"/>
          <w:sz w:val="32"/>
          <w:szCs w:val="32"/>
          <w:shd w:val="clear" w:color="auto" w:fill="FFFFFF"/>
        </w:rPr>
        <w:t>0</w:t>
      </w:r>
      <w:r>
        <w:rPr>
          <w:rFonts w:hint="eastAsia" w:ascii="仿宋_GB2312" w:hAnsi="微软雅黑" w:eastAsia="仿宋_GB2312" w:cs="仿宋_GB2312"/>
          <w:color w:val="000000"/>
          <w:sz w:val="31"/>
          <w:szCs w:val="31"/>
          <w:shd w:val="clear" w:color="auto" w:fill="FFFFFF"/>
        </w:rPr>
        <w:t>个，涉及资金万元，编制项目绩效目标的项目覆盖率（实际编制绩效目标的数量/应编制绩效目标的数量）为</w:t>
      </w:r>
      <w:r>
        <w:rPr>
          <w:rFonts w:hint="eastAsia" w:ascii="仿宋_GB2312" w:hAnsi="微软雅黑" w:eastAsia="仿宋_GB2312" w:cs="仿宋_GB2312"/>
          <w:color w:val="000000"/>
          <w:sz w:val="32"/>
          <w:szCs w:val="32"/>
          <w:shd w:val="clear" w:color="auto" w:fill="FFFFFF"/>
        </w:rPr>
        <w:t>0</w:t>
      </w:r>
      <w:r>
        <w:rPr>
          <w:rFonts w:hint="eastAsia" w:ascii="仿宋_GB2312" w:hAnsi="微软雅黑" w:eastAsia="仿宋_GB2312" w:cs="仿宋_GB2312"/>
          <w:color w:val="000000"/>
          <w:sz w:val="31"/>
          <w:szCs w:val="31"/>
          <w:shd w:val="clear" w:color="auto" w:fill="FFFFFF"/>
        </w:rPr>
        <w:t>%。</w:t>
      </w:r>
    </w:p>
    <w:p w14:paraId="63E630F6">
      <w:pPr>
        <w:pStyle w:val="5"/>
        <w:widowControl/>
        <w:shd w:val="clear" w:color="auto" w:fill="FFFFFF"/>
        <w:spacing w:line="560" w:lineRule="atLeast"/>
        <w:ind w:firstLine="420"/>
        <w:jc w:val="left"/>
        <w:outlineLvl w:val="0"/>
        <w:rPr>
          <w:rFonts w:ascii="微软雅黑" w:hAnsi="微软雅黑" w:eastAsia="微软雅黑" w:cs="微软雅黑"/>
          <w:color w:val="000000"/>
        </w:rPr>
      </w:pPr>
      <w:r>
        <w:rPr>
          <w:rFonts w:hint="eastAsia" w:ascii="仿宋_GB2312" w:hAnsi="微软雅黑" w:eastAsia="仿宋_GB2312" w:cs="仿宋_GB2312"/>
          <w:color w:val="000000"/>
          <w:sz w:val="32"/>
          <w:szCs w:val="32"/>
          <w:shd w:val="clear" w:color="auto" w:fill="FFFFFF"/>
        </w:rPr>
        <w:t>（六）预算公开表数据中没有数据的情况说明 </w:t>
      </w:r>
    </w:p>
    <w:p w14:paraId="758580A3">
      <w:pPr>
        <w:pStyle w:val="5"/>
        <w:widowControl/>
        <w:shd w:val="clear" w:color="auto" w:fill="FFFFFF"/>
        <w:spacing w:line="560" w:lineRule="atLeast"/>
        <w:ind w:firstLine="420"/>
        <w:jc w:val="left"/>
        <w:rPr>
          <w:rFonts w:ascii="微软雅黑" w:hAnsi="微软雅黑" w:eastAsia="微软雅黑" w:cs="微软雅黑"/>
          <w:color w:val="000000"/>
        </w:rPr>
      </w:pPr>
      <w:r>
        <w:rPr>
          <w:rFonts w:hint="eastAsia" w:ascii="仿宋_GB2312" w:hAnsi="微软雅黑" w:eastAsia="仿宋_GB2312" w:cs="仿宋_GB2312"/>
          <w:color w:val="000000"/>
          <w:sz w:val="32"/>
          <w:szCs w:val="32"/>
          <w:shd w:val="clear" w:color="auto" w:fill="FFFFFF"/>
        </w:rPr>
        <w:t> 2025年预算中无政府性基金预算拨款支出，项目支出中无特定目标类项目，无国有资本经营支出预算、无债务支出预算，无购买服务预算，因此“政府性基金预算支出表”、“国有资本经营预算支出表”、“部门预算项目（政策）绩效目标表”、“债务支出预算表”、“政府采购预算安排预算表”“政府购买服务支出预算表”6张表中没有数据。</w:t>
      </w:r>
    </w:p>
    <w:p w14:paraId="00A0E0F2">
      <w:pPr>
        <w:pStyle w:val="5"/>
        <w:widowControl/>
        <w:shd w:val="clear" w:color="auto" w:fill="FFFFFF"/>
        <w:spacing w:line="560" w:lineRule="atLeast"/>
        <w:jc w:val="center"/>
        <w:rPr>
          <w:rFonts w:hint="eastAsia" w:ascii="楷体" w:hAnsi="楷体" w:eastAsia="楷体" w:cs="楷体"/>
          <w:b/>
          <w:bCs/>
          <w:color w:val="000000"/>
          <w:sz w:val="32"/>
          <w:szCs w:val="32"/>
          <w:shd w:val="clear" w:color="auto" w:fill="FFFFFF"/>
        </w:rPr>
      </w:pPr>
    </w:p>
    <w:p w14:paraId="666987A3">
      <w:pPr>
        <w:pStyle w:val="5"/>
        <w:widowControl/>
        <w:shd w:val="clear" w:color="auto" w:fill="FFFFFF"/>
        <w:spacing w:line="560" w:lineRule="atLeast"/>
        <w:jc w:val="center"/>
        <w:rPr>
          <w:rFonts w:hint="eastAsia" w:ascii="楷体" w:hAnsi="楷体" w:eastAsia="楷体" w:cs="楷体"/>
          <w:b/>
          <w:bCs/>
          <w:color w:val="000000"/>
          <w:sz w:val="32"/>
          <w:szCs w:val="32"/>
          <w:shd w:val="clear" w:color="auto" w:fill="FFFFFF"/>
        </w:rPr>
      </w:pPr>
    </w:p>
    <w:p w14:paraId="24E5FF13">
      <w:pPr>
        <w:pStyle w:val="5"/>
        <w:widowControl/>
        <w:shd w:val="clear" w:color="auto" w:fill="FFFFFF"/>
        <w:spacing w:line="560" w:lineRule="atLeast"/>
        <w:jc w:val="center"/>
        <w:rPr>
          <w:rFonts w:hint="eastAsia" w:ascii="楷体" w:hAnsi="楷体" w:eastAsia="楷体" w:cs="楷体"/>
          <w:b/>
          <w:bCs/>
          <w:color w:val="000000"/>
          <w:sz w:val="32"/>
          <w:szCs w:val="32"/>
          <w:shd w:val="clear" w:color="auto" w:fill="FFFFFF"/>
        </w:rPr>
      </w:pPr>
    </w:p>
    <w:p w14:paraId="6CA3DB20">
      <w:pPr>
        <w:pStyle w:val="5"/>
        <w:widowControl/>
        <w:shd w:val="clear" w:color="auto" w:fill="FFFFFF"/>
        <w:spacing w:line="560" w:lineRule="atLeast"/>
        <w:jc w:val="center"/>
        <w:rPr>
          <w:rFonts w:hint="eastAsia" w:ascii="楷体" w:hAnsi="楷体" w:eastAsia="楷体" w:cs="楷体"/>
          <w:b/>
          <w:bCs/>
          <w:color w:val="000000"/>
          <w:sz w:val="32"/>
          <w:szCs w:val="32"/>
          <w:shd w:val="clear" w:color="auto" w:fill="FFFFFF"/>
        </w:rPr>
      </w:pPr>
    </w:p>
    <w:p w14:paraId="603A74C9">
      <w:pPr>
        <w:pStyle w:val="5"/>
        <w:widowControl/>
        <w:shd w:val="clear" w:color="auto" w:fill="FFFFFF"/>
        <w:spacing w:line="560" w:lineRule="atLeast"/>
        <w:jc w:val="center"/>
        <w:rPr>
          <w:rFonts w:hint="eastAsia" w:ascii="楷体" w:hAnsi="楷体" w:eastAsia="楷体" w:cs="楷体"/>
          <w:b/>
          <w:bCs/>
          <w:color w:val="000000"/>
          <w:sz w:val="32"/>
          <w:szCs w:val="32"/>
          <w:shd w:val="clear" w:color="auto" w:fill="FFFFFF"/>
        </w:rPr>
      </w:pPr>
    </w:p>
    <w:p w14:paraId="413A80CC">
      <w:pPr>
        <w:pStyle w:val="5"/>
        <w:widowControl/>
        <w:shd w:val="clear" w:color="auto" w:fill="FFFFFF"/>
        <w:spacing w:line="560" w:lineRule="atLeast"/>
        <w:jc w:val="center"/>
        <w:rPr>
          <w:rFonts w:hint="eastAsia" w:ascii="楷体" w:hAnsi="楷体" w:eastAsia="楷体" w:cs="楷体"/>
          <w:b/>
          <w:bCs/>
          <w:color w:val="000000"/>
          <w:sz w:val="32"/>
          <w:szCs w:val="32"/>
          <w:shd w:val="clear" w:color="auto" w:fill="FFFFFF"/>
        </w:rPr>
      </w:pPr>
    </w:p>
    <w:p w14:paraId="1A620106">
      <w:pPr>
        <w:pStyle w:val="5"/>
        <w:widowControl/>
        <w:shd w:val="clear" w:color="auto" w:fill="FFFFFF"/>
        <w:spacing w:line="560" w:lineRule="atLeast"/>
        <w:jc w:val="center"/>
        <w:rPr>
          <w:rFonts w:ascii="微软雅黑" w:hAnsi="微软雅黑" w:eastAsia="微软雅黑" w:cs="微软雅黑"/>
          <w:color w:val="000000"/>
        </w:rPr>
      </w:pPr>
      <w:bookmarkStart w:id="2" w:name="_GoBack"/>
      <w:bookmarkEnd w:id="2"/>
      <w:r>
        <w:rPr>
          <w:rFonts w:hint="eastAsia" w:ascii="楷体" w:hAnsi="楷体" w:eastAsia="楷体" w:cs="楷体"/>
          <w:b/>
          <w:bCs/>
          <w:color w:val="000000"/>
          <w:sz w:val="32"/>
          <w:szCs w:val="32"/>
          <w:shd w:val="clear" w:color="auto" w:fill="FFFFFF"/>
        </w:rPr>
        <w:t>第五部分 名词解释</w:t>
      </w:r>
      <w:r>
        <w:rPr>
          <w:rFonts w:hint="eastAsia" w:ascii="楷体" w:hAnsi="楷体" w:eastAsia="楷体" w:cs="楷体"/>
          <w:color w:val="000000"/>
          <w:sz w:val="32"/>
          <w:szCs w:val="32"/>
          <w:shd w:val="clear" w:color="auto" w:fill="FFFFFF"/>
        </w:rPr>
        <w:t> </w:t>
      </w:r>
    </w:p>
    <w:p w14:paraId="10D2D4FD">
      <w:pPr>
        <w:pStyle w:val="5"/>
        <w:widowControl/>
        <w:shd w:val="clear" w:color="auto" w:fill="FFFFFF"/>
        <w:spacing w:line="560" w:lineRule="atLeast"/>
        <w:jc w:val="center"/>
        <w:rPr>
          <w:rFonts w:ascii="微软雅黑" w:hAnsi="微软雅黑" w:eastAsia="微软雅黑" w:cs="微软雅黑"/>
          <w:color w:val="000000"/>
        </w:rPr>
      </w:pPr>
      <w:r>
        <w:rPr>
          <w:rFonts w:hint="eastAsia" w:ascii="仿宋_GB2312" w:hAnsi="微软雅黑" w:eastAsia="仿宋_GB2312" w:cs="仿宋_GB2312"/>
          <w:color w:val="000000"/>
          <w:sz w:val="32"/>
          <w:szCs w:val="32"/>
          <w:shd w:val="clear" w:color="auto" w:fill="FFFFFF"/>
        </w:rPr>
        <w:t>（以下内容各部门根据使用科目进行说明）</w:t>
      </w:r>
    </w:p>
    <w:p w14:paraId="347665CF">
      <w:pPr>
        <w:pStyle w:val="5"/>
        <w:widowControl/>
        <w:shd w:val="clear" w:color="auto" w:fill="FFFFFF"/>
        <w:spacing w:line="560" w:lineRule="atLeast"/>
        <w:ind w:firstLine="640"/>
        <w:jc w:val="left"/>
        <w:rPr>
          <w:rFonts w:ascii="微软雅黑" w:hAnsi="微软雅黑" w:eastAsia="微软雅黑" w:cs="微软雅黑"/>
          <w:color w:val="000000"/>
        </w:rPr>
      </w:pPr>
      <w:r>
        <w:rPr>
          <w:rFonts w:hint="eastAsia" w:ascii="仿宋_GB2312" w:hAnsi="微软雅黑" w:eastAsia="仿宋_GB2312" w:cs="仿宋_GB2312"/>
          <w:color w:val="000000"/>
          <w:sz w:val="32"/>
          <w:szCs w:val="32"/>
          <w:shd w:val="clear" w:color="auto" w:fill="FFFFFF"/>
        </w:rPr>
        <w:t>1.一般公共预算拨款收入：指市级财政当年拨付的资金。</w:t>
      </w:r>
    </w:p>
    <w:p w14:paraId="7F7F782E">
      <w:pPr>
        <w:pStyle w:val="5"/>
        <w:widowControl/>
        <w:shd w:val="clear" w:color="auto" w:fill="FFFFFF"/>
        <w:spacing w:line="560" w:lineRule="atLeast"/>
        <w:ind w:firstLine="640"/>
        <w:jc w:val="left"/>
        <w:rPr>
          <w:rFonts w:ascii="微软雅黑" w:hAnsi="微软雅黑" w:eastAsia="微软雅黑" w:cs="微软雅黑"/>
          <w:color w:val="000000"/>
        </w:rPr>
      </w:pPr>
      <w:r>
        <w:rPr>
          <w:rFonts w:hint="eastAsia" w:ascii="仿宋_GB2312" w:hAnsi="微软雅黑" w:eastAsia="仿宋_GB2312" w:cs="仿宋_GB2312"/>
          <w:color w:val="000000"/>
          <w:sz w:val="32"/>
          <w:szCs w:val="32"/>
          <w:shd w:val="clear" w:color="auto" w:fill="FFFFFF"/>
        </w:rPr>
        <w:t>2.政府性基金收入：反映各级政府及其所属部门根据法律、行政法规规定并经国务院或财政部批准，向公民、法人和其他组织征收的政府性基金，以及参照政府性基金管理或纳入基金预算、具有特定用途的财政资金。</w:t>
      </w:r>
    </w:p>
    <w:p w14:paraId="5E817A4D">
      <w:pPr>
        <w:pStyle w:val="5"/>
        <w:widowControl/>
        <w:shd w:val="clear" w:color="auto" w:fill="FFFFFF"/>
        <w:spacing w:line="560" w:lineRule="atLeast"/>
        <w:ind w:firstLine="640"/>
        <w:jc w:val="left"/>
        <w:rPr>
          <w:rFonts w:ascii="微软雅黑" w:hAnsi="微软雅黑" w:eastAsia="微软雅黑" w:cs="微软雅黑"/>
          <w:color w:val="000000"/>
        </w:rPr>
      </w:pPr>
      <w:r>
        <w:rPr>
          <w:rFonts w:hint="eastAsia" w:ascii="仿宋_GB2312" w:hAnsi="微软雅黑" w:eastAsia="仿宋_GB2312" w:cs="仿宋_GB2312"/>
          <w:color w:val="000000"/>
          <w:sz w:val="32"/>
          <w:szCs w:val="32"/>
          <w:shd w:val="clear" w:color="auto" w:fill="FFFFFF"/>
        </w:rPr>
        <w:t>3.财政专户管理的资金收入：反映缴入财政专户、实行专项管理的教育收费收入。</w:t>
      </w:r>
    </w:p>
    <w:p w14:paraId="6DE0FC0A">
      <w:pPr>
        <w:pStyle w:val="5"/>
        <w:widowControl/>
        <w:shd w:val="clear" w:color="auto" w:fill="FFFFFF"/>
        <w:spacing w:line="560" w:lineRule="atLeast"/>
        <w:ind w:firstLine="640"/>
        <w:jc w:val="left"/>
        <w:rPr>
          <w:rFonts w:ascii="微软雅黑" w:hAnsi="微软雅黑" w:eastAsia="微软雅黑" w:cs="微软雅黑"/>
          <w:color w:val="000000"/>
        </w:rPr>
      </w:pPr>
      <w:r>
        <w:rPr>
          <w:rFonts w:hint="eastAsia" w:ascii="仿宋_GB2312" w:hAnsi="微软雅黑" w:eastAsia="仿宋_GB2312" w:cs="仿宋_GB2312"/>
          <w:color w:val="000000"/>
          <w:sz w:val="32"/>
          <w:szCs w:val="32"/>
          <w:shd w:val="clear" w:color="auto" w:fill="FFFFFF"/>
        </w:rPr>
        <w:t>4.单位资金收入：包括事业收入、上级补助收入、附属单位上缴收入、事业单位经营收入及其他收入。</w:t>
      </w:r>
    </w:p>
    <w:p w14:paraId="2B2D99AE">
      <w:pPr>
        <w:pStyle w:val="5"/>
        <w:widowControl/>
        <w:shd w:val="clear" w:color="auto" w:fill="FFFFFF"/>
        <w:spacing w:line="560" w:lineRule="atLeast"/>
        <w:ind w:firstLine="640"/>
        <w:jc w:val="left"/>
        <w:rPr>
          <w:rFonts w:ascii="微软雅黑" w:hAnsi="微软雅黑" w:eastAsia="微软雅黑" w:cs="微软雅黑"/>
          <w:color w:val="000000"/>
        </w:rPr>
      </w:pPr>
      <w:r>
        <w:rPr>
          <w:rFonts w:hint="eastAsia" w:ascii="仿宋_GB2312" w:hAnsi="微软雅黑" w:eastAsia="仿宋_GB2312" w:cs="仿宋_GB2312"/>
          <w:color w:val="000000"/>
          <w:sz w:val="32"/>
          <w:szCs w:val="32"/>
          <w:shd w:val="clear" w:color="auto" w:fill="FFFFFF"/>
        </w:rPr>
        <w:t>事业收入：是指事业单位开展专业业务活动及其辅助活动取得的收入，不包括教育收费。</w:t>
      </w:r>
    </w:p>
    <w:p w14:paraId="0F3FA20A">
      <w:pPr>
        <w:pStyle w:val="5"/>
        <w:widowControl/>
        <w:shd w:val="clear" w:color="auto" w:fill="FFFFFF"/>
        <w:spacing w:line="560" w:lineRule="atLeast"/>
        <w:ind w:firstLine="640"/>
        <w:jc w:val="left"/>
        <w:rPr>
          <w:rFonts w:ascii="微软雅黑" w:hAnsi="微软雅黑" w:eastAsia="微软雅黑" w:cs="微软雅黑"/>
          <w:color w:val="000000"/>
        </w:rPr>
      </w:pPr>
      <w:r>
        <w:rPr>
          <w:rFonts w:hint="eastAsia" w:ascii="仿宋_GB2312" w:hAnsi="微软雅黑" w:eastAsia="仿宋_GB2312" w:cs="仿宋_GB2312"/>
          <w:color w:val="000000"/>
          <w:sz w:val="32"/>
          <w:szCs w:val="32"/>
          <w:shd w:val="clear" w:color="auto" w:fill="FFFFFF"/>
        </w:rPr>
        <w:t>上级补助收入：是指从主管部门或上级单位取得的财政拨款以外的其他补助收入。</w:t>
      </w:r>
    </w:p>
    <w:p w14:paraId="28CFC7A5">
      <w:pPr>
        <w:pStyle w:val="5"/>
        <w:widowControl/>
        <w:shd w:val="clear" w:color="auto" w:fill="FFFFFF"/>
        <w:spacing w:line="560" w:lineRule="atLeast"/>
        <w:ind w:firstLine="640"/>
        <w:jc w:val="left"/>
        <w:rPr>
          <w:rFonts w:ascii="微软雅黑" w:hAnsi="微软雅黑" w:eastAsia="微软雅黑" w:cs="微软雅黑"/>
          <w:color w:val="000000"/>
        </w:rPr>
      </w:pPr>
      <w:r>
        <w:rPr>
          <w:rFonts w:hint="eastAsia" w:ascii="仿宋_GB2312" w:hAnsi="微软雅黑" w:eastAsia="仿宋_GB2312" w:cs="仿宋_GB2312"/>
          <w:color w:val="000000"/>
          <w:sz w:val="32"/>
          <w:szCs w:val="32"/>
          <w:shd w:val="clear" w:color="auto" w:fill="FFFFFF"/>
        </w:rPr>
        <w:t>附属单位上缴收入：是指本单位所属下级单位上缴给本单位的全部收入（包括下级事业单位上缴的事业收入、其他收入和下级企业单位上缴的利润等）。</w:t>
      </w:r>
    </w:p>
    <w:p w14:paraId="586C86D4">
      <w:pPr>
        <w:pStyle w:val="5"/>
        <w:widowControl/>
        <w:shd w:val="clear" w:color="auto" w:fill="FFFFFF"/>
        <w:spacing w:line="560" w:lineRule="atLeast"/>
        <w:ind w:firstLine="640"/>
        <w:jc w:val="left"/>
        <w:rPr>
          <w:rFonts w:ascii="微软雅黑" w:hAnsi="微软雅黑" w:eastAsia="微软雅黑" w:cs="微软雅黑"/>
          <w:color w:val="000000"/>
        </w:rPr>
      </w:pPr>
      <w:r>
        <w:rPr>
          <w:rFonts w:hint="eastAsia" w:ascii="仿宋_GB2312" w:hAnsi="微软雅黑" w:eastAsia="仿宋_GB2312" w:cs="仿宋_GB2312"/>
          <w:color w:val="000000"/>
          <w:sz w:val="32"/>
          <w:szCs w:val="32"/>
          <w:shd w:val="clear" w:color="auto" w:fill="FFFFFF"/>
        </w:rPr>
        <w:t>事业单位经营收入：是指事业单位在专业业务活动及辅助活动之外开展非独立核算经营活动取得的收入。</w:t>
      </w:r>
    </w:p>
    <w:p w14:paraId="342A7FDB">
      <w:pPr>
        <w:pStyle w:val="5"/>
        <w:widowControl/>
        <w:shd w:val="clear" w:color="auto" w:fill="FFFFFF"/>
        <w:spacing w:line="560" w:lineRule="atLeast"/>
        <w:ind w:firstLine="640"/>
        <w:jc w:val="left"/>
        <w:rPr>
          <w:rFonts w:ascii="微软雅黑" w:hAnsi="微软雅黑" w:eastAsia="微软雅黑" w:cs="微软雅黑"/>
          <w:color w:val="000000"/>
        </w:rPr>
      </w:pPr>
      <w:r>
        <w:rPr>
          <w:rFonts w:hint="eastAsia" w:ascii="仿宋_GB2312" w:hAnsi="微软雅黑" w:eastAsia="仿宋_GB2312" w:cs="仿宋_GB2312"/>
          <w:color w:val="000000"/>
          <w:sz w:val="32"/>
          <w:szCs w:val="32"/>
          <w:shd w:val="clear" w:color="auto" w:fill="FFFFFF"/>
        </w:rPr>
        <w:t>其他收入：债务收入（不含政府债券、政府向外国政府贷款和国际组织贷款）、投资收益等收入。</w:t>
      </w:r>
    </w:p>
    <w:p w14:paraId="3291F70E">
      <w:pPr>
        <w:pStyle w:val="5"/>
        <w:widowControl/>
        <w:shd w:val="clear" w:color="auto" w:fill="FFFFFF"/>
        <w:spacing w:line="560" w:lineRule="atLeast"/>
        <w:ind w:firstLine="640"/>
        <w:jc w:val="left"/>
        <w:rPr>
          <w:rFonts w:ascii="微软雅黑" w:hAnsi="微软雅黑" w:eastAsia="微软雅黑" w:cs="微软雅黑"/>
          <w:color w:val="000000"/>
        </w:rPr>
      </w:pPr>
      <w:r>
        <w:rPr>
          <w:rFonts w:hint="eastAsia" w:ascii="仿宋_GB2312" w:hAnsi="微软雅黑" w:eastAsia="仿宋_GB2312" w:cs="仿宋_GB2312"/>
          <w:color w:val="000000"/>
          <w:sz w:val="32"/>
          <w:szCs w:val="32"/>
          <w:shd w:val="clear" w:color="auto" w:fill="FFFFFF"/>
        </w:rPr>
        <w:t>5.上年结转：反映以前年度安排尚未使用完毕，结转到本年仍按原规定用途继续使用的资金。</w:t>
      </w:r>
    </w:p>
    <w:p w14:paraId="79CC89DA">
      <w:pPr>
        <w:pStyle w:val="5"/>
        <w:widowControl/>
        <w:shd w:val="clear" w:color="auto" w:fill="FFFFFF"/>
        <w:spacing w:line="560" w:lineRule="atLeast"/>
        <w:ind w:firstLine="640"/>
        <w:jc w:val="left"/>
        <w:rPr>
          <w:rFonts w:ascii="微软雅黑" w:hAnsi="微软雅黑" w:eastAsia="微软雅黑" w:cs="微软雅黑"/>
          <w:color w:val="000000"/>
        </w:rPr>
      </w:pPr>
      <w:r>
        <w:rPr>
          <w:rFonts w:hint="eastAsia" w:ascii="仿宋_GB2312" w:hAnsi="微软雅黑" w:eastAsia="仿宋_GB2312" w:cs="仿宋_GB2312"/>
          <w:color w:val="000000"/>
          <w:sz w:val="32"/>
          <w:szCs w:val="32"/>
          <w:shd w:val="clear" w:color="auto" w:fill="FFFFFF"/>
        </w:rPr>
        <w:t>6.基本支出：指保障机构正常运转、完成日常工作任务而发生的人员支出和公用支出。</w:t>
      </w:r>
    </w:p>
    <w:p w14:paraId="6ADED94F">
      <w:pPr>
        <w:pStyle w:val="5"/>
        <w:widowControl/>
        <w:shd w:val="clear" w:color="auto" w:fill="FFFFFF"/>
        <w:spacing w:line="560" w:lineRule="atLeast"/>
        <w:ind w:firstLine="640"/>
        <w:jc w:val="left"/>
        <w:rPr>
          <w:rFonts w:ascii="微软雅黑" w:hAnsi="微软雅黑" w:eastAsia="微软雅黑" w:cs="微软雅黑"/>
          <w:color w:val="000000"/>
        </w:rPr>
      </w:pPr>
      <w:r>
        <w:rPr>
          <w:rFonts w:hint="eastAsia" w:ascii="仿宋_GB2312" w:hAnsi="微软雅黑" w:eastAsia="仿宋_GB2312" w:cs="仿宋_GB2312"/>
          <w:color w:val="000000"/>
          <w:sz w:val="32"/>
          <w:szCs w:val="32"/>
          <w:shd w:val="clear" w:color="auto" w:fill="FFFFFF"/>
        </w:rPr>
        <w:t>7.项目支出：指在基本支出之外为完成特定行政任务和事业发展目标所发生的支出。</w:t>
      </w:r>
    </w:p>
    <w:p w14:paraId="135715D8">
      <w:pPr>
        <w:pStyle w:val="5"/>
        <w:widowControl/>
        <w:shd w:val="clear" w:color="auto" w:fill="FFFFFF"/>
        <w:spacing w:line="560" w:lineRule="atLeast"/>
        <w:ind w:firstLine="640"/>
        <w:jc w:val="left"/>
        <w:rPr>
          <w:rFonts w:ascii="微软雅黑" w:hAnsi="微软雅黑" w:eastAsia="微软雅黑" w:cs="微软雅黑"/>
          <w:color w:val="000000"/>
        </w:rPr>
      </w:pPr>
      <w:r>
        <w:rPr>
          <w:rFonts w:hint="eastAsia" w:ascii="仿宋_GB2312" w:hAnsi="微软雅黑" w:eastAsia="仿宋_GB2312" w:cs="仿宋_GB2312"/>
          <w:color w:val="000000"/>
          <w:sz w:val="32"/>
          <w:szCs w:val="32"/>
          <w:shd w:val="clear" w:color="auto" w:fill="FFFFFF"/>
        </w:rPr>
        <w:t>8.机关运行经费：是指各部门的公用经费，包括办公及印刷费、邮电费、差旅费、会议费、福利费、日常维护费、专用材料及一般设备购置费、办公用房水电费、办公用房取暖费、办公用房物业管理费、办公用车运行维护费以及其他费用。</w:t>
      </w:r>
    </w:p>
    <w:p w14:paraId="6E470F46">
      <w:pPr>
        <w:pStyle w:val="5"/>
        <w:widowControl/>
        <w:shd w:val="clear" w:color="auto" w:fill="FFFFFF"/>
        <w:spacing w:line="560" w:lineRule="atLeast"/>
        <w:ind w:firstLine="640"/>
        <w:jc w:val="left"/>
        <w:rPr>
          <w:rFonts w:ascii="微软雅黑" w:hAnsi="微软雅黑" w:eastAsia="微软雅黑" w:cs="微软雅黑"/>
          <w:color w:val="000000"/>
        </w:rPr>
      </w:pPr>
      <w:r>
        <w:rPr>
          <w:rFonts w:hint="eastAsia" w:ascii="仿宋_GB2312" w:hAnsi="微软雅黑" w:eastAsia="仿宋_GB2312" w:cs="仿宋_GB2312"/>
          <w:color w:val="000000"/>
          <w:sz w:val="32"/>
          <w:szCs w:val="32"/>
          <w:shd w:val="clear" w:color="auto" w:fill="FFFFFF"/>
        </w:rPr>
        <w:t>9.“三公”经费：指用一般预算拨款安排的因公出国（境）费、公务用车购置及运行费和公务接待费。其中，因公出国（境）费反映单位公务出国（境）的国际旅费、国外城市间交通费、</w:t>
      </w:r>
      <w:r>
        <w:rPr>
          <w:rFonts w:hint="eastAsia" w:ascii="仿宋_GB2312" w:hAnsi="微软雅黑" w:eastAsia="仿宋_GB2312" w:cs="仿宋_GB2312"/>
          <w:color w:val="000000"/>
          <w:sz w:val="31"/>
          <w:szCs w:val="31"/>
          <w:shd w:val="clear" w:color="auto" w:fill="FFFFFF"/>
        </w:rPr>
        <w:t>住宿费、伙食费</w:t>
      </w:r>
      <w:r>
        <w:rPr>
          <w:rFonts w:hint="eastAsia" w:ascii="仿宋_GB2312" w:hAnsi="微软雅黑" w:eastAsia="仿宋_GB2312" w:cs="仿宋_GB2312"/>
          <w:color w:val="000000"/>
          <w:sz w:val="32"/>
          <w:szCs w:val="32"/>
          <w:shd w:val="clear" w:color="auto" w:fill="FFFFFF"/>
        </w:rPr>
        <w:t>、培训费、公杂费等支出；公务用车购置及运行费反映单位公务用车车辆购置支出（含车辆购置税）、燃料费、维修费、过路过桥费、保险费、安全奖励费用等支出；公务接待费反映单位为执行公务或开展业务活动需要合理开支的接待费用。 </w:t>
      </w:r>
    </w:p>
    <w:p w14:paraId="23245F8A">
      <w:pPr>
        <w:pStyle w:val="5"/>
        <w:widowControl/>
        <w:shd w:val="clear" w:color="auto" w:fill="FFFFFF"/>
        <w:spacing w:line="560" w:lineRule="atLeast"/>
        <w:ind w:firstLine="640"/>
        <w:jc w:val="left"/>
        <w:rPr>
          <w:rFonts w:ascii="微软雅黑" w:hAnsi="微软雅黑" w:eastAsia="微软雅黑" w:cs="微软雅黑"/>
          <w:color w:val="000000"/>
        </w:rPr>
      </w:pPr>
      <w:r>
        <w:rPr>
          <w:rFonts w:hint="eastAsia" w:ascii="仿宋_GB2312" w:hAnsi="微软雅黑" w:eastAsia="仿宋_GB2312" w:cs="仿宋_GB2312"/>
          <w:color w:val="000000"/>
          <w:sz w:val="32"/>
          <w:szCs w:val="32"/>
          <w:shd w:val="clear" w:color="auto" w:fill="FFFFFF"/>
        </w:rPr>
        <w:t>10.部门管理专项资金：包括由部门主导分配的市本级项目和市对下转移支付项目。</w:t>
      </w:r>
    </w:p>
    <w:p w14:paraId="6FF09EFC">
      <w:pPr>
        <w:pStyle w:val="5"/>
        <w:widowControl/>
        <w:shd w:val="clear" w:color="auto" w:fill="FFFFFF"/>
        <w:spacing w:line="560" w:lineRule="atLeast"/>
        <w:ind w:firstLine="640"/>
        <w:jc w:val="left"/>
        <w:rPr>
          <w:rFonts w:ascii="微软雅黑" w:hAnsi="微软雅黑" w:eastAsia="微软雅黑" w:cs="微软雅黑"/>
          <w:color w:val="000000"/>
        </w:rPr>
      </w:pPr>
      <w:r>
        <w:rPr>
          <w:rFonts w:hint="eastAsia" w:ascii="仿宋_GB2312" w:hAnsi="微软雅黑" w:eastAsia="仿宋_GB2312" w:cs="仿宋_GB2312"/>
          <w:color w:val="000000"/>
          <w:sz w:val="32"/>
          <w:szCs w:val="32"/>
          <w:shd w:val="clear" w:color="auto" w:fill="FFFFFF"/>
        </w:rPr>
        <w:t>11.社会保障和就业（类）行政事业单位养老支出（款）行政单位离退休（项）：反映行政单位（包括实行公务员管理的事业单位）开支的离退休经费。 </w:t>
      </w:r>
    </w:p>
    <w:p w14:paraId="63C2C5D1">
      <w:pPr>
        <w:pStyle w:val="5"/>
        <w:widowControl/>
        <w:shd w:val="clear" w:color="auto" w:fill="FFFFFF"/>
        <w:spacing w:line="560" w:lineRule="atLeast"/>
        <w:ind w:firstLine="640"/>
        <w:jc w:val="left"/>
        <w:rPr>
          <w:rFonts w:ascii="微软雅黑" w:hAnsi="微软雅黑" w:eastAsia="微软雅黑" w:cs="微软雅黑"/>
          <w:color w:val="000000"/>
        </w:rPr>
      </w:pPr>
      <w:r>
        <w:rPr>
          <w:rFonts w:hint="eastAsia" w:ascii="仿宋_GB2312" w:hAnsi="微软雅黑" w:eastAsia="仿宋_GB2312" w:cs="仿宋_GB2312"/>
          <w:color w:val="000000"/>
          <w:sz w:val="32"/>
          <w:szCs w:val="32"/>
          <w:shd w:val="clear" w:color="auto" w:fill="FFFFFF"/>
        </w:rPr>
        <w:t>12.社会保障和就业（类）行政事业单位养老支出（款）事业单位离退休（项）：反映事业单位开支的离退休经费。</w:t>
      </w:r>
    </w:p>
    <w:p w14:paraId="36832DA9">
      <w:pPr>
        <w:pStyle w:val="5"/>
        <w:widowControl/>
        <w:shd w:val="clear" w:color="auto" w:fill="FFFFFF"/>
        <w:spacing w:line="560" w:lineRule="atLeast"/>
        <w:ind w:firstLine="640"/>
        <w:jc w:val="left"/>
        <w:rPr>
          <w:rFonts w:ascii="微软雅黑" w:hAnsi="微软雅黑" w:eastAsia="微软雅黑" w:cs="微软雅黑"/>
          <w:color w:val="000000"/>
        </w:rPr>
      </w:pPr>
      <w:r>
        <w:rPr>
          <w:rFonts w:hint="eastAsia" w:ascii="仿宋_GB2312" w:hAnsi="微软雅黑" w:eastAsia="仿宋_GB2312" w:cs="仿宋_GB2312"/>
          <w:color w:val="000000"/>
          <w:sz w:val="32"/>
          <w:szCs w:val="32"/>
          <w:shd w:val="clear" w:color="auto" w:fill="FFFFFF"/>
        </w:rPr>
        <w:t>13.社会保障和就业（类）行政事业单位养老支出（款）机关事业单位基本养老保险缴费支出（项）：反映机关事业单位实施养老保险制度由单位缴纳的基本养老保险费支出。</w:t>
      </w:r>
    </w:p>
    <w:p w14:paraId="423496EF">
      <w:pPr>
        <w:pStyle w:val="5"/>
        <w:widowControl/>
        <w:shd w:val="clear" w:color="auto" w:fill="FFFFFF"/>
        <w:spacing w:line="560" w:lineRule="atLeast"/>
        <w:ind w:firstLine="640"/>
        <w:jc w:val="left"/>
        <w:rPr>
          <w:rFonts w:ascii="微软雅黑" w:hAnsi="微软雅黑" w:eastAsia="微软雅黑" w:cs="微软雅黑"/>
          <w:color w:val="000000"/>
        </w:rPr>
      </w:pPr>
      <w:r>
        <w:rPr>
          <w:rFonts w:hint="eastAsia" w:ascii="仿宋_GB2312" w:hAnsi="微软雅黑" w:eastAsia="仿宋_GB2312" w:cs="仿宋_GB2312"/>
          <w:color w:val="000000"/>
          <w:sz w:val="32"/>
          <w:szCs w:val="32"/>
          <w:shd w:val="clear" w:color="auto" w:fill="FFFFFF"/>
        </w:rPr>
        <w:t>14.社会保障和就业（类）行政事业单位养老支出（款）机关事业单位职业年金缴费支出（项）：反映机关事业单位实施养老保险制度由单位实际缴纳的职业年金支出。</w:t>
      </w:r>
    </w:p>
    <w:p w14:paraId="0EE6279E">
      <w:pPr>
        <w:pStyle w:val="5"/>
        <w:widowControl/>
        <w:shd w:val="clear" w:color="auto" w:fill="FFFFFF"/>
        <w:spacing w:line="560" w:lineRule="atLeast"/>
        <w:ind w:firstLine="640"/>
        <w:jc w:val="left"/>
        <w:rPr>
          <w:rFonts w:ascii="微软雅黑" w:hAnsi="微软雅黑" w:eastAsia="微软雅黑" w:cs="微软雅黑"/>
          <w:color w:val="000000"/>
        </w:rPr>
      </w:pPr>
      <w:r>
        <w:rPr>
          <w:rFonts w:hint="eastAsia" w:ascii="仿宋_GB2312" w:hAnsi="微软雅黑" w:eastAsia="仿宋_GB2312" w:cs="仿宋_GB2312"/>
          <w:color w:val="000000"/>
          <w:sz w:val="32"/>
          <w:szCs w:val="32"/>
          <w:shd w:val="clear" w:color="auto" w:fill="FFFFFF"/>
        </w:rPr>
        <w:t>15.卫生健康支出（类）行政事业单位医疗（款）行政单位医疗（项）：反映财政部门安排的行政单位（包括实行公务员管理的事业单位）基本医疗保险缴费经费、未参加医疗保险的行政单位的公费医疗经费、按国家规定享受离休人员、红军老战士待遇人员的医疗经费。</w:t>
      </w:r>
    </w:p>
    <w:p w14:paraId="716A96CA">
      <w:pPr>
        <w:pStyle w:val="5"/>
        <w:widowControl/>
        <w:shd w:val="clear" w:color="auto" w:fill="FFFFFF"/>
        <w:spacing w:line="560" w:lineRule="atLeast"/>
        <w:ind w:firstLine="640"/>
        <w:jc w:val="left"/>
        <w:rPr>
          <w:rFonts w:ascii="微软雅黑" w:hAnsi="微软雅黑" w:eastAsia="微软雅黑" w:cs="微软雅黑"/>
          <w:color w:val="000000"/>
        </w:rPr>
      </w:pPr>
      <w:r>
        <w:rPr>
          <w:rFonts w:hint="eastAsia" w:ascii="仿宋_GB2312" w:hAnsi="微软雅黑" w:eastAsia="仿宋_GB2312" w:cs="仿宋_GB2312"/>
          <w:color w:val="000000"/>
          <w:sz w:val="32"/>
          <w:szCs w:val="32"/>
          <w:shd w:val="clear" w:color="auto" w:fill="FFFFFF"/>
        </w:rPr>
        <w:t>16.卫生健康支出（类）行政事业单位医疗（款）事业单位医疗（项）：反映财政部门安排的事业单位基本医疗保险缴费经费、未参加医疗保险的事业单位的公费医疗经费、按国家规定享受离休人员待遇的医疗经费。</w:t>
      </w:r>
    </w:p>
    <w:p w14:paraId="396E822D">
      <w:pPr>
        <w:pStyle w:val="5"/>
        <w:widowControl/>
        <w:shd w:val="clear" w:color="auto" w:fill="FFFFFF"/>
        <w:spacing w:line="560" w:lineRule="atLeast"/>
        <w:ind w:firstLine="640"/>
        <w:jc w:val="left"/>
        <w:rPr>
          <w:rFonts w:ascii="微软雅黑" w:hAnsi="微软雅黑" w:eastAsia="微软雅黑" w:cs="微软雅黑"/>
          <w:color w:val="000000"/>
        </w:rPr>
      </w:pPr>
      <w:r>
        <w:rPr>
          <w:rFonts w:hint="eastAsia" w:ascii="仿宋_GB2312" w:hAnsi="微软雅黑" w:eastAsia="仿宋_GB2312" w:cs="仿宋_GB2312"/>
          <w:color w:val="000000"/>
          <w:sz w:val="32"/>
          <w:szCs w:val="32"/>
          <w:shd w:val="clear" w:color="auto" w:fill="FFFFFF"/>
        </w:rPr>
        <w:t>17.卫生健康支出（类）行政事业单位医疗（款）其他行政事业单位医疗支出（项）：反映其他用于行政事业单位医疗方面的支出。</w:t>
      </w:r>
    </w:p>
    <w:p w14:paraId="479FA384">
      <w:pPr>
        <w:pStyle w:val="5"/>
        <w:widowControl/>
        <w:shd w:val="clear" w:color="auto" w:fill="FFFFFF"/>
        <w:spacing w:line="560" w:lineRule="atLeast"/>
        <w:ind w:firstLine="640"/>
        <w:rPr>
          <w:rFonts w:ascii="微软雅黑" w:hAnsi="微软雅黑" w:eastAsia="微软雅黑" w:cs="微软雅黑"/>
          <w:color w:val="000000"/>
        </w:rPr>
      </w:pPr>
      <w:r>
        <w:rPr>
          <w:rFonts w:hint="eastAsia" w:ascii="仿宋_GB2312" w:hAnsi="微软雅黑" w:eastAsia="仿宋_GB2312" w:cs="仿宋_GB2312"/>
          <w:color w:val="000000"/>
          <w:sz w:val="32"/>
          <w:szCs w:val="32"/>
          <w:shd w:val="clear" w:color="auto" w:fill="FFFFFF"/>
        </w:rPr>
        <w:t>18.住房保障（类）住房改革（款）住房公积金（项）：反映行政事业单位按人力资源和社会保障部、财政部规定的基本工资和津贴补贴以及规定比例为职工缴纳的住房公积金。 </w:t>
      </w:r>
    </w:p>
    <w:p w14:paraId="4A185DA6">
      <w:pPr>
        <w:pStyle w:val="5"/>
        <w:widowControl/>
        <w:shd w:val="clear" w:color="auto" w:fill="FFFFFF"/>
        <w:spacing w:line="560" w:lineRule="atLeast"/>
        <w:ind w:firstLine="640"/>
        <w:jc w:val="left"/>
        <w:rPr>
          <w:rFonts w:ascii="微软雅黑" w:hAnsi="微软雅黑" w:eastAsia="微软雅黑" w:cs="微软雅黑"/>
          <w:color w:val="000000"/>
        </w:rPr>
      </w:pPr>
      <w:r>
        <w:rPr>
          <w:rFonts w:hint="eastAsia" w:ascii="仿宋_GB2312" w:hAnsi="微软雅黑" w:eastAsia="仿宋_GB2312" w:cs="仿宋_GB2312"/>
          <w:color w:val="000000"/>
          <w:sz w:val="32"/>
          <w:szCs w:val="32"/>
          <w:shd w:val="clear" w:color="auto" w:fill="FFFFFF"/>
        </w:rPr>
        <w:t>19.住房保障（类）住房改革（款）购房补贴（项）：反映按房改政策规定，行政事业单位向符合条件职工（含离退休人员）、军队（含武警）向转役复员离退休人员发放的用于购买住房的补贴。</w:t>
      </w:r>
    </w:p>
    <w:p w14:paraId="2AAF2051">
      <w:pPr>
        <w:pStyle w:val="5"/>
        <w:widowControl/>
        <w:shd w:val="clear" w:color="auto" w:fill="FFFFFF"/>
        <w:spacing w:line="560" w:lineRule="atLeast"/>
        <w:ind w:firstLine="640"/>
        <w:jc w:val="left"/>
        <w:rPr>
          <w:rFonts w:ascii="微软雅黑" w:hAnsi="微软雅黑" w:eastAsia="微软雅黑" w:cs="微软雅黑"/>
          <w:color w:val="000000"/>
        </w:rPr>
      </w:pPr>
      <w:r>
        <w:rPr>
          <w:rFonts w:hint="eastAsia" w:ascii="仿宋_GB2312" w:hAnsi="微软雅黑" w:eastAsia="仿宋_GB2312" w:cs="仿宋_GB2312"/>
          <w:color w:val="000000"/>
          <w:sz w:val="32"/>
          <w:szCs w:val="32"/>
          <w:shd w:val="clear" w:color="auto" w:fill="FFFFFF"/>
        </w:rPr>
        <w:t>……</w:t>
      </w:r>
    </w:p>
    <w:p w14:paraId="4DF1260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4818DE"/>
    <w:rsid w:val="00052B01"/>
    <w:rsid w:val="00075C0A"/>
    <w:rsid w:val="00111476"/>
    <w:rsid w:val="00175420"/>
    <w:rsid w:val="0018731D"/>
    <w:rsid w:val="001B3D7D"/>
    <w:rsid w:val="00291490"/>
    <w:rsid w:val="00297F31"/>
    <w:rsid w:val="002D2408"/>
    <w:rsid w:val="00303760"/>
    <w:rsid w:val="00397CED"/>
    <w:rsid w:val="00407C99"/>
    <w:rsid w:val="004818DE"/>
    <w:rsid w:val="00566998"/>
    <w:rsid w:val="00581B44"/>
    <w:rsid w:val="0066617C"/>
    <w:rsid w:val="00667BEA"/>
    <w:rsid w:val="006A7A0D"/>
    <w:rsid w:val="00716F0C"/>
    <w:rsid w:val="00755DCF"/>
    <w:rsid w:val="007713E2"/>
    <w:rsid w:val="008073D8"/>
    <w:rsid w:val="00850E05"/>
    <w:rsid w:val="00883301"/>
    <w:rsid w:val="008B4BD4"/>
    <w:rsid w:val="008D177E"/>
    <w:rsid w:val="008E1BC8"/>
    <w:rsid w:val="00923296"/>
    <w:rsid w:val="00990E3D"/>
    <w:rsid w:val="009D74D6"/>
    <w:rsid w:val="00AE1999"/>
    <w:rsid w:val="00AE4738"/>
    <w:rsid w:val="00C029DA"/>
    <w:rsid w:val="00CD412F"/>
    <w:rsid w:val="00CF5274"/>
    <w:rsid w:val="00DF03C8"/>
    <w:rsid w:val="00EB59A4"/>
    <w:rsid w:val="00EC54C3"/>
    <w:rsid w:val="00EE0815"/>
    <w:rsid w:val="00FB0C75"/>
    <w:rsid w:val="00FE1942"/>
    <w:rsid w:val="00FF657D"/>
    <w:rsid w:val="02AD7AC3"/>
    <w:rsid w:val="25E22D30"/>
    <w:rsid w:val="340437F6"/>
    <w:rsid w:val="399A4822"/>
    <w:rsid w:val="44492AFD"/>
    <w:rsid w:val="4D952D2E"/>
    <w:rsid w:val="4DCD51EB"/>
    <w:rsid w:val="552F0BCB"/>
    <w:rsid w:val="586C6306"/>
    <w:rsid w:val="60B27518"/>
    <w:rsid w:val="69790883"/>
    <w:rsid w:val="6C505F52"/>
    <w:rsid w:val="6C812DF8"/>
    <w:rsid w:val="6EB43B5D"/>
    <w:rsid w:val="75695C4F"/>
    <w:rsid w:val="757A1C0A"/>
    <w:rsid w:val="77A2544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10"/>
    <w:qFormat/>
    <w:uiPriority w:val="0"/>
    <w:rPr>
      <w:rFonts w:ascii="宋体" w:eastAsia="宋体"/>
      <w:sz w:val="18"/>
      <w:szCs w:val="18"/>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rPr>
      <w:sz w:val="24"/>
    </w:rPr>
  </w:style>
  <w:style w:type="character" w:customStyle="1" w:styleId="8">
    <w:name w:val="页眉 字符"/>
    <w:basedOn w:val="7"/>
    <w:link w:val="4"/>
    <w:qFormat/>
    <w:uiPriority w:val="0"/>
    <w:rPr>
      <w:rFonts w:asciiTheme="minorHAnsi" w:hAnsiTheme="minorHAnsi" w:eastAsiaTheme="minorEastAsia" w:cstheme="minorBidi"/>
      <w:kern w:val="2"/>
      <w:sz w:val="18"/>
      <w:szCs w:val="18"/>
    </w:rPr>
  </w:style>
  <w:style w:type="character" w:customStyle="1" w:styleId="9">
    <w:name w:val="页脚 字符"/>
    <w:basedOn w:val="7"/>
    <w:link w:val="3"/>
    <w:qFormat/>
    <w:uiPriority w:val="0"/>
    <w:rPr>
      <w:rFonts w:asciiTheme="minorHAnsi" w:hAnsiTheme="minorHAnsi" w:eastAsiaTheme="minorEastAsia" w:cstheme="minorBidi"/>
      <w:kern w:val="2"/>
      <w:sz w:val="18"/>
      <w:szCs w:val="18"/>
    </w:rPr>
  </w:style>
  <w:style w:type="character" w:customStyle="1" w:styleId="10">
    <w:name w:val="文档结构图 字符"/>
    <w:basedOn w:val="7"/>
    <w:link w:val="2"/>
    <w:qFormat/>
    <w:uiPriority w:val="0"/>
    <w:rPr>
      <w:rFonts w:ascii="宋体" w:hAnsiTheme="minorHAnsi"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16</Pages>
  <Words>5047</Words>
  <Characters>5238</Characters>
  <Lines>39</Lines>
  <Paragraphs>11</Paragraphs>
  <TotalTime>150</TotalTime>
  <ScaleCrop>false</ScaleCrop>
  <LinksUpToDate>false</LinksUpToDate>
  <CharactersWithSpaces>5449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2025-01-07T06:03:00Z</dcterms:created>
  <dc:creator>86136</dc:creator>
  <cp:lastModifiedBy>超</cp:lastModifiedBy>
  <dcterms:modified xsi:type="dcterms:W3CDTF">2026-01-23T06:54:08Z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eyJoZGlkIjoiNzY2YmIxZTFkYmRhZmQzMjEwZDI2ZDc5YjUxNzkzYWEiLCJ1c2VySWQiOiIxMTIyMjc3NjI0In0=</vt:lpwstr>
  </property>
  <property fmtid="{D5CDD505-2E9C-101B-9397-08002B2CF9AE}" pid="4" name="ICV">
    <vt:lpwstr>B8C5117FB8014E44A865199339766739_12</vt:lpwstr>
  </property>
</Properties>
</file>