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408EC9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1F528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64C32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2D427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639C2C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7A78F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2F1B6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鞍山市千山区党群服务中心</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2025年度单位</w:t>
      </w:r>
      <w:bookmarkStart w:id="0" w:name="_GoBack"/>
      <w:bookmarkEnd w:id="0"/>
      <w:r>
        <w:rPr>
          <w:rFonts w:hint="eastAsia" w:ascii="宋体" w:hAnsi="宋体" w:eastAsia="宋体" w:cs="宋体"/>
          <w:b/>
          <w:bCs/>
          <w:i w:val="0"/>
          <w:iCs w:val="0"/>
          <w:caps w:val="0"/>
          <w:color w:val="000000"/>
          <w:spacing w:val="0"/>
          <w:sz w:val="44"/>
          <w:szCs w:val="44"/>
          <w:shd w:val="clear" w:fill="FFFFFF"/>
        </w:rPr>
        <w:t>预算</w:t>
      </w:r>
    </w:p>
    <w:p w14:paraId="51C5AB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7500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1D98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EBD0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76BCA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55CD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1D5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0111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DBA03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2E6C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6716B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7526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93ADB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6EB13BAF">
      <w:pPr>
        <w:ind w:firstLine="640" w:firstLineChars="200"/>
        <w:jc w:val="left"/>
        <w:rPr>
          <w:rFonts w:hint="eastAsia" w:ascii="仿宋" w:hAnsi="仿宋" w:eastAsia="仿宋"/>
          <w:sz w:val="32"/>
          <w:szCs w:val="32"/>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sz w:val="32"/>
          <w:szCs w:val="32"/>
        </w:rPr>
        <w:t>以党的二十大精神为指引，围绕“党史学习教育”主题活动，按照区委部署持续的开展党建活动。进一步强化党建工作责任制，严格落实支部各项组织生活制度。</w:t>
      </w:r>
    </w:p>
    <w:p w14:paraId="2072A8A6">
      <w:pPr>
        <w:ind w:firstLine="640" w:firstLineChars="200"/>
        <w:jc w:val="left"/>
        <w:rPr>
          <w:rFonts w:hint="eastAsia" w:ascii="仿宋" w:hAnsi="仿宋" w:eastAsia="仿宋"/>
          <w:sz w:val="32"/>
          <w:szCs w:val="32"/>
        </w:rPr>
      </w:pPr>
      <w:r>
        <w:rPr>
          <w:rFonts w:hint="eastAsia" w:ascii="仿宋" w:hAnsi="仿宋" w:eastAsia="仿宋"/>
          <w:sz w:val="32"/>
          <w:szCs w:val="32"/>
        </w:rPr>
        <w:t>（二）着力在完善治理理念、体制机制、创新方式手段等方面下功夫，不断提升</w:t>
      </w:r>
      <w:r>
        <w:rPr>
          <w:rFonts w:hint="eastAsia" w:ascii="仿宋" w:hAnsi="仿宋" w:eastAsia="仿宋"/>
          <w:sz w:val="32"/>
          <w:szCs w:val="32"/>
          <w:lang w:val="en-US" w:eastAsia="zh-CN"/>
        </w:rPr>
        <w:t>基层</w:t>
      </w:r>
      <w:r>
        <w:rPr>
          <w:rFonts w:hint="eastAsia" w:ascii="仿宋" w:hAnsi="仿宋" w:eastAsia="仿宋"/>
          <w:sz w:val="32"/>
          <w:szCs w:val="32"/>
        </w:rPr>
        <w:t>治理工作效能和服务水平。</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2025年度部门预算仅包括</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宋体" w:eastAsia="仿宋_GB2312" w:cs="宋体"/>
          <w:kern w:val="0"/>
          <w:sz w:val="32"/>
          <w:szCs w:val="32"/>
        </w:rPr>
        <w:t>0.00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宋体" w:eastAsia="仿宋_GB2312" w:cs="宋体"/>
          <w:kern w:val="0"/>
          <w:sz w:val="32"/>
          <w:szCs w:val="32"/>
        </w:rPr>
        <w:t>0.00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宋体" w:eastAsia="仿宋_GB2312" w:cs="宋体"/>
          <w:kern w:val="0"/>
          <w:sz w:val="32"/>
          <w:szCs w:val="32"/>
        </w:rPr>
        <w:t>0.00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宋体" w:eastAsia="仿宋_GB2312" w:cs="宋体"/>
          <w:kern w:val="0"/>
          <w:sz w:val="32"/>
          <w:szCs w:val="32"/>
        </w:rPr>
        <w:t>0.00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6.上年结转结余0.00万元。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宋体" w:eastAsia="仿宋_GB2312" w:cs="宋体"/>
          <w:kern w:val="0"/>
          <w:sz w:val="32"/>
          <w:szCs w:val="32"/>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321.64</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47.13</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34.37</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卫生健康支出17.93万元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879.36</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67.62</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%，减少的主要原因：一是继续贯彻落实中央八项规定和党政机关厉行节约有关要求，坚持精打细算、厉行节约，压减一般性支出；二是非急需、非刚性支出不予安排；三</w:t>
      </w:r>
      <w:r>
        <w:rPr>
          <w:rFonts w:hint="eastAsia" w:ascii="仿宋_GB2312" w:hAnsi="微软雅黑" w:eastAsia="仿宋_GB2312" w:cs="仿宋_GB2312"/>
          <w:i w:val="0"/>
          <w:iCs w:val="0"/>
          <w:caps w:val="0"/>
          <w:color w:val="000000"/>
          <w:spacing w:val="0"/>
          <w:sz w:val="32"/>
          <w:szCs w:val="32"/>
          <w:shd w:val="clear" w:fill="FFFFFF"/>
          <w:lang w:val="en-US" w:eastAsia="zh-CN"/>
        </w:rPr>
        <w:t>是减少了网格员话费补贴等业务</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321.64</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47.13</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34.37</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396.87</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4.99</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879.36</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67.62</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%。财政拨款收入同比减少的主要原因：一是继续贯彻落实中央八项规定和党政机关厉行节约有关要求，坚持精打细算、厉行节约，压减一般性支出；二是非急需、非刚性支出不予安排；三</w:t>
      </w:r>
      <w:r>
        <w:rPr>
          <w:rFonts w:hint="eastAsia" w:ascii="仿宋_GB2312" w:hAnsi="微软雅黑" w:eastAsia="仿宋_GB2312" w:cs="仿宋_GB2312"/>
          <w:i w:val="0"/>
          <w:iCs w:val="0"/>
          <w:caps w:val="0"/>
          <w:color w:val="000000"/>
          <w:spacing w:val="0"/>
          <w:sz w:val="32"/>
          <w:szCs w:val="32"/>
          <w:shd w:val="clear" w:fill="FFFFFF"/>
          <w:lang w:val="en-US" w:eastAsia="zh-CN"/>
        </w:rPr>
        <w:t>是减少了网格员话费补贴等业务</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396.87</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4.99</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401.86</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421.07</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879.36</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67.62</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19.21</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3.57</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15.67</w:t>
      </w:r>
      <w:r>
        <w:rPr>
          <w:rFonts w:hint="eastAsia" w:ascii="仿宋_GB2312" w:hAnsi="微软雅黑" w:eastAsia="仿宋_GB2312" w:cs="仿宋_GB2312"/>
          <w:i w:val="0"/>
          <w:iCs w:val="0"/>
          <w:caps w:val="0"/>
          <w:color w:val="000000"/>
          <w:spacing w:val="0"/>
          <w:sz w:val="32"/>
          <w:szCs w:val="32"/>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宋体" w:eastAsia="仿宋_GB2312" w:cs="宋体"/>
          <w:kern w:val="0"/>
          <w:sz w:val="32"/>
          <w:szCs w:val="32"/>
        </w:rPr>
        <w:t>鞍山市千山区党群服务中心</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0.00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2025年预算中无政府性基金预算拨款支出，无债务支出预算，无政府采购预算，无购买服务预算，因此“政府性基金预算支出表”、“债务支出预算表”、“政府采购支出预算表”、“政府购买服务支出预算表”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0070A"/>
    <w:rsid w:val="00FE1942"/>
    <w:rsid w:val="08A52FEB"/>
    <w:rsid w:val="25E22D30"/>
    <w:rsid w:val="44492AFD"/>
    <w:rsid w:val="4D952D2E"/>
    <w:rsid w:val="5406202C"/>
    <w:rsid w:val="55F06C20"/>
    <w:rsid w:val="586C6306"/>
    <w:rsid w:val="60B27518"/>
    <w:rsid w:val="69790883"/>
    <w:rsid w:val="6B814BE6"/>
    <w:rsid w:val="71BB35C6"/>
    <w:rsid w:val="757A1C0A"/>
    <w:rsid w:val="77A25449"/>
    <w:rsid w:val="7AAF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5709</Words>
  <Characters>6066</Characters>
  <Lines>0</Lines>
  <Paragraphs>0</Paragraphs>
  <TotalTime>3</TotalTime>
  <ScaleCrop>false</ScaleCrop>
  <LinksUpToDate>false</LinksUpToDate>
  <CharactersWithSpaces>6304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