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38A02">
      <w:pPr>
        <w:pStyle w:val="5"/>
        <w:widowControl/>
        <w:shd w:val="clear" w:color="auto" w:fill="FFFFFF"/>
        <w:jc w:val="left"/>
        <w:rPr>
          <w:rFonts w:ascii="微软雅黑" w:hAnsi="微软雅黑" w:eastAsia="微软雅黑" w:cs="微软雅黑"/>
          <w:color w:val="000000"/>
        </w:rPr>
      </w:pPr>
      <w:r>
        <w:rPr>
          <w:rFonts w:hint="eastAsia" w:ascii="宋体" w:hAnsi="宋体" w:eastAsia="宋体" w:cs="宋体"/>
          <w:b/>
          <w:bCs/>
          <w:color w:val="000000"/>
          <w:sz w:val="32"/>
          <w:szCs w:val="32"/>
          <w:shd w:val="clear" w:color="auto" w:fill="FFFFFF"/>
        </w:rPr>
        <w:t>附件2</w:t>
      </w:r>
    </w:p>
    <w:p w14:paraId="02C90D45">
      <w:pPr>
        <w:pStyle w:val="5"/>
        <w:widowControl/>
        <w:shd w:val="clear" w:color="auto" w:fill="FFFFFF"/>
        <w:jc w:val="center"/>
        <w:outlineLvl w:val="0"/>
        <w:rPr>
          <w:rFonts w:hint="eastAsia" w:ascii="Times New Roman" w:hAnsi="Times New Roman" w:eastAsia="微软雅黑" w:cs="Times New Roman"/>
          <w:b/>
          <w:bCs/>
          <w:color w:val="000000"/>
          <w:sz w:val="36"/>
          <w:szCs w:val="36"/>
          <w:shd w:val="clear" w:color="auto" w:fill="FFFFFF"/>
        </w:rPr>
      </w:pPr>
    </w:p>
    <w:p w14:paraId="674473F6">
      <w:pPr>
        <w:pStyle w:val="5"/>
        <w:widowControl/>
        <w:shd w:val="clear" w:color="auto" w:fill="FFFFFF"/>
        <w:jc w:val="center"/>
        <w:outlineLvl w:val="0"/>
        <w:rPr>
          <w:rFonts w:hint="eastAsia" w:ascii="Times New Roman" w:hAnsi="Times New Roman" w:eastAsia="微软雅黑" w:cs="Times New Roman"/>
          <w:b/>
          <w:bCs/>
          <w:color w:val="000000"/>
          <w:sz w:val="36"/>
          <w:szCs w:val="36"/>
          <w:shd w:val="clear" w:color="auto" w:fill="FFFFFF"/>
        </w:rPr>
      </w:pPr>
    </w:p>
    <w:p w14:paraId="42E05682">
      <w:pPr>
        <w:pStyle w:val="5"/>
        <w:widowControl/>
        <w:shd w:val="clear" w:color="auto" w:fill="FFFFFF"/>
        <w:jc w:val="center"/>
        <w:outlineLvl w:val="0"/>
        <w:rPr>
          <w:rFonts w:hint="eastAsia" w:ascii="Times New Roman" w:hAnsi="Times New Roman" w:eastAsia="微软雅黑" w:cs="Times New Roman"/>
          <w:b/>
          <w:bCs/>
          <w:color w:val="000000"/>
          <w:sz w:val="36"/>
          <w:szCs w:val="36"/>
          <w:shd w:val="clear" w:color="auto" w:fill="FFFFFF"/>
        </w:rPr>
      </w:pPr>
    </w:p>
    <w:p w14:paraId="71FE3206">
      <w:pPr>
        <w:pStyle w:val="5"/>
        <w:widowControl/>
        <w:shd w:val="clear" w:color="auto" w:fill="FFFFFF"/>
        <w:jc w:val="center"/>
        <w:outlineLvl w:val="0"/>
        <w:rPr>
          <w:rFonts w:hint="eastAsia" w:ascii="Times New Roman" w:hAnsi="Times New Roman" w:eastAsia="微软雅黑" w:cs="Times New Roman"/>
          <w:b/>
          <w:bCs/>
          <w:color w:val="000000"/>
          <w:sz w:val="36"/>
          <w:szCs w:val="36"/>
          <w:shd w:val="clear" w:color="auto" w:fill="FFFFFF"/>
        </w:rPr>
      </w:pPr>
    </w:p>
    <w:p w14:paraId="747D82C6">
      <w:pPr>
        <w:pStyle w:val="5"/>
        <w:widowControl/>
        <w:shd w:val="clear" w:color="auto" w:fill="FFFFFF"/>
        <w:jc w:val="center"/>
        <w:outlineLvl w:val="0"/>
        <w:rPr>
          <w:rFonts w:hint="eastAsia" w:ascii="Times New Roman" w:hAnsi="Times New Roman" w:eastAsia="微软雅黑" w:cs="Times New Roman"/>
          <w:b/>
          <w:bCs/>
          <w:color w:val="000000"/>
          <w:sz w:val="36"/>
          <w:szCs w:val="36"/>
          <w:shd w:val="clear" w:color="auto" w:fill="FFFFFF"/>
        </w:rPr>
      </w:pPr>
    </w:p>
    <w:p w14:paraId="59163874">
      <w:pPr>
        <w:pStyle w:val="5"/>
        <w:widowControl/>
        <w:shd w:val="clear" w:color="auto" w:fill="FFFFFF"/>
        <w:jc w:val="center"/>
        <w:outlineLvl w:val="0"/>
        <w:rPr>
          <w:rFonts w:hint="eastAsia" w:ascii="Times New Roman" w:hAnsi="Times New Roman" w:eastAsia="微软雅黑" w:cs="Times New Roman"/>
          <w:b/>
          <w:bCs/>
          <w:color w:val="000000"/>
          <w:sz w:val="36"/>
          <w:szCs w:val="36"/>
          <w:shd w:val="clear" w:color="auto" w:fill="FFFFFF"/>
        </w:rPr>
      </w:pPr>
    </w:p>
    <w:p w14:paraId="54946472">
      <w:pPr>
        <w:pStyle w:val="5"/>
        <w:widowControl/>
        <w:shd w:val="clear" w:color="auto" w:fill="FFFFFF"/>
        <w:jc w:val="center"/>
        <w:outlineLvl w:val="0"/>
        <w:rPr>
          <w:rFonts w:hint="eastAsia" w:ascii="Times New Roman" w:hAnsi="Times New Roman" w:eastAsia="微软雅黑" w:cs="Times New Roman"/>
          <w:b/>
          <w:bCs/>
          <w:color w:val="000000"/>
          <w:sz w:val="36"/>
          <w:szCs w:val="36"/>
          <w:shd w:val="clear" w:color="auto" w:fill="FFFFFF"/>
        </w:rPr>
      </w:pPr>
    </w:p>
    <w:p w14:paraId="2FFF6E83">
      <w:pPr>
        <w:pStyle w:val="5"/>
        <w:widowControl/>
        <w:shd w:val="clear" w:color="auto" w:fill="FFFFFF"/>
        <w:jc w:val="center"/>
        <w:outlineLvl w:val="0"/>
        <w:rPr>
          <w:rFonts w:hint="eastAsia" w:ascii="Times New Roman" w:hAnsi="Times New Roman" w:eastAsia="微软雅黑" w:cs="Times New Roman"/>
          <w:b/>
          <w:bCs/>
          <w:color w:val="000000"/>
          <w:sz w:val="36"/>
          <w:szCs w:val="36"/>
          <w:shd w:val="clear" w:color="auto" w:fill="FFFFFF"/>
        </w:rPr>
      </w:pPr>
    </w:p>
    <w:p w14:paraId="44F5F111">
      <w:pPr>
        <w:pStyle w:val="5"/>
        <w:widowControl/>
        <w:shd w:val="clear" w:color="auto" w:fill="FFFFFF"/>
        <w:jc w:val="center"/>
        <w:outlineLvl w:val="0"/>
        <w:rPr>
          <w:rFonts w:ascii="微软雅黑" w:hAnsi="微软雅黑" w:eastAsia="微软雅黑" w:cs="微软雅黑"/>
          <w:color w:val="000000"/>
        </w:rPr>
      </w:pPr>
      <w:r>
        <w:rPr>
          <w:rFonts w:hint="eastAsia" w:ascii="Times New Roman" w:hAnsi="Times New Roman" w:eastAsia="微软雅黑" w:cs="Times New Roman"/>
          <w:b/>
          <w:bCs/>
          <w:color w:val="000000"/>
          <w:sz w:val="36"/>
          <w:szCs w:val="36"/>
          <w:shd w:val="clear" w:color="auto" w:fill="FFFFFF"/>
        </w:rPr>
        <w:t>鞍山市千山区甘泉镇综合事务服务中心</w:t>
      </w:r>
    </w:p>
    <w:p w14:paraId="7D336E9A">
      <w:pPr>
        <w:pStyle w:val="5"/>
        <w:widowControl/>
        <w:shd w:val="clear" w:color="auto" w:fill="FFFFFF"/>
        <w:jc w:val="center"/>
        <w:rPr>
          <w:rFonts w:ascii="微软雅黑" w:hAnsi="微软雅黑" w:eastAsia="微软雅黑" w:cs="微软雅黑"/>
          <w:color w:val="000000"/>
        </w:rPr>
      </w:pPr>
      <w:r>
        <w:rPr>
          <w:rFonts w:hint="eastAsia" w:ascii="宋体" w:hAnsi="宋体" w:eastAsia="宋体" w:cs="宋体"/>
          <w:b/>
          <w:bCs/>
          <w:color w:val="000000"/>
          <w:sz w:val="44"/>
          <w:szCs w:val="44"/>
          <w:shd w:val="clear" w:color="auto" w:fill="FFFFFF"/>
        </w:rPr>
        <w:t>2025年度部门（单位）预算</w:t>
      </w:r>
    </w:p>
    <w:p w14:paraId="60BBB451">
      <w:pPr>
        <w:pStyle w:val="5"/>
        <w:widowControl/>
        <w:shd w:val="clear" w:color="auto" w:fill="FFFFFF"/>
        <w:jc w:val="center"/>
        <w:rPr>
          <w:rFonts w:ascii="黑体" w:hAnsi="宋体" w:eastAsia="黑体" w:cs="黑体"/>
          <w:b/>
          <w:bCs/>
          <w:color w:val="000000"/>
          <w:sz w:val="32"/>
          <w:szCs w:val="32"/>
          <w:shd w:val="clear" w:color="auto" w:fill="FFFFFF"/>
        </w:rPr>
      </w:pPr>
    </w:p>
    <w:p w14:paraId="4164EA9B">
      <w:pPr>
        <w:pStyle w:val="5"/>
        <w:widowControl/>
        <w:shd w:val="clear" w:color="auto" w:fill="FFFFFF"/>
        <w:jc w:val="center"/>
        <w:rPr>
          <w:rFonts w:ascii="黑体" w:hAnsi="宋体" w:eastAsia="黑体" w:cs="黑体"/>
          <w:b/>
          <w:bCs/>
          <w:color w:val="000000"/>
          <w:sz w:val="32"/>
          <w:szCs w:val="32"/>
          <w:shd w:val="clear" w:color="auto" w:fill="FFFFFF"/>
        </w:rPr>
      </w:pPr>
    </w:p>
    <w:p w14:paraId="02A16E10">
      <w:pPr>
        <w:pStyle w:val="5"/>
        <w:widowControl/>
        <w:shd w:val="clear" w:color="auto" w:fill="FFFFFF"/>
        <w:jc w:val="center"/>
        <w:rPr>
          <w:rFonts w:ascii="黑体" w:hAnsi="宋体" w:eastAsia="黑体" w:cs="黑体"/>
          <w:b/>
          <w:bCs/>
          <w:color w:val="000000"/>
          <w:sz w:val="32"/>
          <w:szCs w:val="32"/>
          <w:shd w:val="clear" w:color="auto" w:fill="FFFFFF"/>
        </w:rPr>
      </w:pPr>
    </w:p>
    <w:p w14:paraId="078DFDCE">
      <w:pPr>
        <w:pStyle w:val="5"/>
        <w:widowControl/>
        <w:shd w:val="clear" w:color="auto" w:fill="FFFFFF"/>
        <w:jc w:val="center"/>
        <w:rPr>
          <w:rFonts w:ascii="黑体" w:hAnsi="宋体" w:eastAsia="黑体" w:cs="黑体"/>
          <w:b/>
          <w:bCs/>
          <w:color w:val="000000"/>
          <w:sz w:val="32"/>
          <w:szCs w:val="32"/>
          <w:shd w:val="clear" w:color="auto" w:fill="FFFFFF"/>
        </w:rPr>
      </w:pPr>
    </w:p>
    <w:p w14:paraId="5A1F79F1">
      <w:pPr>
        <w:pStyle w:val="5"/>
        <w:widowControl/>
        <w:shd w:val="clear" w:color="auto" w:fill="FFFFFF"/>
        <w:jc w:val="center"/>
        <w:rPr>
          <w:rFonts w:ascii="黑体" w:hAnsi="宋体" w:eastAsia="黑体" w:cs="黑体"/>
          <w:b/>
          <w:bCs/>
          <w:color w:val="000000"/>
          <w:sz w:val="32"/>
          <w:szCs w:val="32"/>
          <w:shd w:val="clear" w:color="auto" w:fill="FFFFFF"/>
        </w:rPr>
      </w:pPr>
    </w:p>
    <w:p w14:paraId="12BB793C">
      <w:pPr>
        <w:pStyle w:val="5"/>
        <w:widowControl/>
        <w:shd w:val="clear" w:color="auto" w:fill="FFFFFF"/>
        <w:jc w:val="center"/>
        <w:rPr>
          <w:rFonts w:ascii="黑体" w:hAnsi="宋体" w:eastAsia="黑体" w:cs="黑体"/>
          <w:b/>
          <w:bCs/>
          <w:color w:val="000000"/>
          <w:sz w:val="32"/>
          <w:szCs w:val="32"/>
          <w:shd w:val="clear" w:color="auto" w:fill="FFFFFF"/>
        </w:rPr>
      </w:pPr>
    </w:p>
    <w:p w14:paraId="1561D86D">
      <w:pPr>
        <w:pStyle w:val="5"/>
        <w:widowControl/>
        <w:shd w:val="clear" w:color="auto" w:fill="FFFFFF"/>
        <w:jc w:val="center"/>
        <w:rPr>
          <w:rFonts w:ascii="黑体" w:hAnsi="宋体" w:eastAsia="黑体" w:cs="黑体"/>
          <w:b/>
          <w:bCs/>
          <w:color w:val="000000"/>
          <w:sz w:val="32"/>
          <w:szCs w:val="32"/>
          <w:shd w:val="clear" w:color="auto" w:fill="FFFFFF"/>
        </w:rPr>
      </w:pPr>
    </w:p>
    <w:p w14:paraId="10F1B50E">
      <w:pPr>
        <w:pStyle w:val="5"/>
        <w:widowControl/>
        <w:shd w:val="clear" w:color="auto" w:fill="FFFFFF"/>
        <w:jc w:val="center"/>
        <w:rPr>
          <w:rFonts w:ascii="黑体" w:hAnsi="宋体" w:eastAsia="黑体" w:cs="黑体"/>
          <w:b/>
          <w:bCs/>
          <w:color w:val="000000"/>
          <w:sz w:val="32"/>
          <w:szCs w:val="32"/>
          <w:shd w:val="clear" w:color="auto" w:fill="FFFFFF"/>
        </w:rPr>
      </w:pPr>
    </w:p>
    <w:p w14:paraId="0C1319DC">
      <w:pPr>
        <w:pStyle w:val="5"/>
        <w:widowControl/>
        <w:shd w:val="clear" w:color="auto" w:fill="FFFFFF"/>
        <w:jc w:val="center"/>
        <w:rPr>
          <w:rFonts w:ascii="黑体" w:hAnsi="宋体" w:eastAsia="黑体" w:cs="黑体"/>
          <w:b/>
          <w:bCs/>
          <w:color w:val="000000"/>
          <w:sz w:val="32"/>
          <w:szCs w:val="32"/>
          <w:shd w:val="clear" w:color="auto" w:fill="FFFFFF"/>
        </w:rPr>
      </w:pPr>
    </w:p>
    <w:p w14:paraId="3CA5FA6D">
      <w:pPr>
        <w:pStyle w:val="5"/>
        <w:widowControl/>
        <w:shd w:val="clear" w:color="auto" w:fill="FFFFFF"/>
        <w:jc w:val="center"/>
        <w:rPr>
          <w:rFonts w:ascii="黑体" w:hAnsi="宋体" w:eastAsia="黑体" w:cs="黑体"/>
          <w:b/>
          <w:bCs/>
          <w:color w:val="000000"/>
          <w:sz w:val="32"/>
          <w:szCs w:val="32"/>
          <w:shd w:val="clear" w:color="auto" w:fill="FFFFFF"/>
        </w:rPr>
      </w:pPr>
    </w:p>
    <w:p w14:paraId="0429D537">
      <w:pPr>
        <w:pStyle w:val="5"/>
        <w:widowControl/>
        <w:shd w:val="clear" w:color="auto" w:fill="FFFFFF"/>
        <w:jc w:val="center"/>
        <w:rPr>
          <w:rFonts w:ascii="黑体" w:hAnsi="宋体" w:eastAsia="黑体" w:cs="黑体"/>
          <w:b/>
          <w:bCs/>
          <w:color w:val="000000"/>
          <w:sz w:val="32"/>
          <w:szCs w:val="32"/>
          <w:shd w:val="clear" w:color="auto" w:fill="FFFFFF"/>
        </w:rPr>
      </w:pPr>
    </w:p>
    <w:p w14:paraId="34746B88">
      <w:pPr>
        <w:pStyle w:val="5"/>
        <w:widowControl/>
        <w:shd w:val="clear" w:color="auto" w:fill="FFFFFF"/>
        <w:jc w:val="center"/>
        <w:rPr>
          <w:rFonts w:ascii="微软雅黑" w:hAnsi="微软雅黑" w:eastAsia="微软雅黑" w:cs="微软雅黑"/>
          <w:color w:val="000000"/>
        </w:rPr>
      </w:pPr>
      <w:bookmarkStart w:id="2" w:name="_GoBack"/>
      <w:bookmarkEnd w:id="2"/>
      <w:r>
        <w:rPr>
          <w:rFonts w:ascii="黑体" w:hAnsi="宋体" w:eastAsia="黑体" w:cs="黑体"/>
          <w:b/>
          <w:bCs/>
          <w:color w:val="000000"/>
          <w:sz w:val="32"/>
          <w:szCs w:val="32"/>
          <w:shd w:val="clear" w:color="auto" w:fill="FFFFFF"/>
        </w:rPr>
        <w:t>目</w:t>
      </w:r>
      <w:r>
        <w:rPr>
          <w:rFonts w:hint="eastAsia" w:ascii="黑体" w:hAnsi="宋体" w:eastAsia="黑体" w:cs="黑体"/>
          <w:b/>
          <w:bCs/>
          <w:color w:val="000000"/>
          <w:sz w:val="32"/>
          <w:szCs w:val="32"/>
          <w:shd w:val="clear" w:color="auto" w:fill="FFFFFF"/>
        </w:rPr>
        <w:t>  录</w:t>
      </w:r>
    </w:p>
    <w:p w14:paraId="0E3F91A2">
      <w:pPr>
        <w:pStyle w:val="5"/>
        <w:widowControl/>
        <w:shd w:val="clear" w:color="auto" w:fill="FFFFFF"/>
        <w:spacing w:line="560" w:lineRule="atLeast"/>
        <w:ind w:firstLine="422"/>
        <w:jc w:val="left"/>
        <w:rPr>
          <w:rFonts w:ascii="微软雅黑" w:hAnsi="微软雅黑" w:eastAsia="微软雅黑" w:cs="微软雅黑"/>
          <w:color w:val="000000"/>
        </w:rPr>
      </w:pPr>
      <w:r>
        <w:rPr>
          <w:rFonts w:ascii="楷体" w:hAnsi="楷体" w:eastAsia="楷体" w:cs="楷体"/>
          <w:b/>
          <w:bCs/>
          <w:color w:val="000000"/>
          <w:sz w:val="32"/>
          <w:szCs w:val="32"/>
          <w:shd w:val="clear" w:color="auto" w:fill="FFFFFF"/>
        </w:rPr>
        <w:t>第一部</w:t>
      </w:r>
      <w:r>
        <w:rPr>
          <w:rFonts w:hint="eastAsia" w:ascii="楷体" w:hAnsi="楷体" w:eastAsia="楷体" w:cs="楷体"/>
          <w:b/>
          <w:bCs/>
          <w:color w:val="000000"/>
          <w:sz w:val="32"/>
          <w:szCs w:val="32"/>
          <w:shd w:val="clear" w:color="auto" w:fill="FFFFFF"/>
        </w:rPr>
        <w:t>分 部门预算公开管理文件</w:t>
      </w:r>
      <w:r>
        <w:rPr>
          <w:rFonts w:hint="eastAsia" w:ascii="楷体" w:hAnsi="楷体" w:eastAsia="楷体" w:cs="楷体"/>
          <w:color w:val="000000"/>
          <w:sz w:val="32"/>
          <w:szCs w:val="32"/>
          <w:shd w:val="clear" w:color="auto" w:fill="FFFFFF"/>
        </w:rPr>
        <w:t> </w:t>
      </w:r>
    </w:p>
    <w:p w14:paraId="44F24347">
      <w:pPr>
        <w:pStyle w:val="5"/>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第二部分 部门（单位）概况</w:t>
      </w:r>
    </w:p>
    <w:p w14:paraId="298ACD88">
      <w:pPr>
        <w:pStyle w:val="5"/>
        <w:widowControl/>
        <w:shd w:val="clear" w:color="auto" w:fill="FFFFFF"/>
        <w:spacing w:line="560" w:lineRule="atLeast"/>
        <w:ind w:firstLine="42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一、部门</w:t>
      </w:r>
      <w:r>
        <w:rPr>
          <w:rFonts w:hint="eastAsia" w:ascii="仿宋_GB2312" w:hAnsi="微软雅黑" w:eastAsia="仿宋_GB2312" w:cs="仿宋_GB2312"/>
          <w:color w:val="000000"/>
          <w:sz w:val="32"/>
          <w:szCs w:val="32"/>
          <w:shd w:val="clear" w:color="auto" w:fill="FFFFFF"/>
        </w:rPr>
        <w:t>（单位）职责 </w:t>
      </w:r>
    </w:p>
    <w:p w14:paraId="19D87F9C">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二、机构设置 </w:t>
      </w:r>
    </w:p>
    <w:p w14:paraId="46345441">
      <w:pPr>
        <w:pStyle w:val="5"/>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第三部分 2025年部门（单位）预算表</w:t>
      </w:r>
      <w:r>
        <w:rPr>
          <w:rFonts w:hint="eastAsia" w:ascii="楷体" w:hAnsi="楷体" w:eastAsia="楷体" w:cs="楷体"/>
          <w:color w:val="000000"/>
          <w:sz w:val="32"/>
          <w:szCs w:val="32"/>
          <w:shd w:val="clear" w:color="auto" w:fill="FFFFFF"/>
        </w:rPr>
        <w:t> </w:t>
      </w:r>
    </w:p>
    <w:p w14:paraId="2B990EEF">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一、收支预算总表</w:t>
      </w:r>
    </w:p>
    <w:p w14:paraId="2C8CFFF8">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二、收入预算总表</w:t>
      </w:r>
    </w:p>
    <w:p w14:paraId="75E62BC5">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三、支出预算总表</w:t>
      </w:r>
    </w:p>
    <w:p w14:paraId="7A7B1123">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四、财政拨款收支预算总表</w:t>
      </w:r>
    </w:p>
    <w:p w14:paraId="20B0D943">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五、一般公共预算支出表</w:t>
      </w:r>
    </w:p>
    <w:p w14:paraId="00E32D6A">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六、一般公共预算基本支出表</w:t>
      </w:r>
    </w:p>
    <w:p w14:paraId="2B2B61AF">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七、财政拨款预算“三公”经费支出表</w:t>
      </w:r>
    </w:p>
    <w:p w14:paraId="24657A3F">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八、政府性基金预算支出表</w:t>
      </w:r>
    </w:p>
    <w:p w14:paraId="1D80D54C">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九、国有资本经营预算支出表</w:t>
      </w:r>
    </w:p>
    <w:p w14:paraId="417B8184">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十、项目支出预算表</w:t>
      </w:r>
    </w:p>
    <w:p w14:paraId="442374F0">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十一、支出功能分类预算表</w:t>
      </w:r>
    </w:p>
    <w:p w14:paraId="658A53A5">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十二、支出经济分类预算表（政府预算）</w:t>
      </w:r>
    </w:p>
    <w:p w14:paraId="5CDACF9D">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十三、支出经济分类预算表（部门预算）</w:t>
      </w:r>
    </w:p>
    <w:p w14:paraId="2257307E">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十四、债务支出预算表</w:t>
      </w:r>
    </w:p>
    <w:p w14:paraId="1EA8775C">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十五、政府采购支出预算表</w:t>
      </w:r>
    </w:p>
    <w:p w14:paraId="772DA876">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十六、政府购买服务支出预算表</w:t>
      </w:r>
    </w:p>
    <w:p w14:paraId="42E8620E">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十七、部门（单位）整体绩效目标表</w:t>
      </w:r>
    </w:p>
    <w:p w14:paraId="57FA4652">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十八、部门预算项目（政策）绩效目标表</w:t>
      </w:r>
    </w:p>
    <w:p w14:paraId="2B85CD66">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十九、部门管理专项资金预算表</w:t>
      </w:r>
    </w:p>
    <w:p w14:paraId="3837DB89">
      <w:pPr>
        <w:pStyle w:val="5"/>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第四部分 2025年部门（单位）预算情况说明</w:t>
      </w:r>
      <w:r>
        <w:rPr>
          <w:rFonts w:hint="eastAsia" w:ascii="楷体" w:hAnsi="楷体" w:eastAsia="楷体" w:cs="楷体"/>
          <w:color w:val="000000"/>
          <w:sz w:val="32"/>
          <w:szCs w:val="32"/>
          <w:shd w:val="clear" w:color="auto" w:fill="FFFFFF"/>
        </w:rPr>
        <w:t> </w:t>
      </w:r>
    </w:p>
    <w:p w14:paraId="5F85826C">
      <w:pPr>
        <w:pStyle w:val="5"/>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第五部分 名词解释</w:t>
      </w:r>
      <w:r>
        <w:rPr>
          <w:rFonts w:hint="eastAsia" w:ascii="楷体" w:hAnsi="楷体" w:eastAsia="楷体" w:cs="楷体"/>
          <w:color w:val="000000"/>
          <w:sz w:val="32"/>
          <w:szCs w:val="32"/>
          <w:shd w:val="clear" w:color="auto" w:fill="FFFFFF"/>
        </w:rPr>
        <w:t> </w:t>
      </w:r>
    </w:p>
    <w:p w14:paraId="74415C38">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13BFEC53">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4346459C">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2F5C151F">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1AE6F3FB">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42581B42">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6DC28092">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390EB759">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0C9AC839">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62325520">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2FDFD54D">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34D904EB">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7D60BF1D">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61AA7F1E">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612D14F5">
      <w:pPr>
        <w:pStyle w:val="5"/>
        <w:widowControl/>
        <w:shd w:val="clear" w:color="auto" w:fill="FFFFFF"/>
        <w:spacing w:line="60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第一部分  部门预算公开管理文件</w:t>
      </w:r>
    </w:p>
    <w:p w14:paraId="7BECDE5B">
      <w:pPr>
        <w:pStyle w:val="5"/>
        <w:widowControl/>
        <w:shd w:val="clear" w:color="auto" w:fill="FFFFFF"/>
        <w:spacing w:line="600" w:lineRule="atLeast"/>
        <w:jc w:val="center"/>
        <w:rPr>
          <w:rFonts w:ascii="微软雅黑" w:hAnsi="微软雅黑" w:eastAsia="微软雅黑" w:cs="微软雅黑"/>
          <w:color w:val="000000"/>
        </w:rPr>
      </w:pPr>
      <w:r>
        <w:rPr>
          <w:rFonts w:ascii="仿宋" w:hAnsi="仿宋" w:eastAsia="仿宋" w:cs="仿宋"/>
          <w:color w:val="333333"/>
          <w:sz w:val="32"/>
          <w:szCs w:val="32"/>
          <w:shd w:val="clear" w:color="auto" w:fill="FFFFFF"/>
        </w:rPr>
        <w:t>　鞍山市</w:t>
      </w:r>
      <w:r>
        <w:rPr>
          <w:rFonts w:hint="eastAsia" w:ascii="仿宋" w:hAnsi="仿宋" w:eastAsia="仿宋" w:cs="仿宋"/>
          <w:color w:val="333333"/>
          <w:sz w:val="32"/>
          <w:szCs w:val="32"/>
          <w:shd w:val="clear" w:color="auto" w:fill="FFFFFF"/>
        </w:rPr>
        <w:t>预决算信息公开管理暂行办法</w:t>
      </w:r>
    </w:p>
    <w:p w14:paraId="670C240A">
      <w:pPr>
        <w:pStyle w:val="5"/>
        <w:widowControl/>
        <w:shd w:val="clear" w:color="auto" w:fill="FFFFFF"/>
        <w:spacing w:line="600" w:lineRule="atLeast"/>
        <w:jc w:val="center"/>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（鞍财预〔2019〕313号）</w:t>
      </w:r>
    </w:p>
    <w:p w14:paraId="3C46707F">
      <w:pPr>
        <w:pStyle w:val="5"/>
        <w:widowControl/>
        <w:shd w:val="clear" w:color="auto" w:fill="FFFFFF"/>
        <w:spacing w:after="156" w:line="600" w:lineRule="atLeast"/>
        <w:jc w:val="center"/>
        <w:rPr>
          <w:rFonts w:ascii="微软雅黑" w:hAnsi="微软雅黑" w:eastAsia="微软雅黑" w:cs="微软雅黑"/>
          <w:color w:val="000000"/>
        </w:rPr>
      </w:pPr>
      <w:r>
        <w:rPr>
          <w:rFonts w:hint="eastAsia" w:ascii="黑体" w:hAnsi="宋体" w:eastAsia="黑体" w:cs="黑体"/>
          <w:color w:val="333333"/>
          <w:sz w:val="32"/>
          <w:szCs w:val="32"/>
          <w:shd w:val="clear" w:color="auto" w:fill="FFFFFF"/>
        </w:rPr>
        <w:t>第一章  公开原则</w:t>
      </w:r>
    </w:p>
    <w:p w14:paraId="32BC6D52">
      <w:pPr>
        <w:pStyle w:val="5"/>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72DA9A16">
      <w:pPr>
        <w:pStyle w:val="5"/>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第二条  预决算信息以公开为常态，不公开为例外，依法依规公开预决算信息。除涉及国家秘密外，不得少公开、不公开应当公开的事项，保证公开内容全面、真实、完整。</w:t>
      </w:r>
    </w:p>
    <w:p w14:paraId="042311B3">
      <w:pPr>
        <w:pStyle w:val="5"/>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第三条  公开及时，内容准确，形式规范。方便社会监督，公开内容让公众找得着、看得懂、能监督。</w:t>
      </w:r>
    </w:p>
    <w:p w14:paraId="3C633A5D">
      <w:pPr>
        <w:pStyle w:val="5"/>
        <w:widowControl/>
        <w:shd w:val="clear" w:color="auto" w:fill="FFFFFF"/>
        <w:spacing w:after="156" w:line="600" w:lineRule="atLeast"/>
        <w:jc w:val="center"/>
        <w:rPr>
          <w:rFonts w:ascii="微软雅黑" w:hAnsi="微软雅黑" w:eastAsia="微软雅黑" w:cs="微软雅黑"/>
          <w:color w:val="000000"/>
        </w:rPr>
      </w:pPr>
      <w:r>
        <w:rPr>
          <w:rFonts w:ascii="Tahoma" w:hAnsi="Tahoma" w:eastAsia="Tahoma" w:cs="Tahoma"/>
          <w:color w:val="111111"/>
          <w:sz w:val="18"/>
          <w:szCs w:val="18"/>
          <w:shd w:val="clear" w:color="auto" w:fill="FFFFFF"/>
        </w:rPr>
        <w:t>　</w:t>
      </w:r>
      <w:r>
        <w:rPr>
          <w:rFonts w:hint="eastAsia" w:ascii="黑体" w:hAnsi="宋体" w:eastAsia="黑体" w:cs="黑体"/>
          <w:color w:val="333333"/>
          <w:sz w:val="32"/>
          <w:szCs w:val="32"/>
          <w:shd w:val="clear" w:color="auto" w:fill="FFFFFF"/>
        </w:rPr>
        <w:t>第二章</w:t>
      </w:r>
      <w:r>
        <w:rPr>
          <w:rFonts w:hint="eastAsia" w:ascii="宋体" w:hAnsi="宋体" w:eastAsia="宋体" w:cs="宋体"/>
          <w:color w:val="333333"/>
          <w:sz w:val="32"/>
          <w:szCs w:val="32"/>
          <w:shd w:val="clear" w:color="auto" w:fill="FFFFFF"/>
        </w:rPr>
        <w:t>  </w:t>
      </w:r>
      <w:r>
        <w:rPr>
          <w:rFonts w:hint="eastAsia" w:ascii="黑体" w:hAnsi="宋体" w:eastAsia="黑体" w:cs="黑体"/>
          <w:color w:val="333333"/>
          <w:sz w:val="32"/>
          <w:szCs w:val="32"/>
          <w:shd w:val="clear" w:color="auto" w:fill="FFFFFF"/>
        </w:rPr>
        <w:t>公开主体和职责</w:t>
      </w:r>
      <w:r>
        <w:rPr>
          <w:rFonts w:ascii="Tahoma" w:hAnsi="Tahoma" w:eastAsia="Tahoma" w:cs="Tahoma"/>
          <w:color w:val="111111"/>
          <w:sz w:val="18"/>
          <w:szCs w:val="18"/>
          <w:shd w:val="clear" w:color="auto" w:fill="FFFFFF"/>
        </w:rPr>
        <w:t> </w:t>
      </w:r>
    </w:p>
    <w:p w14:paraId="1CB2E9AA">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第四条  部门负责本单位及所属单位的预决算信息公开工作，履行下列职责：</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29BE2C89">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（一）制定本单位及所属单位预决算信息公开的工作方案；</w:t>
      </w:r>
    </w:p>
    <w:p w14:paraId="73560611">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（二）按规定公开本单位及所属单位的预决算信息；</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359A1873">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（三）对所属单位预决算信息公开工作进行指导、监督和检查；</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559BD4C0">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（四）按规定做好本单位及所属单位预决算信息公开中的答复工作；</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3908BD7B">
      <w:pPr>
        <w:pStyle w:val="5"/>
        <w:widowControl/>
        <w:shd w:val="clear" w:color="auto" w:fill="FFFFFF"/>
        <w:spacing w:line="600" w:lineRule="atLeast"/>
        <w:ind w:firstLine="640"/>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（五）法律、法规、规章规定的其他职责。</w:t>
      </w:r>
      <w:r>
        <w:rPr>
          <w:rFonts w:hint="eastAsia" w:ascii="宋体" w:hAnsi="宋体" w:eastAsia="宋体" w:cs="宋体"/>
          <w:color w:val="333333"/>
          <w:sz w:val="32"/>
          <w:szCs w:val="32"/>
          <w:shd w:val="clear" w:color="auto" w:fill="FFFFFF"/>
        </w:rPr>
        <w:t> </w:t>
      </w:r>
    </w:p>
    <w:p w14:paraId="65206C98">
      <w:pPr>
        <w:pStyle w:val="5"/>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333333"/>
          <w:sz w:val="32"/>
          <w:szCs w:val="32"/>
          <w:shd w:val="clear" w:color="auto" w:fill="FFFFFF"/>
        </w:rPr>
        <w:t>第三章  公开内容</w:t>
      </w:r>
    </w:p>
    <w:p w14:paraId="30BB5EB7">
      <w:pPr>
        <w:pStyle w:val="5"/>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第五条  部门预算信息（涉密信息除外）公开内容包括：</w:t>
      </w:r>
    </w:p>
    <w:p w14:paraId="31787178">
      <w:pPr>
        <w:pStyle w:val="5"/>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（一）部门概况：主要包括部门主要职责、预算单位构成等。</w:t>
      </w:r>
    </w:p>
    <w:p w14:paraId="5889B0B3">
      <w:pPr>
        <w:pStyle w:val="5"/>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（二）部门预算表。主要包括</w:t>
      </w:r>
      <w:r>
        <w:rPr>
          <w:rFonts w:hint="eastAsia" w:ascii="仿宋" w:hAnsi="仿宋" w:eastAsia="仿宋" w:cs="仿宋"/>
          <w:color w:val="000000"/>
          <w:sz w:val="32"/>
          <w:szCs w:val="32"/>
          <w:shd w:val="clear" w:color="auto"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ascii="Tahoma" w:hAnsi="Tahoma" w:eastAsia="Tahoma" w:cs="Tahoma"/>
          <w:color w:val="000000"/>
          <w:sz w:val="18"/>
          <w:szCs w:val="18"/>
          <w:shd w:val="clear" w:color="auto" w:fill="FFFFFF"/>
        </w:rPr>
        <w:t> </w:t>
      </w:r>
    </w:p>
    <w:p w14:paraId="464DEA88">
      <w:pPr>
        <w:pStyle w:val="5"/>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（三）部门预算情况说明。主要包括</w:t>
      </w:r>
      <w:r>
        <w:rPr>
          <w:rFonts w:hint="eastAsia" w:ascii="仿宋" w:hAnsi="仿宋" w:eastAsia="仿宋" w:cs="仿宋"/>
          <w:color w:val="000000"/>
          <w:sz w:val="32"/>
          <w:szCs w:val="32"/>
          <w:shd w:val="clear" w:color="auto" w:fill="FFFFFF"/>
        </w:rPr>
        <w:t>部门预算收支增减变化情况说明、</w:t>
      </w:r>
      <w:r>
        <w:rPr>
          <w:rFonts w:hint="eastAsia" w:ascii="仿宋" w:hAnsi="仿宋" w:eastAsia="仿宋" w:cs="仿宋"/>
          <w:color w:val="333333"/>
          <w:sz w:val="32"/>
          <w:szCs w:val="32"/>
          <w:shd w:val="clear" w:color="auto" w:fill="FFFFFF"/>
        </w:rPr>
        <w:t>“三公经费”预算增减变化情况说明、</w:t>
      </w:r>
      <w:r>
        <w:rPr>
          <w:rFonts w:hint="eastAsia" w:ascii="仿宋" w:hAnsi="仿宋" w:eastAsia="仿宋" w:cs="仿宋"/>
          <w:color w:val="000000"/>
          <w:sz w:val="32"/>
          <w:szCs w:val="32"/>
          <w:shd w:val="clear" w:color="auto" w:fill="FFFFFF"/>
        </w:rPr>
        <w:t>机关运行经费安排情况说明、政府采购安排情况说明、国有资产占有使用情况说明、预算绩效目标情况说明等。</w:t>
      </w:r>
    </w:p>
    <w:p w14:paraId="144FBD10">
      <w:pPr>
        <w:pStyle w:val="5"/>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（四）名词解释。主要对涉及本部门预算公开表中的专业名词进行解释说明。</w:t>
      </w:r>
    </w:p>
    <w:p w14:paraId="7F727E60">
      <w:pPr>
        <w:pStyle w:val="5"/>
        <w:widowControl/>
        <w:shd w:val="clear" w:color="auto" w:fill="FFFFFF"/>
        <w:spacing w:line="600" w:lineRule="atLeast"/>
        <w:ind w:firstLine="640"/>
        <w:jc w:val="left"/>
        <w:rPr>
          <w:rFonts w:ascii="微软雅黑" w:hAnsi="微软雅黑" w:eastAsia="微软雅黑" w:cs="微软雅黑"/>
          <w:color w:val="000000"/>
        </w:rPr>
      </w:pPr>
      <w:r>
        <w:rPr>
          <w:rFonts w:ascii="Tahoma" w:hAnsi="Tahoma" w:eastAsia="Tahoma" w:cs="Tahoma"/>
          <w:color w:val="000000"/>
          <w:sz w:val="18"/>
          <w:szCs w:val="18"/>
          <w:shd w:val="clear" w:color="auto" w:fill="FFFFFF"/>
        </w:rPr>
        <w:t>　</w:t>
      </w:r>
      <w:r>
        <w:rPr>
          <w:rFonts w:hint="eastAsia" w:ascii="仿宋" w:hAnsi="仿宋" w:eastAsia="仿宋" w:cs="仿宋"/>
          <w:color w:val="000000"/>
          <w:sz w:val="32"/>
          <w:szCs w:val="32"/>
          <w:shd w:val="clear" w:color="auto" w:fill="FFFFFF"/>
        </w:rPr>
        <w:t>第六条 部门决算信息（涉密信息除外）公开内容包括：</w:t>
      </w:r>
      <w:r>
        <w:rPr>
          <w:rFonts w:ascii="Tahoma" w:hAnsi="Tahoma" w:eastAsia="Tahoma" w:cs="Tahoma"/>
          <w:color w:val="000000"/>
          <w:sz w:val="18"/>
          <w:szCs w:val="18"/>
          <w:shd w:val="clear" w:color="auto" w:fill="FFFFFF"/>
        </w:rPr>
        <w:t> </w:t>
      </w:r>
    </w:p>
    <w:p w14:paraId="76E89573">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（一）部门概况。主要包括部门主要职能、部门决算单位构成情况等。</w:t>
      </w:r>
      <w:r>
        <w:rPr>
          <w:rFonts w:ascii="Tahoma" w:hAnsi="Tahoma" w:eastAsia="Tahoma" w:cs="Tahoma"/>
          <w:color w:val="000000"/>
          <w:sz w:val="18"/>
          <w:szCs w:val="18"/>
          <w:shd w:val="clear" w:color="auto" w:fill="FFFFFF"/>
        </w:rPr>
        <w:t> </w:t>
      </w:r>
    </w:p>
    <w:p w14:paraId="077FC479">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ascii="Tahoma" w:hAnsi="Tahoma" w:eastAsia="Tahoma" w:cs="Tahoma"/>
          <w:color w:val="000000"/>
          <w:sz w:val="18"/>
          <w:szCs w:val="18"/>
          <w:shd w:val="clear" w:color="auto" w:fill="FFFFFF"/>
        </w:rPr>
        <w:t> </w:t>
      </w:r>
    </w:p>
    <w:p w14:paraId="584A7D6E">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ascii="Tahoma" w:hAnsi="Tahoma" w:eastAsia="Tahoma" w:cs="Tahoma"/>
          <w:color w:val="000000"/>
          <w:sz w:val="18"/>
          <w:szCs w:val="18"/>
          <w:shd w:val="clear" w:color="auto" w:fill="FFFFFF"/>
        </w:rPr>
        <w:t> </w:t>
      </w:r>
    </w:p>
    <w:p w14:paraId="0C201BE8">
      <w:pPr>
        <w:pStyle w:val="5"/>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（四）名词解释。主要对涉及本部门决算公开表中的专业名称进行解释说明。</w:t>
      </w:r>
    </w:p>
    <w:p w14:paraId="1B5842E4">
      <w:pPr>
        <w:pStyle w:val="5"/>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第四章  公开方式</w:t>
      </w:r>
    </w:p>
    <w:p w14:paraId="3F69D10F">
      <w:pPr>
        <w:pStyle w:val="5"/>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第七条  预决算信息在本部门门户网站和市政府门户网站设立的“预决算公开”专栏进行公开，并保持长期公开状态，便于社会公众查阅和监督。</w:t>
      </w:r>
    </w:p>
    <w:p w14:paraId="69F0F4A8">
      <w:pPr>
        <w:pStyle w:val="5"/>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第五章  公开程序</w:t>
      </w:r>
    </w:p>
    <w:p w14:paraId="7628BEF2">
      <w:pPr>
        <w:pStyle w:val="5"/>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第八条  根据本级财政部门批复的部门预算、部门决算及报表，应当在批复后20日内由本部门公开预决算信息。</w:t>
      </w:r>
    </w:p>
    <w:p w14:paraId="76B97367">
      <w:pPr>
        <w:pStyle w:val="5"/>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第六章  附  则</w:t>
      </w:r>
    </w:p>
    <w:p w14:paraId="0BF0268F">
      <w:pPr>
        <w:pStyle w:val="5"/>
        <w:widowControl/>
        <w:shd w:val="clear" w:color="auto" w:fill="FFFFFF"/>
        <w:spacing w:line="600" w:lineRule="atLeast"/>
        <w:ind w:firstLine="640"/>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第九条  本办法自印发之日起实行。</w:t>
      </w:r>
    </w:p>
    <w:p w14:paraId="6DBC7205">
      <w:pPr>
        <w:pStyle w:val="5"/>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第二部分  部门（单位）概况</w:t>
      </w:r>
    </w:p>
    <w:p w14:paraId="38758EC5">
      <w:pPr>
        <w:pStyle w:val="5"/>
        <w:widowControl/>
        <w:shd w:val="clear" w:color="auto" w:fill="FFFFFF"/>
        <w:spacing w:line="560" w:lineRule="atLeast"/>
        <w:jc w:val="left"/>
        <w:outlineLvl w:val="0"/>
        <w:rPr>
          <w:rFonts w:ascii="微软雅黑" w:hAnsi="微软雅黑" w:eastAsia="微软雅黑" w:cs="微软雅黑"/>
          <w:color w:val="000000"/>
        </w:rPr>
      </w:pPr>
      <w:r>
        <w:rPr>
          <w:rFonts w:hint="eastAsia" w:ascii="仿宋_GB2312" w:hAnsi="微软雅黑" w:eastAsia="仿宋_GB2312" w:cs="仿宋_GB2312"/>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 一、部门（单位）职责</w:t>
      </w:r>
      <w:r>
        <w:rPr>
          <w:rFonts w:hint="eastAsia" w:ascii="仿宋_GB2312" w:hAnsi="微软雅黑" w:eastAsia="仿宋_GB2312" w:cs="仿宋_GB2312"/>
          <w:color w:val="000000"/>
          <w:sz w:val="32"/>
          <w:szCs w:val="32"/>
          <w:shd w:val="clear" w:color="auto" w:fill="FFFFFF"/>
        </w:rPr>
        <w:t> </w:t>
      </w:r>
    </w:p>
    <w:p w14:paraId="6727CF9C">
      <w:pPr>
        <w:pStyle w:val="5"/>
        <w:widowControl/>
        <w:shd w:val="clear" w:color="auto" w:fill="FFFFFF"/>
        <w:ind w:firstLine="640"/>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（一）统筹管理事业编制人员，协助镇党委、镇政府调配事业编制人员在综合办事机构的定岗定责等工作；</w:t>
      </w:r>
    </w:p>
    <w:p w14:paraId="4347533F">
      <w:pPr>
        <w:pStyle w:val="5"/>
        <w:widowControl/>
        <w:shd w:val="clear" w:color="auto" w:fill="FFFFFF"/>
        <w:ind w:firstLine="640"/>
        <w:rPr>
          <w:rFonts w:ascii="仿宋_GB2312" w:hAnsi="微软雅黑" w:eastAsia="仿宋_GB2312" w:cs="仿宋_GB2312"/>
          <w:color w:val="000000"/>
          <w:sz w:val="32"/>
          <w:szCs w:val="32"/>
          <w:shd w:val="clear" w:color="auto" w:fill="FFFFFF"/>
        </w:rPr>
      </w:pPr>
      <w:r>
        <w:rPr>
          <w:rFonts w:hint="eastAsia" w:ascii="仿宋" w:hAnsi="仿宋" w:eastAsia="仿宋" w:cs="仿宋"/>
          <w:color w:val="000000"/>
          <w:sz w:val="32"/>
          <w:szCs w:val="32"/>
          <w:shd w:val="clear" w:color="auto" w:fill="FFFFFF"/>
        </w:rPr>
        <w:t>（二）</w:t>
      </w:r>
      <w:r>
        <w:rPr>
          <w:rFonts w:hint="eastAsia" w:ascii="仿宋_GB2312" w:hAnsi="微软雅黑" w:eastAsia="仿宋_GB2312" w:cs="仿宋_GB2312"/>
          <w:color w:val="000000"/>
          <w:sz w:val="32"/>
          <w:szCs w:val="32"/>
          <w:shd w:val="clear" w:color="auto" w:fill="FFFFFF"/>
        </w:rPr>
        <w:t>负责为乡镇综合办事机构提供服务保障工作；</w:t>
      </w:r>
    </w:p>
    <w:p w14:paraId="5F535599">
      <w:pPr>
        <w:pStyle w:val="5"/>
        <w:widowControl/>
        <w:shd w:val="clear" w:color="auto" w:fill="FFFFFF"/>
        <w:ind w:firstLine="640"/>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（三）负责乡镇退役军人服务保障工作；</w:t>
      </w:r>
    </w:p>
    <w:p w14:paraId="5F057B52">
      <w:pPr>
        <w:pStyle w:val="5"/>
        <w:widowControl/>
        <w:shd w:val="clear" w:color="auto" w:fill="FFFFFF"/>
        <w:ind w:firstLine="64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（四）负责完成镇党委、镇政府及上级业务部门交办的其他工作。</w:t>
      </w:r>
    </w:p>
    <w:p w14:paraId="4CD5F21B">
      <w:pPr>
        <w:pStyle w:val="5"/>
        <w:widowControl/>
        <w:shd w:val="clear" w:color="auto" w:fill="FFFFFF"/>
        <w:spacing w:line="560" w:lineRule="atLeast"/>
        <w:jc w:val="left"/>
        <w:outlineLvl w:val="0"/>
        <w:rPr>
          <w:rFonts w:ascii="微软雅黑" w:hAnsi="微软雅黑" w:eastAsia="微软雅黑" w:cs="微软雅黑"/>
          <w:color w:val="000000"/>
        </w:rPr>
      </w:pPr>
      <w:r>
        <w:rPr>
          <w:rFonts w:hint="eastAsia" w:ascii="仿宋_GB2312" w:hAnsi="微软雅黑" w:eastAsia="仿宋_GB2312" w:cs="仿宋_GB2312"/>
          <w:b/>
          <w:bCs/>
          <w:color w:val="000000"/>
          <w:sz w:val="32"/>
          <w:szCs w:val="32"/>
          <w:shd w:val="clear" w:color="auto" w:fill="FFFFFF"/>
        </w:rPr>
        <w:t>    二、机构设置</w:t>
      </w:r>
      <w:r>
        <w:rPr>
          <w:rFonts w:hint="eastAsia" w:ascii="仿宋_GB2312" w:hAnsi="微软雅黑" w:eastAsia="仿宋_GB2312" w:cs="仿宋_GB2312"/>
          <w:color w:val="000000"/>
          <w:sz w:val="32"/>
          <w:szCs w:val="32"/>
          <w:shd w:val="clear" w:color="auto" w:fill="FFFFFF"/>
        </w:rPr>
        <w:t> </w:t>
      </w:r>
    </w:p>
    <w:p w14:paraId="2641C7C9">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鞍山市千山区甘泉镇综合事务服务中心（部门名称或单位名称）2025年度部门（单位）预算仅包括鞍山市千山区甘泉镇综合事务服务中心本级预算，无其他下属单位预算。</w:t>
      </w:r>
    </w:p>
    <w:p w14:paraId="2C4CBE4B">
      <w:pPr>
        <w:pStyle w:val="5"/>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第三部分 部门（单位）预算表</w:t>
      </w:r>
      <w:r>
        <w:rPr>
          <w:rFonts w:hint="eastAsia" w:ascii="楷体" w:hAnsi="楷体" w:eastAsia="楷体" w:cs="楷体"/>
          <w:color w:val="000000"/>
          <w:sz w:val="32"/>
          <w:szCs w:val="32"/>
          <w:shd w:val="clear" w:color="auto" w:fill="FFFFFF"/>
        </w:rPr>
        <w:t> </w:t>
      </w:r>
    </w:p>
    <w:p w14:paraId="2D667114">
      <w:pPr>
        <w:pStyle w:val="5"/>
        <w:widowControl/>
        <w:shd w:val="clear" w:color="auto" w:fill="FFFFFF"/>
        <w:spacing w:line="560" w:lineRule="atLeast"/>
        <w:jc w:val="center"/>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2025年部门（单位）预算表（具体明细见附表） </w:t>
      </w:r>
    </w:p>
    <w:p w14:paraId="044D3D41">
      <w:pPr>
        <w:pStyle w:val="5"/>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第四部分</w:t>
      </w:r>
      <w:r>
        <w:rPr>
          <w:rFonts w:hint="eastAsia" w:ascii="宋体" w:hAnsi="宋体" w:eastAsia="宋体" w:cs="宋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部门（单位）预算情况说明</w:t>
      </w:r>
      <w:r>
        <w:rPr>
          <w:rFonts w:hint="eastAsia" w:ascii="楷体" w:hAnsi="楷体" w:eastAsia="楷体" w:cs="楷体"/>
          <w:color w:val="000000"/>
          <w:sz w:val="32"/>
          <w:szCs w:val="32"/>
          <w:shd w:val="clear" w:color="auto" w:fill="FFFFFF"/>
        </w:rPr>
        <w:t> </w:t>
      </w:r>
    </w:p>
    <w:p w14:paraId="75EE08DA">
      <w:pPr>
        <w:pStyle w:val="5"/>
        <w:widowControl/>
        <w:shd w:val="clear" w:color="auto" w:fill="FFFFFF"/>
        <w:spacing w:line="560" w:lineRule="atLeast"/>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    一、收支预算的总体说明</w:t>
      </w:r>
      <w:r>
        <w:rPr>
          <w:rFonts w:hint="eastAsia" w:ascii="楷体" w:hAnsi="楷体" w:eastAsia="楷体" w:cs="楷体"/>
          <w:color w:val="000000"/>
          <w:sz w:val="32"/>
          <w:szCs w:val="32"/>
          <w:shd w:val="clear" w:color="auto" w:fill="FFFFFF"/>
        </w:rPr>
        <w:t> </w:t>
      </w:r>
    </w:p>
    <w:p w14:paraId="6AA0ABBD">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按照综合预算的原则，鞍山市千山区甘泉镇综合事务服务中心部门及所属单位所有收入和支出均纳入部门预算管理，2025年收支总预算831.02万元。</w:t>
      </w:r>
    </w:p>
    <w:p w14:paraId="4568B179">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（一）收入预算831.02万元，其中：</w:t>
      </w:r>
    </w:p>
    <w:p w14:paraId="0CCFF9C5">
      <w:pPr>
        <w:pStyle w:val="5"/>
        <w:widowControl/>
        <w:shd w:val="clear" w:color="auto" w:fill="FFFFFF"/>
        <w:spacing w:line="560" w:lineRule="atLeast"/>
        <w:jc w:val="left"/>
        <w:outlineLvl w:val="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一般公共预算拨款收入831.02万元；</w:t>
      </w:r>
    </w:p>
    <w:p w14:paraId="2A60D979">
      <w:pPr>
        <w:pStyle w:val="5"/>
        <w:widowControl/>
        <w:shd w:val="clear" w:color="auto" w:fill="FFFFFF"/>
        <w:spacing w:line="560" w:lineRule="atLeast"/>
        <w:jc w:val="left"/>
        <w:outlineLvl w:val="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（二）支出预算831.02万元，其中：</w:t>
      </w:r>
    </w:p>
    <w:p w14:paraId="51362EA3">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基本支出831.02万元；</w:t>
      </w:r>
    </w:p>
    <w:p w14:paraId="1CA5AA7B">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在支出预算中，其中一般公共服务支出587.1万元，社会保障和就业支出142.92万元，卫生健康支出35万元，住房保障支出66万元。</w:t>
      </w:r>
    </w:p>
    <w:p w14:paraId="0D7167C3">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在支出预算中，其中机关运行经费支出29.82万元。</w:t>
      </w:r>
    </w:p>
    <w:p w14:paraId="6040967E">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w:t>
      </w:r>
      <w:r>
        <w:rPr>
          <w:rFonts w:hint="eastAsia" w:ascii="楷体" w:hAnsi="楷体" w:eastAsia="楷体" w:cs="楷体"/>
          <w:b/>
          <w:bCs/>
          <w:color w:val="000000"/>
          <w:sz w:val="32"/>
          <w:szCs w:val="32"/>
          <w:shd w:val="clear" w:color="auto" w:fill="FFFFFF"/>
        </w:rPr>
        <w:t>  二、财政拨款收支预算情况说明</w:t>
      </w:r>
      <w:r>
        <w:rPr>
          <w:rFonts w:hint="eastAsia" w:ascii="楷体" w:hAnsi="楷体" w:eastAsia="楷体" w:cs="楷体"/>
          <w:color w:val="000000"/>
          <w:sz w:val="32"/>
          <w:szCs w:val="32"/>
          <w:shd w:val="clear" w:color="auto" w:fill="FFFFFF"/>
        </w:rPr>
        <w:t> </w:t>
      </w:r>
    </w:p>
    <w:p w14:paraId="551200CD">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鞍山市千山区甘泉镇综合事务服务中心部门及所属单位2025年财政拨款收支总预算831.02万元。收入预算为一般公共预算拨款，无政府性基金预算拨款和国有资本经营预算拨款，包括：当年财政拨款收入831.02万元，；支出预算按功能支出包括：一般公共服务支出587.1万元，社会保障和就业支出142.92万元、卫生健康支出35万元，住房保障支出66万元；按经济支出包括:工资福利支出780.4万元，商品和服务支出29.82万元，对个人和家庭的补助20.8万元。 </w:t>
      </w:r>
    </w:p>
    <w:p w14:paraId="3C13D08E">
      <w:pPr>
        <w:pStyle w:val="5"/>
        <w:widowControl/>
        <w:shd w:val="clear" w:color="auto" w:fill="FFFFFF"/>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w:t>
      </w:r>
      <w:r>
        <w:rPr>
          <w:rFonts w:hint="eastAsia" w:ascii="楷体" w:hAnsi="楷体" w:eastAsia="楷体" w:cs="楷体"/>
          <w:color w:val="000000"/>
          <w:sz w:val="32"/>
          <w:szCs w:val="32"/>
          <w:shd w:val="clear" w:color="auto" w:fill="FFFFFF"/>
        </w:rPr>
        <w:t>    三、</w:t>
      </w:r>
      <w:r>
        <w:rPr>
          <w:rFonts w:hint="eastAsia" w:ascii="楷体" w:hAnsi="楷体" w:eastAsia="楷体" w:cs="楷体"/>
          <w:b/>
          <w:bCs/>
          <w:color w:val="000000"/>
          <w:sz w:val="32"/>
          <w:szCs w:val="32"/>
          <w:shd w:val="clear" w:color="auto" w:fill="FFFFFF"/>
        </w:rPr>
        <w:t>一般公共预算基本支出情况说明</w:t>
      </w:r>
    </w:p>
    <w:p w14:paraId="5FFFECF3">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b/>
          <w:bCs/>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鞍山市千山区大屯镇综合事务服务中心部门及所属单位2025年一般公共预算基本支出737 万元，其中工资福利支出650万元，商品和服务支出54万元，对个人和家庭补助支出23万元。</w:t>
      </w:r>
    </w:p>
    <w:p w14:paraId="2E405B64">
      <w:pPr>
        <w:pStyle w:val="5"/>
        <w:widowControl/>
        <w:shd w:val="clear" w:color="auto" w:fill="FFFFFF"/>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人员经费（即工资福利支出与对个人和家庭补助支出之和）801.2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color w:val="000000"/>
          <w:sz w:val="31"/>
          <w:szCs w:val="31"/>
          <w:shd w:val="clear" w:color="auto" w:fill="FFFFFF"/>
        </w:rPr>
        <w:t>离休费、退休费、抚恤金、生活补助、医疗费补助、奖励金、其他对个人和家庭的补助支出。</w:t>
      </w:r>
    </w:p>
    <w:p w14:paraId="5934E14B">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公用经费（即商品和服务支出）29.82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5E3BEFF9">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四、“三公”经费预算情况说明（请注意增减原因要与数字逻辑关系相符）</w:t>
      </w:r>
      <w:r>
        <w:rPr>
          <w:rFonts w:hint="eastAsia" w:ascii="楷体" w:hAnsi="楷体" w:eastAsia="楷体" w:cs="楷体"/>
          <w:color w:val="000000"/>
          <w:sz w:val="32"/>
          <w:szCs w:val="32"/>
          <w:shd w:val="clear" w:color="auto" w:fill="FFFFFF"/>
        </w:rPr>
        <w:t> </w:t>
      </w:r>
    </w:p>
    <w:p w14:paraId="3F7DB93B">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2025年财政拨款预算安排的“三公”经费预算数0万元，比上年预算数减少0万元，下降0%。</w:t>
      </w:r>
    </w:p>
    <w:p w14:paraId="3D3AE374">
      <w:pPr>
        <w:pStyle w:val="5"/>
        <w:widowControl/>
        <w:shd w:val="clear" w:color="auto" w:fill="FFFFFF"/>
        <w:spacing w:line="560" w:lineRule="atLeast"/>
        <w:ind w:firstLine="64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五、其他重要事项情况说明</w:t>
      </w:r>
      <w:r>
        <w:rPr>
          <w:rFonts w:hint="eastAsia" w:ascii="楷体" w:hAnsi="楷体" w:eastAsia="楷体" w:cs="楷体"/>
          <w:color w:val="000000"/>
          <w:sz w:val="32"/>
          <w:szCs w:val="32"/>
          <w:shd w:val="clear" w:color="auto" w:fill="FFFFFF"/>
        </w:rPr>
        <w:t> </w:t>
      </w:r>
    </w:p>
    <w:p w14:paraId="35FA0C91">
      <w:pPr>
        <w:pStyle w:val="5"/>
        <w:widowControl/>
        <w:shd w:val="clear" w:color="auto" w:fill="FFFFFF"/>
        <w:spacing w:line="560" w:lineRule="atLeast"/>
        <w:ind w:firstLine="642"/>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（一）机关（事业）运行经费安排情况 </w:t>
      </w:r>
    </w:p>
    <w:p w14:paraId="1E11D421">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机关（事业）运行经费预算为29.82万元，主要包括本部门的办公及印刷费、邮电费、差旅费、会议费、福利费、日常维修费、专用材料及一般设备购置费、办公用房水电费、办公用房取暖费、办公用房物业管理费、公务用车运行维护费以及其他费用。</w:t>
      </w:r>
    </w:p>
    <w:p w14:paraId="29288C04">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（二）</w:t>
      </w:r>
      <w:bookmarkStart w:id="0" w:name="OLE_LINK6"/>
      <w:bookmarkStart w:id="1" w:name="OLE_LINK7"/>
      <w:r>
        <w:rPr>
          <w:rFonts w:hint="eastAsia" w:ascii="仿宋_GB2312" w:hAnsi="微软雅黑" w:eastAsia="仿宋_GB2312" w:cs="仿宋_GB2312"/>
          <w:color w:val="000000"/>
          <w:sz w:val="32"/>
          <w:szCs w:val="32"/>
          <w:shd w:val="clear" w:color="auto" w:fill="FFFFFF"/>
        </w:rPr>
        <w:t>政府采购预算安排情况</w:t>
      </w:r>
      <w:bookmarkEnd w:id="0"/>
      <w:bookmarkEnd w:id="1"/>
      <w:r>
        <w:rPr>
          <w:rFonts w:hint="eastAsia" w:ascii="仿宋_GB2312" w:hAnsi="微软雅黑" w:eastAsia="仿宋_GB2312" w:cs="仿宋_GB2312"/>
          <w:color w:val="000000"/>
          <w:sz w:val="32"/>
          <w:szCs w:val="32"/>
          <w:shd w:val="clear" w:color="auto" w:fill="FFFFFF"/>
        </w:rPr>
        <w:t> </w:t>
      </w:r>
    </w:p>
    <w:p w14:paraId="380FAAB0">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2025年政府采购预算0万元，其中：货物采购0万元，工程采购0万元，服务采购0万元。</w:t>
      </w:r>
    </w:p>
    <w:p w14:paraId="1285C767">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（三）政府购买服务预算安排情况 </w:t>
      </w:r>
    </w:p>
    <w:p w14:paraId="78C9275D">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2025年政府购买服务预算0万元 。 </w:t>
      </w:r>
    </w:p>
    <w:p w14:paraId="22891439">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（四）国有资产占有使用情况 </w:t>
      </w:r>
    </w:p>
    <w:p w14:paraId="70BA4E93">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截至2024年12月，鞍山市千山区大屯镇综合事务服务中心及所属单位共有车辆0辆。</w:t>
      </w:r>
    </w:p>
    <w:p w14:paraId="3AB8D0B3">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单位价值50万元以上有通用设备0台（套），单位价值100万元以上专业设备0台（套）。 </w:t>
      </w:r>
    </w:p>
    <w:p w14:paraId="4CC47FDC">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2025年年初预算购置车辆0台，金额0万元。</w:t>
      </w:r>
    </w:p>
    <w:p w14:paraId="093FEBBF">
      <w:pPr>
        <w:pStyle w:val="5"/>
        <w:widowControl/>
        <w:shd w:val="clear" w:color="auto" w:fill="FFFFFF"/>
        <w:spacing w:line="560" w:lineRule="atLeast"/>
        <w:ind w:firstLine="420"/>
        <w:jc w:val="left"/>
        <w:outlineLvl w:val="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（五）预算资金绩效目标情况 </w:t>
      </w:r>
    </w:p>
    <w:p w14:paraId="0318A91E">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根据预算绩效管理要求，2025年应编制部门（单位）整体绩效目标共1个，实际编制部门（单位）整体绩效目标共1个，编制覆盖率（实际编制部门（单位）整体绩效目标/应编制部门（单位）整体绩效目标为100%。</w:t>
      </w:r>
    </w:p>
    <w:p w14:paraId="3BC71929">
      <w:pPr>
        <w:pStyle w:val="5"/>
        <w:widowControl/>
        <w:shd w:val="clear" w:color="auto" w:fill="FFFFFF"/>
        <w:ind w:firstLine="620"/>
        <w:jc w:val="left"/>
        <w:rPr>
          <w:rFonts w:ascii="微软雅黑" w:hAnsi="微软雅黑" w:eastAsia="微软雅黑" w:cs="微软雅黑"/>
          <w:color w:val="000000"/>
        </w:rPr>
      </w:pPr>
      <w:r>
        <w:rPr>
          <w:rFonts w:hint="eastAsia" w:ascii="仿宋_GB2312" w:hAnsi="微软雅黑" w:eastAsia="仿宋_GB2312" w:cs="仿宋_GB2312"/>
          <w:color w:val="000000"/>
          <w:sz w:val="31"/>
          <w:szCs w:val="31"/>
          <w:shd w:val="clear" w:color="auto" w:fill="FFFFFF"/>
        </w:rPr>
        <w:t>2025年应编制项目绩效目标（包括特定目标类和其他运转类）</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1"/>
          <w:szCs w:val="31"/>
          <w:shd w:val="clear" w:color="auto" w:fill="FFFFFF"/>
        </w:rPr>
        <w:t>个，实际编制项目绩效目标</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1"/>
          <w:szCs w:val="31"/>
          <w:shd w:val="clear" w:color="auto" w:fill="FFFFFF"/>
        </w:rPr>
        <w:t>个，涉及资金万元，编制项目绩效目标的项目覆盖率（实际编制绩效目标的数量/应编制绩效目标的数量）为</w:t>
      </w:r>
      <w:r>
        <w:rPr>
          <w:rFonts w:hint="eastAsia"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1"/>
          <w:szCs w:val="31"/>
          <w:shd w:val="clear" w:color="auto" w:fill="FFFFFF"/>
        </w:rPr>
        <w:t>%。</w:t>
      </w:r>
    </w:p>
    <w:p w14:paraId="63E630F6">
      <w:pPr>
        <w:pStyle w:val="5"/>
        <w:widowControl/>
        <w:shd w:val="clear" w:color="auto" w:fill="FFFFFF"/>
        <w:spacing w:line="560" w:lineRule="atLeast"/>
        <w:ind w:firstLine="420"/>
        <w:jc w:val="left"/>
        <w:outlineLvl w:val="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（六）预算公开表数据中没有数据的情况说明 </w:t>
      </w:r>
    </w:p>
    <w:p w14:paraId="758580A3">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预算中无政府性基金预算拨款支出，项目支出中无特定目标类项目，无国有资本经营支出预算、无债务支出预算，无购买服务预算，因此“政府性基金预算支出表”、“国有资本经营预算支出表”、“部门预算项目（政策）绩效目标表”、“债务支出预算表”、“政府采购预算安排预算表”“政府购买服务支出预算表”6张表中没有数据。</w:t>
      </w:r>
    </w:p>
    <w:p w14:paraId="1A620106">
      <w:pPr>
        <w:pStyle w:val="5"/>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第五部分 名词解释</w:t>
      </w:r>
      <w:r>
        <w:rPr>
          <w:rFonts w:hint="eastAsia" w:ascii="楷体" w:hAnsi="楷体" w:eastAsia="楷体" w:cs="楷体"/>
          <w:color w:val="000000"/>
          <w:sz w:val="32"/>
          <w:szCs w:val="32"/>
          <w:shd w:val="clear" w:color="auto" w:fill="FFFFFF"/>
        </w:rPr>
        <w:t> </w:t>
      </w:r>
    </w:p>
    <w:p w14:paraId="10D2D4FD">
      <w:pPr>
        <w:pStyle w:val="5"/>
        <w:widowControl/>
        <w:shd w:val="clear" w:color="auto" w:fill="FFFFFF"/>
        <w:spacing w:line="560" w:lineRule="atLeast"/>
        <w:jc w:val="center"/>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（以下内容各部门根据使用科目进行说明）</w:t>
      </w:r>
    </w:p>
    <w:p w14:paraId="347665CF">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1.一般公共预算拨款收入：指市级财政当年拨付的资金。</w:t>
      </w:r>
    </w:p>
    <w:p w14:paraId="7F7F782E">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5E817A4D">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3.财政专户管理的资金收入：反映缴入财政专户、实行专项管理的教育收费收入。</w:t>
      </w:r>
    </w:p>
    <w:p w14:paraId="6DE0FC0A">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4.单位资金收入：包括事业收入、上级补助收入、附属单位上缴收入、事业单位经营收入及其他收入。</w:t>
      </w:r>
    </w:p>
    <w:p w14:paraId="2B2D99AE">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事业收入：是指事业单位开展专业业务活动及其辅助活动取得的收入，不包括教育收费。</w:t>
      </w:r>
    </w:p>
    <w:p w14:paraId="0F3FA20A">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上级补助收入：是指从主管部门或上级单位取得的财政拨款以外的其他补助收入。</w:t>
      </w:r>
    </w:p>
    <w:p w14:paraId="28CFC7A5">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附属单位上缴收入：是指本单位所属下级单位上缴给本单位的全部收入（包括下级事业单位上缴的事业收入、其他收入和下级企业单位上缴的利润等）。</w:t>
      </w:r>
    </w:p>
    <w:p w14:paraId="586C86D4">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事业单位经营收入：是指事业单位在专业业务活动及辅助活动之外开展非独立核算经营活动取得的收入。</w:t>
      </w:r>
    </w:p>
    <w:p w14:paraId="342A7FDB">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其他收入：债务收入（不含政府债券、政府向外国政府贷款和国际组织贷款）、投资收益等收入。</w:t>
      </w:r>
    </w:p>
    <w:p w14:paraId="3291F70E">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5.上年结转：反映以前年度安排尚未使用完毕，结转到本年仍按原规定用途继续使用的资金。</w:t>
      </w:r>
    </w:p>
    <w:p w14:paraId="79CC89DA">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6.基本支出：指保障机构正常运转、完成日常工作任务而发生的人员支出和公用支出。</w:t>
      </w:r>
    </w:p>
    <w:p w14:paraId="6ADED94F">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7.项目支出：指在基本支出之外为完成特定行政任务和事业发展目标所发生的支出。</w:t>
      </w:r>
    </w:p>
    <w:p w14:paraId="135715D8">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6E470F46">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color w:val="000000"/>
          <w:sz w:val="31"/>
          <w:szCs w:val="31"/>
          <w:shd w:val="clear" w:color="auto" w:fill="FFFFFF"/>
        </w:rPr>
        <w:t>住宿费、伙食费</w:t>
      </w:r>
      <w:r>
        <w:rPr>
          <w:rFonts w:hint="eastAsia" w:ascii="仿宋_GB2312" w:hAnsi="微软雅黑" w:eastAsia="仿宋_GB2312" w:cs="仿宋_GB2312"/>
          <w:color w:val="000000"/>
          <w:sz w:val="32"/>
          <w:szCs w:val="32"/>
          <w:shd w:val="clear" w:color="auto"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23245F8A">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10.部门管理专项资金：包括由部门主导分配的市本级项目和市对下转移支付项目。</w:t>
      </w:r>
    </w:p>
    <w:p w14:paraId="6FF09EFC">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11.社会保障和就业（类）行政事业单位养老支出（款）行政单位离退休（项）：反映行政单位（包括实行公务员管理的事业单位）开支的离退休经费。 </w:t>
      </w:r>
    </w:p>
    <w:p w14:paraId="63C2C5D1">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12.社会保障和就业（类）行政事业单位养老支出（款）事业单位离退休（项）：反映事业单位开支的离退休经费。</w:t>
      </w:r>
    </w:p>
    <w:p w14:paraId="36832DA9">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13.社会保障和就业（类）行政事业单位养老支出（款）机关事业单位基本养老保险缴费支出（项）：反映机关事业单位实施养老保险制度由单位缴纳的基本养老保险费支出。</w:t>
      </w:r>
    </w:p>
    <w:p w14:paraId="423496EF">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14.社会保障和就业（类）行政事业单位养老支出（款）机关事业单位职业年金缴费支出（项）：反映机关事业单位实施养老保险制度由单位实际缴纳的职业年金支出。</w:t>
      </w:r>
    </w:p>
    <w:p w14:paraId="0EE6279E">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716A96CA">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396E822D">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17.卫生健康支出（类）行政事业单位医疗（款）其他行政事业单位医疗支出（项）：反映其他用于行政事业单位医疗方面的支出。</w:t>
      </w:r>
    </w:p>
    <w:p w14:paraId="479FA384">
      <w:pPr>
        <w:pStyle w:val="5"/>
        <w:widowControl/>
        <w:shd w:val="clear" w:color="auto" w:fill="FFFFFF"/>
        <w:spacing w:line="560" w:lineRule="atLeast"/>
        <w:ind w:firstLine="64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18.住房保障（类）住房改革（款）住房公积金（项）：反映行政事业单位按人力资源和社会保障部、财政部规定的基本工资和津贴补贴以及规定比例为职工缴纳的住房公积金。 </w:t>
      </w:r>
    </w:p>
    <w:p w14:paraId="4A185DA6">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19.住房保障（类）住房改革（款）购房补贴（项）：反映按房改政策规定，行政事业单位向符合条件职工（含离退休人员）、军队（含武警）向转役复员离退休人员发放的用于购买住房的补贴。</w:t>
      </w:r>
    </w:p>
    <w:p w14:paraId="2AAF2051">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w:t>
      </w:r>
    </w:p>
    <w:p w14:paraId="4DF126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818DE"/>
    <w:rsid w:val="00052B01"/>
    <w:rsid w:val="00075C0A"/>
    <w:rsid w:val="00111476"/>
    <w:rsid w:val="00175420"/>
    <w:rsid w:val="0018731D"/>
    <w:rsid w:val="001B3D7D"/>
    <w:rsid w:val="00291490"/>
    <w:rsid w:val="00297F31"/>
    <w:rsid w:val="002D2408"/>
    <w:rsid w:val="00303760"/>
    <w:rsid w:val="00397CED"/>
    <w:rsid w:val="00407C99"/>
    <w:rsid w:val="004818DE"/>
    <w:rsid w:val="00566998"/>
    <w:rsid w:val="00581B44"/>
    <w:rsid w:val="0066617C"/>
    <w:rsid w:val="00667BEA"/>
    <w:rsid w:val="006A7A0D"/>
    <w:rsid w:val="00716F0C"/>
    <w:rsid w:val="00755DCF"/>
    <w:rsid w:val="007713E2"/>
    <w:rsid w:val="008073D8"/>
    <w:rsid w:val="00850E05"/>
    <w:rsid w:val="00883301"/>
    <w:rsid w:val="008B4BD4"/>
    <w:rsid w:val="008D177E"/>
    <w:rsid w:val="008E1BC8"/>
    <w:rsid w:val="00923296"/>
    <w:rsid w:val="00990E3D"/>
    <w:rsid w:val="009D74D6"/>
    <w:rsid w:val="00AE1999"/>
    <w:rsid w:val="00AE4738"/>
    <w:rsid w:val="00C029DA"/>
    <w:rsid w:val="00CD412F"/>
    <w:rsid w:val="00CF5274"/>
    <w:rsid w:val="00DF03C8"/>
    <w:rsid w:val="00EB59A4"/>
    <w:rsid w:val="00EC54C3"/>
    <w:rsid w:val="00EE0815"/>
    <w:rsid w:val="00FB0C75"/>
    <w:rsid w:val="00FE1942"/>
    <w:rsid w:val="00FF657D"/>
    <w:rsid w:val="183971CE"/>
    <w:rsid w:val="25E22D30"/>
    <w:rsid w:val="44492AFD"/>
    <w:rsid w:val="4D952D2E"/>
    <w:rsid w:val="586C6306"/>
    <w:rsid w:val="60B27518"/>
    <w:rsid w:val="69790883"/>
    <w:rsid w:val="6C812DF8"/>
    <w:rsid w:val="757A1C0A"/>
    <w:rsid w:val="77A254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0"/>
    <w:qFormat/>
    <w:uiPriority w:val="0"/>
    <w:rPr>
      <w:rFonts w:ascii="宋体" w:eastAsia="宋体"/>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 w:type="character" w:customStyle="1" w:styleId="10">
    <w:name w:val="文档结构图 字符"/>
    <w:basedOn w:val="7"/>
    <w:link w:val="2"/>
    <w:qFormat/>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5047</Words>
  <Characters>5232</Characters>
  <Lines>39</Lines>
  <Paragraphs>11</Paragraphs>
  <TotalTime>145</TotalTime>
  <ScaleCrop>false</ScaleCrop>
  <LinksUpToDate>false</LinksUpToDate>
  <CharactersWithSpaces>5443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dcterms:modified xsi:type="dcterms:W3CDTF">2025-01-17T07:14:19Z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B8C5117FB8014E44A865199339766739_12</vt:lpwstr>
  </property>
</Properties>
</file>