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6BCBA">
      <w:pPr>
        <w:widowControl/>
        <w:spacing w:before="100" w:beforeAutospacing="1" w:after="100" w:afterAutospacing="1"/>
        <w:jc w:val="left"/>
        <w:rPr>
          <w:rFonts w:hint="eastAsia" w:ascii="宋体" w:hAnsi="宋体"/>
          <w:b/>
          <w:sz w:val="32"/>
          <w:szCs w:val="32"/>
        </w:rPr>
      </w:pPr>
      <w:r>
        <w:rPr>
          <w:rFonts w:hint="eastAsia" w:ascii="宋体" w:hAnsi="宋体"/>
          <w:b/>
          <w:sz w:val="32"/>
          <w:szCs w:val="32"/>
        </w:rPr>
        <w:t>附件2</w:t>
      </w:r>
    </w:p>
    <w:p w14:paraId="60FCE691">
      <w:pPr>
        <w:widowControl/>
        <w:spacing w:before="100" w:beforeAutospacing="1" w:after="100" w:afterAutospacing="1"/>
        <w:jc w:val="center"/>
        <w:rPr>
          <w:rFonts w:hint="eastAsia" w:ascii="宋体" w:hAnsi="宋体"/>
          <w:b/>
          <w:sz w:val="44"/>
          <w:szCs w:val="44"/>
        </w:rPr>
      </w:pPr>
    </w:p>
    <w:p w14:paraId="5814D0AE">
      <w:pPr>
        <w:widowControl/>
        <w:spacing w:before="100" w:beforeAutospacing="1" w:after="100" w:afterAutospacing="1"/>
        <w:jc w:val="center"/>
        <w:rPr>
          <w:rFonts w:hint="eastAsia" w:ascii="宋体" w:hAnsi="宋体"/>
          <w:b/>
          <w:sz w:val="44"/>
          <w:szCs w:val="44"/>
        </w:rPr>
      </w:pPr>
    </w:p>
    <w:p w14:paraId="58B75BA9">
      <w:pPr>
        <w:widowControl/>
        <w:spacing w:before="100" w:beforeAutospacing="1" w:after="100" w:afterAutospacing="1"/>
        <w:jc w:val="center"/>
        <w:rPr>
          <w:rFonts w:hint="eastAsia" w:ascii="宋体" w:hAnsi="宋体"/>
          <w:b/>
          <w:sz w:val="44"/>
          <w:szCs w:val="44"/>
        </w:rPr>
      </w:pPr>
    </w:p>
    <w:p w14:paraId="0CBFF6E9">
      <w:pPr>
        <w:widowControl/>
        <w:spacing w:before="100" w:beforeAutospacing="1" w:after="100" w:afterAutospacing="1"/>
        <w:jc w:val="center"/>
        <w:rPr>
          <w:rFonts w:hint="eastAsia" w:ascii="宋体" w:hAnsi="宋体"/>
          <w:b/>
          <w:sz w:val="44"/>
          <w:szCs w:val="44"/>
        </w:rPr>
      </w:pPr>
    </w:p>
    <w:p w14:paraId="17C8BE09">
      <w:pPr>
        <w:widowControl/>
        <w:spacing w:before="100" w:beforeAutospacing="1" w:after="100" w:afterAutospacing="1"/>
        <w:jc w:val="center"/>
        <w:rPr>
          <w:rFonts w:hint="eastAsia" w:eastAsia="黑体"/>
          <w:b/>
          <w:sz w:val="36"/>
          <w:szCs w:val="36"/>
          <w:lang w:val="en-US" w:eastAsia="zh-CN"/>
        </w:rPr>
      </w:pPr>
      <w:r>
        <w:rPr>
          <w:rFonts w:hint="eastAsia" w:eastAsia="黑体"/>
          <w:b/>
          <w:sz w:val="36"/>
          <w:szCs w:val="36"/>
          <w:lang w:val="en-US" w:eastAsia="zh-CN"/>
        </w:rPr>
        <w:t>鞍山市千山区城市管理事务中心</w:t>
      </w:r>
    </w:p>
    <w:p w14:paraId="1F42729C">
      <w:pPr>
        <w:widowControl/>
        <w:spacing w:before="100" w:beforeAutospacing="1" w:after="100" w:afterAutospacing="1"/>
        <w:jc w:val="center"/>
        <w:rPr>
          <w:rFonts w:ascii="宋体" w:hAnsi="宋体"/>
          <w:b/>
          <w:sz w:val="44"/>
          <w:szCs w:val="44"/>
        </w:rPr>
      </w:pPr>
      <w:r>
        <w:rPr>
          <w:rFonts w:ascii="宋体" w:hAnsi="宋体"/>
          <w:b/>
          <w:sz w:val="44"/>
          <w:szCs w:val="44"/>
        </w:rPr>
        <w:t>20</w:t>
      </w:r>
      <w:r>
        <w:rPr>
          <w:rFonts w:hint="eastAsia" w:ascii="宋体" w:hAnsi="宋体"/>
          <w:b/>
          <w:sz w:val="44"/>
          <w:szCs w:val="44"/>
        </w:rPr>
        <w:t>2</w:t>
      </w:r>
      <w:r>
        <w:rPr>
          <w:rFonts w:hint="eastAsia" w:ascii="宋体" w:hAnsi="宋体"/>
          <w:b/>
          <w:sz w:val="44"/>
          <w:szCs w:val="44"/>
          <w:lang w:val="en-US" w:eastAsia="zh-CN"/>
        </w:rPr>
        <w:t>5</w:t>
      </w:r>
      <w:r>
        <w:rPr>
          <w:rFonts w:ascii="宋体" w:hAnsi="宋体"/>
          <w:b/>
          <w:sz w:val="44"/>
          <w:szCs w:val="44"/>
        </w:rPr>
        <w:t>年</w:t>
      </w:r>
      <w:r>
        <w:rPr>
          <w:rFonts w:hint="eastAsia" w:ascii="宋体" w:hAnsi="宋体"/>
          <w:b/>
          <w:sz w:val="44"/>
          <w:szCs w:val="44"/>
          <w:lang w:eastAsia="zh-CN"/>
        </w:rPr>
        <w:t>度</w:t>
      </w:r>
      <w:r>
        <w:rPr>
          <w:rFonts w:ascii="宋体" w:hAnsi="宋体"/>
          <w:b/>
          <w:sz w:val="44"/>
          <w:szCs w:val="44"/>
        </w:rPr>
        <w:t>部门</w:t>
      </w:r>
      <w:r>
        <w:rPr>
          <w:rFonts w:hint="eastAsia" w:ascii="宋体" w:hAnsi="宋体"/>
          <w:b/>
          <w:sz w:val="44"/>
          <w:szCs w:val="44"/>
          <w:lang w:eastAsia="zh-CN"/>
        </w:rPr>
        <w:t>（单位）</w:t>
      </w:r>
      <w:r>
        <w:rPr>
          <w:rFonts w:ascii="宋体" w:hAnsi="宋体"/>
          <w:b/>
          <w:sz w:val="44"/>
          <w:szCs w:val="44"/>
        </w:rPr>
        <w:t>预算</w:t>
      </w:r>
    </w:p>
    <w:p w14:paraId="584A38DF">
      <w:pPr>
        <w:widowControl/>
        <w:spacing w:before="100" w:beforeAutospacing="1" w:after="100" w:afterAutospacing="1"/>
        <w:jc w:val="center"/>
        <w:rPr>
          <w:rFonts w:hint="eastAsia" w:ascii="黑体" w:hAnsi="黑体" w:eastAsia="黑体" w:cs="宋体"/>
          <w:b/>
          <w:bCs/>
          <w:kern w:val="0"/>
          <w:sz w:val="32"/>
          <w:szCs w:val="32"/>
        </w:rPr>
      </w:pPr>
    </w:p>
    <w:p w14:paraId="5E6C229B">
      <w:pPr>
        <w:widowControl/>
        <w:spacing w:before="100" w:beforeAutospacing="1" w:after="100" w:afterAutospacing="1"/>
        <w:jc w:val="center"/>
        <w:rPr>
          <w:rFonts w:hint="eastAsia" w:ascii="黑体" w:hAnsi="黑体" w:eastAsia="黑体" w:cs="宋体"/>
          <w:b/>
          <w:bCs/>
          <w:kern w:val="0"/>
          <w:sz w:val="32"/>
          <w:szCs w:val="32"/>
        </w:rPr>
      </w:pPr>
    </w:p>
    <w:p w14:paraId="6010BF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p>
    <w:p w14:paraId="1B962E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7DF78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E6510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F6402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9D285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BC052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3AE87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E2D13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黑体" w:hAnsi="宋体" w:eastAsia="黑体" w:cs="黑体"/>
          <w:b/>
          <w:bCs/>
          <w:i w:val="0"/>
          <w:iCs w:val="0"/>
          <w:caps w:val="0"/>
          <w:color w:val="000000"/>
          <w:spacing w:val="0"/>
          <w:sz w:val="32"/>
          <w:szCs w:val="32"/>
          <w:shd w:val="clear" w:fill="FFFFFF"/>
        </w:rPr>
      </w:pPr>
    </w:p>
    <w:p w14:paraId="4F6468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ascii="黑体" w:hAnsi="宋体" w:eastAsia="黑体" w:cs="黑体"/>
          <w:b/>
          <w:bCs/>
          <w:i w:val="0"/>
          <w:iCs w:val="0"/>
          <w:caps w:val="0"/>
          <w:color w:val="000000"/>
          <w:spacing w:val="0"/>
          <w:sz w:val="32"/>
          <w:szCs w:val="32"/>
          <w:shd w:val="clear" w:fill="FFFFFF"/>
        </w:rPr>
        <w:t>目</w:t>
      </w:r>
      <w:r>
        <w:rPr>
          <w:rFonts w:hint="eastAsia" w:ascii="黑体" w:hAnsi="宋体" w:eastAsia="黑体" w:cs="黑体"/>
          <w:b/>
          <w:bCs/>
          <w:i w:val="0"/>
          <w:iCs w:val="0"/>
          <w:caps w:val="0"/>
          <w:color w:val="000000"/>
          <w:spacing w:val="0"/>
          <w:sz w:val="32"/>
          <w:szCs w:val="32"/>
          <w:shd w:val="clear" w:fill="FFFFFF"/>
        </w:rPr>
        <w:t>  录</w:t>
      </w:r>
    </w:p>
    <w:p w14:paraId="33A67C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ascii="楷体" w:hAnsi="楷体" w:eastAsia="楷体" w:cs="楷体"/>
          <w:b/>
          <w:bCs/>
          <w:i w:val="0"/>
          <w:iCs w:val="0"/>
          <w:caps w:val="0"/>
          <w:color w:val="000000"/>
          <w:spacing w:val="0"/>
          <w:sz w:val="32"/>
          <w:szCs w:val="32"/>
          <w:shd w:val="clear" w:fill="FFFFFF"/>
        </w:rPr>
        <w:t>第一部</w:t>
      </w:r>
      <w:r>
        <w:rPr>
          <w:rFonts w:hint="eastAsia" w:ascii="楷体" w:hAnsi="楷体" w:eastAsia="楷体" w:cs="楷体"/>
          <w:b/>
          <w:bCs/>
          <w:i w:val="0"/>
          <w:iCs w:val="0"/>
          <w:caps w:val="0"/>
          <w:color w:val="000000"/>
          <w:spacing w:val="0"/>
          <w:sz w:val="32"/>
          <w:szCs w:val="32"/>
          <w:shd w:val="clear" w:fill="FFFFFF"/>
        </w:rPr>
        <w:t>分 部门预算公开管理文件</w:t>
      </w:r>
      <w:r>
        <w:rPr>
          <w:rFonts w:hint="eastAsia" w:ascii="楷体" w:hAnsi="楷体" w:eastAsia="楷体" w:cs="楷体"/>
          <w:i w:val="0"/>
          <w:iCs w:val="0"/>
          <w:caps w:val="0"/>
          <w:color w:val="000000"/>
          <w:spacing w:val="0"/>
          <w:sz w:val="32"/>
          <w:szCs w:val="32"/>
          <w:shd w:val="clear" w:fill="FFFFFF"/>
        </w:rPr>
        <w:t> </w:t>
      </w:r>
    </w:p>
    <w:p w14:paraId="6F8EB4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5FD064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shd w:val="clear" w:fill="FFFFFF"/>
        </w:rPr>
        <w:t>一、部门</w:t>
      </w:r>
      <w:r>
        <w:rPr>
          <w:rFonts w:hint="eastAsia" w:ascii="仿宋_GB2312" w:hAnsi="微软雅黑" w:eastAsia="仿宋_GB2312" w:cs="仿宋_GB2312"/>
          <w:i w:val="0"/>
          <w:iCs w:val="0"/>
          <w:caps w:val="0"/>
          <w:color w:val="000000"/>
          <w:spacing w:val="0"/>
          <w:sz w:val="32"/>
          <w:szCs w:val="32"/>
          <w:shd w:val="clear" w:fill="FFFFFF"/>
        </w:rPr>
        <w:t>（单位）职责 </w:t>
      </w:r>
    </w:p>
    <w:p w14:paraId="260153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二、机构设置 </w:t>
      </w:r>
    </w:p>
    <w:p w14:paraId="4CA20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2025年部门（单位）预算表</w:t>
      </w:r>
      <w:r>
        <w:rPr>
          <w:rFonts w:hint="eastAsia" w:ascii="楷体" w:hAnsi="楷体" w:eastAsia="楷体" w:cs="楷体"/>
          <w:i w:val="0"/>
          <w:iCs w:val="0"/>
          <w:caps w:val="0"/>
          <w:color w:val="000000"/>
          <w:spacing w:val="0"/>
          <w:sz w:val="32"/>
          <w:szCs w:val="32"/>
          <w:shd w:val="clear" w:fill="FFFFFF"/>
        </w:rPr>
        <w:t> </w:t>
      </w:r>
    </w:p>
    <w:p w14:paraId="680D9A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一、收支预算总表</w:t>
      </w:r>
    </w:p>
    <w:p w14:paraId="1746A4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二、收入预算总表</w:t>
      </w:r>
    </w:p>
    <w:p w14:paraId="5A1012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三、支出预算总表</w:t>
      </w:r>
    </w:p>
    <w:p w14:paraId="40C5EC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四、财政拨款收支预算总表</w:t>
      </w:r>
    </w:p>
    <w:p w14:paraId="449DFD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五、一般公共预算支出表</w:t>
      </w:r>
    </w:p>
    <w:p w14:paraId="54D27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六、一般公共预算基本支出表</w:t>
      </w:r>
    </w:p>
    <w:p w14:paraId="49A0B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七、财政拨款预算“三公”经费支出表</w:t>
      </w:r>
    </w:p>
    <w:p w14:paraId="40D5F4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八、政府性基金预算支出表</w:t>
      </w:r>
    </w:p>
    <w:p w14:paraId="02E91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九、国有资本经营预算支出表</w:t>
      </w:r>
    </w:p>
    <w:p w14:paraId="70BDB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十、项目支出预算表</w:t>
      </w:r>
    </w:p>
    <w:p w14:paraId="683149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十一、支出功能分类预算表</w:t>
      </w:r>
    </w:p>
    <w:p w14:paraId="4E4DE0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十二、支出经济分类预算表（政府预算）</w:t>
      </w:r>
    </w:p>
    <w:p w14:paraId="12363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十三、支出经济分类预算表（部门预算）</w:t>
      </w:r>
    </w:p>
    <w:p w14:paraId="66057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十四、债务支出预算表</w:t>
      </w:r>
    </w:p>
    <w:p w14:paraId="27329A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十五、政府采购支出预算表</w:t>
      </w:r>
    </w:p>
    <w:p w14:paraId="2690C9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十六、政府购买服务支出预算表</w:t>
      </w:r>
    </w:p>
    <w:p w14:paraId="5C9012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十七、部门（单位）整体绩效目标表</w:t>
      </w:r>
    </w:p>
    <w:p w14:paraId="33E701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十八、部门预算项目（政策）绩效目标表</w:t>
      </w:r>
    </w:p>
    <w:p w14:paraId="56657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十九、部门管理专项资金预算表</w:t>
      </w:r>
    </w:p>
    <w:p w14:paraId="14820A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 2025年部门（单位）预算情况说明</w:t>
      </w:r>
      <w:r>
        <w:rPr>
          <w:rFonts w:hint="eastAsia" w:ascii="楷体" w:hAnsi="楷体" w:eastAsia="楷体" w:cs="楷体"/>
          <w:i w:val="0"/>
          <w:iCs w:val="0"/>
          <w:caps w:val="0"/>
          <w:color w:val="000000"/>
          <w:spacing w:val="0"/>
          <w:sz w:val="32"/>
          <w:szCs w:val="32"/>
          <w:shd w:val="clear" w:fill="FFFFFF"/>
        </w:rPr>
        <w:t> </w:t>
      </w:r>
    </w:p>
    <w:p w14:paraId="45FC19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119CD6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7AF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16334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3F27F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FF712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10C93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D2A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54AD20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5EF43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FBE9B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2C663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6C8CA7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E803E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9F33C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6E0B30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AFB55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BC3B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8637D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第一部分  部门预算公开管理文件</w:t>
      </w:r>
    </w:p>
    <w:p w14:paraId="25B10C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仿宋" w:hAnsi="仿宋" w:eastAsia="仿宋" w:cs="Tahoma"/>
          <w:color w:val="333333"/>
          <w:kern w:val="0"/>
          <w:sz w:val="32"/>
          <w:szCs w:val="32"/>
        </w:rPr>
      </w:pPr>
      <w:r>
        <w:rPr>
          <w:rFonts w:hint="eastAsia" w:ascii="仿宋" w:hAnsi="仿宋" w:eastAsia="仿宋" w:cs="Tahoma"/>
          <w:color w:val="333333"/>
          <w:kern w:val="0"/>
          <w:sz w:val="32"/>
          <w:szCs w:val="32"/>
          <w:lang w:val="en-US" w:eastAsia="zh-CN"/>
        </w:rPr>
        <w:t>千山区城市管理事务中心</w:t>
      </w:r>
      <w:r>
        <w:rPr>
          <w:rFonts w:hint="eastAsia" w:ascii="仿宋" w:hAnsi="仿宋" w:eastAsia="仿宋" w:cs="Tahoma"/>
          <w:color w:val="333333"/>
          <w:kern w:val="0"/>
          <w:sz w:val="32"/>
          <w:szCs w:val="32"/>
        </w:rPr>
        <w:t>预决算信息公开管理办法</w:t>
      </w:r>
    </w:p>
    <w:p w14:paraId="68C6D5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第一章  公开原则</w:t>
      </w:r>
    </w:p>
    <w:p w14:paraId="40925A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762B0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第二条  预决算信息以公开为常态，不公开为例外，依法依规公开预决算信息。除涉及国家秘密外，不得少公开、不公开应当公开的事项，保证公开内容全面、真实、完整。</w:t>
      </w:r>
    </w:p>
    <w:p w14:paraId="5CA370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第三条  公开及时，内容准确，形式规范。方便社会监督，公开内容让公众找得着、看得懂、能监督。</w:t>
      </w:r>
    </w:p>
    <w:p w14:paraId="4368B8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Tahoma" w:hAnsi="Tahoma" w:eastAsia="Tahoma" w:cs="Tahoma"/>
          <w:i w:val="0"/>
          <w:iCs w:val="0"/>
          <w:caps w:val="0"/>
          <w:color w:val="111111"/>
          <w:spacing w:val="0"/>
          <w:sz w:val="18"/>
          <w:szCs w:val="18"/>
          <w:shd w:val="clear" w:fill="FFFFFF"/>
        </w:rPr>
        <w:t>　</w:t>
      </w:r>
      <w:r>
        <w:rPr>
          <w:rFonts w:hint="eastAsia" w:ascii="黑体" w:hAnsi="宋体" w:eastAsia="黑体" w:cs="黑体"/>
          <w:i w:val="0"/>
          <w:iCs w:val="0"/>
          <w:caps w:val="0"/>
          <w:color w:val="333333"/>
          <w:spacing w:val="0"/>
          <w:sz w:val="32"/>
          <w:szCs w:val="32"/>
          <w:shd w:val="clear" w:fill="FFFFFF"/>
        </w:rPr>
        <w:t>第二章</w:t>
      </w:r>
      <w:r>
        <w:rPr>
          <w:rFonts w:hint="eastAsia" w:ascii="宋体" w:hAnsi="宋体" w:eastAsia="宋体" w:cs="宋体"/>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公开主体和职责</w:t>
      </w:r>
      <w:r>
        <w:rPr>
          <w:rFonts w:hint="default" w:ascii="Tahoma" w:hAnsi="Tahoma" w:eastAsia="Tahoma" w:cs="Tahoma"/>
          <w:i w:val="0"/>
          <w:iCs w:val="0"/>
          <w:caps w:val="0"/>
          <w:color w:val="111111"/>
          <w:spacing w:val="0"/>
          <w:sz w:val="18"/>
          <w:szCs w:val="18"/>
          <w:shd w:val="clear" w:fill="FFFFFF"/>
        </w:rPr>
        <w:t> </w:t>
      </w:r>
    </w:p>
    <w:p w14:paraId="44D575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第四条  部门负责本单位及所属单位的预决算信息公开工作，履行下列职责：</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5037CC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（一）制定本单位及所属单位预决算信息公开的工作方案；</w:t>
      </w:r>
    </w:p>
    <w:p w14:paraId="57C5A4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（二）按规定公开本单位及所属单位的预决算信息；</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B42F7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（三）对所属单位预决算信息公开工作进行指导、监督和检查；</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0BC1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（四）按规定做好本单位及所属单位预决算信息公开中的答复工作；</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13C5E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（五）法律、法规、规章规定的其他职责。</w:t>
      </w:r>
      <w:r>
        <w:rPr>
          <w:rFonts w:hint="eastAsia" w:ascii="宋体" w:hAnsi="宋体" w:eastAsia="宋体" w:cs="宋体"/>
          <w:i w:val="0"/>
          <w:iCs w:val="0"/>
          <w:caps w:val="0"/>
          <w:color w:val="333333"/>
          <w:spacing w:val="0"/>
          <w:sz w:val="32"/>
          <w:szCs w:val="32"/>
          <w:shd w:val="clear" w:fill="FFFFFF"/>
        </w:rPr>
        <w:t> </w:t>
      </w:r>
    </w:p>
    <w:p w14:paraId="5C1341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第三章  公开内容</w:t>
      </w:r>
    </w:p>
    <w:p w14:paraId="0B2A46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第五条  部门预算信息（涉密信息除外）公开内容包括：</w:t>
      </w:r>
    </w:p>
    <w:p w14:paraId="5C0B0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（一）部门概况：主要包括部门主要职责、预算单位构成等。</w:t>
      </w:r>
    </w:p>
    <w:p w14:paraId="0D0AC3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（二）部门预算表。主要包括</w:t>
      </w:r>
      <w:r>
        <w:rPr>
          <w:rFonts w:hint="eastAsia" w:ascii="仿宋" w:hAnsi="仿宋" w:eastAsia="仿宋" w:cs="仿宋"/>
          <w:i w:val="0"/>
          <w:iCs w:val="0"/>
          <w:caps w:val="0"/>
          <w:color w:val="000000"/>
          <w:spacing w:val="0"/>
          <w:sz w:val="32"/>
          <w:szCs w:val="32"/>
          <w:shd w:val="clear"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hint="default" w:ascii="Tahoma" w:hAnsi="Tahoma" w:eastAsia="Tahoma" w:cs="Tahoma"/>
          <w:i w:val="0"/>
          <w:iCs w:val="0"/>
          <w:caps w:val="0"/>
          <w:color w:val="000000"/>
          <w:spacing w:val="0"/>
          <w:sz w:val="18"/>
          <w:szCs w:val="18"/>
          <w:shd w:val="clear" w:fill="FFFFFF"/>
        </w:rPr>
        <w:t> </w:t>
      </w:r>
    </w:p>
    <w:p w14:paraId="4DF5BB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（三）部门预算情况说明。主要包括</w:t>
      </w:r>
      <w:r>
        <w:rPr>
          <w:rFonts w:hint="eastAsia" w:ascii="仿宋" w:hAnsi="仿宋" w:eastAsia="仿宋" w:cs="仿宋"/>
          <w:i w:val="0"/>
          <w:iCs w:val="0"/>
          <w:caps w:val="0"/>
          <w:color w:val="000000"/>
          <w:spacing w:val="0"/>
          <w:sz w:val="32"/>
          <w:szCs w:val="32"/>
          <w:shd w:val="clear" w:fill="FFFFFF"/>
        </w:rPr>
        <w:t>部门预算收支增减变化情况说明、</w:t>
      </w:r>
      <w:r>
        <w:rPr>
          <w:rFonts w:hint="eastAsia" w:ascii="仿宋" w:hAnsi="仿宋" w:eastAsia="仿宋" w:cs="仿宋"/>
          <w:i w:val="0"/>
          <w:iCs w:val="0"/>
          <w:caps w:val="0"/>
          <w:color w:val="333333"/>
          <w:spacing w:val="0"/>
          <w:sz w:val="32"/>
          <w:szCs w:val="32"/>
          <w:shd w:val="clear" w:fill="FFFFFF"/>
        </w:rPr>
        <w:t>“三公经费”预算增减变化情况说明、</w:t>
      </w:r>
      <w:r>
        <w:rPr>
          <w:rFonts w:hint="eastAsia" w:ascii="仿宋" w:hAnsi="仿宋" w:eastAsia="仿宋" w:cs="仿宋"/>
          <w:i w:val="0"/>
          <w:iCs w:val="0"/>
          <w:caps w:val="0"/>
          <w:color w:val="000000"/>
          <w:spacing w:val="0"/>
          <w:sz w:val="32"/>
          <w:szCs w:val="32"/>
          <w:shd w:val="clear" w:fill="FFFFFF"/>
        </w:rPr>
        <w:t>机关运行经费安排情况说明、政府采购安排情况说明、国有资产占有使用情况说明、预算绩效目标情况说明等。</w:t>
      </w:r>
    </w:p>
    <w:p w14:paraId="60D58E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（四）名词解释。主要对涉及本部门预算公开表中的专业名词进行解释说明。</w:t>
      </w:r>
    </w:p>
    <w:p w14:paraId="70B6D2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Tahoma" w:hAnsi="Tahoma" w:eastAsia="Tahoma" w:cs="Tahoma"/>
          <w:i w:val="0"/>
          <w:iCs w:val="0"/>
          <w:caps w:val="0"/>
          <w:color w:val="000000"/>
          <w:spacing w:val="0"/>
          <w:sz w:val="18"/>
          <w:szCs w:val="18"/>
          <w:shd w:val="clear" w:fill="FFFFFF"/>
        </w:rPr>
        <w:t>　</w:t>
      </w:r>
      <w:r>
        <w:rPr>
          <w:rFonts w:hint="eastAsia" w:ascii="仿宋" w:hAnsi="仿宋" w:eastAsia="仿宋" w:cs="仿宋"/>
          <w:i w:val="0"/>
          <w:iCs w:val="0"/>
          <w:caps w:val="0"/>
          <w:color w:val="000000"/>
          <w:spacing w:val="0"/>
          <w:sz w:val="32"/>
          <w:szCs w:val="32"/>
          <w:shd w:val="clear" w:fill="FFFFFF"/>
        </w:rPr>
        <w:t>第六条 部门决算信息（涉密信息除外）公开内容包括：</w:t>
      </w:r>
      <w:r>
        <w:rPr>
          <w:rFonts w:hint="default" w:ascii="Tahoma" w:hAnsi="Tahoma" w:eastAsia="Tahoma" w:cs="Tahoma"/>
          <w:i w:val="0"/>
          <w:iCs w:val="0"/>
          <w:caps w:val="0"/>
          <w:color w:val="000000"/>
          <w:spacing w:val="0"/>
          <w:sz w:val="18"/>
          <w:szCs w:val="18"/>
          <w:shd w:val="clear" w:fill="FFFFFF"/>
        </w:rPr>
        <w:t> </w:t>
      </w:r>
    </w:p>
    <w:p w14:paraId="3C4C56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（一）部门概况。主要包括部门主要职能、部门决算单位构成情况等。</w:t>
      </w:r>
      <w:r>
        <w:rPr>
          <w:rFonts w:hint="default" w:ascii="Tahoma" w:hAnsi="Tahoma" w:eastAsia="Tahoma" w:cs="Tahoma"/>
          <w:i w:val="0"/>
          <w:iCs w:val="0"/>
          <w:caps w:val="0"/>
          <w:color w:val="000000"/>
          <w:spacing w:val="0"/>
          <w:sz w:val="18"/>
          <w:szCs w:val="18"/>
          <w:shd w:val="clear" w:fill="FFFFFF"/>
        </w:rPr>
        <w:t> </w:t>
      </w:r>
    </w:p>
    <w:p w14:paraId="54FF5A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hint="default" w:ascii="Tahoma" w:hAnsi="Tahoma" w:eastAsia="Tahoma" w:cs="Tahoma"/>
          <w:i w:val="0"/>
          <w:iCs w:val="0"/>
          <w:caps w:val="0"/>
          <w:color w:val="000000"/>
          <w:spacing w:val="0"/>
          <w:sz w:val="18"/>
          <w:szCs w:val="18"/>
          <w:shd w:val="clear" w:fill="FFFFFF"/>
        </w:rPr>
        <w:t> </w:t>
      </w:r>
    </w:p>
    <w:p w14:paraId="76C9A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hint="default" w:ascii="Tahoma" w:hAnsi="Tahoma" w:eastAsia="Tahoma" w:cs="Tahoma"/>
          <w:i w:val="0"/>
          <w:iCs w:val="0"/>
          <w:caps w:val="0"/>
          <w:color w:val="000000"/>
          <w:spacing w:val="0"/>
          <w:sz w:val="18"/>
          <w:szCs w:val="18"/>
          <w:shd w:val="clear" w:fill="FFFFFF"/>
        </w:rPr>
        <w:t> </w:t>
      </w:r>
    </w:p>
    <w:p w14:paraId="4029B3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（四）名词解释。主要对涉及本部门决算公开表中的专业名称进行解释说明。</w:t>
      </w:r>
    </w:p>
    <w:p w14:paraId="55BD4D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第四章  公开方式</w:t>
      </w:r>
    </w:p>
    <w:p w14:paraId="16914C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第七条  预决算信息在本部门门户网站和市政府门户网站设立的“预决算公开”专栏进行公开，并保持长期公开状态，便于社会公众查阅和监督。</w:t>
      </w:r>
    </w:p>
    <w:p w14:paraId="1F231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第五章  公开程序</w:t>
      </w:r>
    </w:p>
    <w:p w14:paraId="41CC1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第八条  根据本级财政部门批复的部门预算、部门决算及报表，应当在批复后20日内由本部门公开预决算信息。</w:t>
      </w:r>
    </w:p>
    <w:p w14:paraId="31857E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第六章  附  则</w:t>
      </w:r>
    </w:p>
    <w:p w14:paraId="38CA3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第九条  本办法自印发之日起实行。</w:t>
      </w:r>
    </w:p>
    <w:p w14:paraId="1F4BC7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09E7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657D78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一、部门（单位）职责</w:t>
      </w:r>
      <w:r>
        <w:rPr>
          <w:rFonts w:hint="eastAsia" w:ascii="仿宋_GB2312" w:hAnsi="微软雅黑" w:eastAsia="仿宋_GB2312" w:cs="仿宋_GB2312"/>
          <w:i w:val="0"/>
          <w:iCs w:val="0"/>
          <w:caps w:val="0"/>
          <w:color w:val="000000"/>
          <w:spacing w:val="0"/>
          <w:sz w:val="32"/>
          <w:szCs w:val="32"/>
          <w:shd w:val="clear" w:fill="FFFFFF"/>
        </w:rPr>
        <w:t> </w:t>
      </w:r>
    </w:p>
    <w:p w14:paraId="348268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（一）</w:t>
      </w:r>
      <w:r>
        <w:rPr>
          <w:rFonts w:hint="eastAsia" w:ascii="仿宋" w:hAnsi="仿宋" w:eastAsia="仿宋"/>
          <w:color w:val="494949"/>
          <w:sz w:val="32"/>
          <w:szCs w:val="32"/>
        </w:rPr>
        <w:t>承担维护千山区城市道路环境卫生、负责乡镇垃圾清运、环境卫生设施建设、卫生监督、卫生设施运营与维护、卫生作业管理、公厕建设规划、维修、内饰、清掏、保洁管理等事务性工作；</w:t>
      </w:r>
    </w:p>
    <w:p w14:paraId="7BDE4584">
      <w:pPr>
        <w:pStyle w:val="2"/>
        <w:shd w:val="clear" w:color="auto" w:fill="FFFFFF"/>
        <w:spacing w:before="0" w:beforeAutospacing="0" w:after="0" w:afterAutospacing="0"/>
        <w:ind w:firstLine="640" w:firstLineChars="200"/>
        <w:rPr>
          <w:rFonts w:hint="eastAsia" w:ascii="仿宋" w:hAnsi="仿宋" w:eastAsia="仿宋"/>
          <w:color w:val="494949"/>
          <w:sz w:val="32"/>
          <w:szCs w:val="32"/>
        </w:rPr>
      </w:pPr>
      <w:r>
        <w:rPr>
          <w:rFonts w:hint="eastAsia" w:ascii="仿宋" w:hAnsi="仿宋" w:eastAsia="仿宋" w:cs="仿宋"/>
          <w:i w:val="0"/>
          <w:iCs w:val="0"/>
          <w:caps w:val="0"/>
          <w:color w:val="000000"/>
          <w:spacing w:val="0"/>
          <w:sz w:val="32"/>
          <w:szCs w:val="32"/>
          <w:shd w:val="clear" w:fill="FFFFFF"/>
        </w:rPr>
        <w:t>（二）</w:t>
      </w:r>
      <w:r>
        <w:rPr>
          <w:rFonts w:hint="eastAsia" w:ascii="仿宋" w:hAnsi="仿宋" w:eastAsia="仿宋"/>
          <w:color w:val="494949"/>
          <w:sz w:val="32"/>
          <w:szCs w:val="32"/>
        </w:rPr>
        <w:t>承担园林绿地建设、园林绿地管理与维护等事务性工作；</w:t>
      </w:r>
    </w:p>
    <w:p w14:paraId="0C85D6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rPr>
          <w:rFonts w:hint="eastAsia" w:ascii="微软雅黑" w:hAnsi="微软雅黑" w:eastAsia="仿宋" w:cs="微软雅黑"/>
          <w:i w:val="0"/>
          <w:iCs w:val="0"/>
          <w:caps w:val="0"/>
          <w:color w:val="000000"/>
          <w:spacing w:val="0"/>
          <w:sz w:val="24"/>
          <w:szCs w:val="24"/>
          <w:lang w:eastAsia="zh-CN"/>
        </w:rPr>
      </w:pP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三</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完成区城市管理和综合行政执法局交办的其他任务。</w:t>
      </w:r>
    </w:p>
    <w:p w14:paraId="71B922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二、机构设置</w:t>
      </w:r>
      <w:r>
        <w:rPr>
          <w:rFonts w:hint="eastAsia" w:ascii="仿宋_GB2312" w:hAnsi="微软雅黑" w:eastAsia="仿宋_GB2312" w:cs="仿宋_GB2312"/>
          <w:i w:val="0"/>
          <w:iCs w:val="0"/>
          <w:caps w:val="0"/>
          <w:color w:val="000000"/>
          <w:spacing w:val="0"/>
          <w:sz w:val="32"/>
          <w:szCs w:val="32"/>
          <w:shd w:val="clear" w:fill="FFFFFF"/>
        </w:rPr>
        <w:t> </w:t>
      </w:r>
    </w:p>
    <w:p w14:paraId="1706496E">
      <w:pPr>
        <w:widowControl/>
        <w:spacing w:line="560" w:lineRule="exact"/>
        <w:ind w:firstLine="320" w:firstLineChars="1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纳入</w:t>
      </w:r>
      <w:r>
        <w:rPr>
          <w:rFonts w:hint="eastAsia" w:ascii="仿宋_GB2312" w:hAnsi="宋体" w:eastAsia="仿宋_GB2312" w:cs="宋体"/>
          <w:kern w:val="0"/>
          <w:sz w:val="32"/>
          <w:szCs w:val="32"/>
          <w:lang w:val="en-US" w:eastAsia="zh-CN"/>
        </w:rPr>
        <w:t>鞍山市千山区城市管理事务中心</w:t>
      </w:r>
      <w:r>
        <w:rPr>
          <w:rFonts w:hint="eastAsia" w:ascii="仿宋_GB2312" w:hAnsi="宋体" w:eastAsia="仿宋_GB2312" w:cs="宋体"/>
          <w:b w:val="0"/>
          <w:bCs w:val="0"/>
          <w:kern w:val="0"/>
          <w:sz w:val="32"/>
          <w:szCs w:val="32"/>
        </w:rPr>
        <w:t>部门</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 xml:space="preserve">年部门预算编制范围的二级预算单位包括： </w:t>
      </w:r>
    </w:p>
    <w:p w14:paraId="0BBEA0FF">
      <w:pPr>
        <w:widowControl/>
        <w:spacing w:line="560" w:lineRule="exact"/>
        <w:jc w:val="left"/>
        <w:rPr>
          <w:rFonts w:hint="eastAsia" w:ascii="楷体" w:hAnsi="楷体" w:eastAsia="楷体" w:cs="宋体"/>
          <w:b/>
          <w:bCs/>
          <w:kern w:val="0"/>
          <w:sz w:val="32"/>
          <w:szCs w:val="32"/>
        </w:rPr>
      </w:pPr>
      <w:r>
        <w:rPr>
          <w:rFonts w:hint="eastAsia" w:ascii="仿宋_GB2312" w:hAnsi="宋体" w:eastAsia="仿宋_GB2312" w:cs="宋体"/>
          <w:kern w:val="0"/>
          <w:sz w:val="32"/>
          <w:szCs w:val="32"/>
        </w:rPr>
        <w:t xml:space="preserve">    1.</w:t>
      </w:r>
      <w:r>
        <w:rPr>
          <w:rFonts w:hint="eastAsia" w:ascii="仿宋_GB2312" w:hAnsi="宋体" w:eastAsia="仿宋_GB2312" w:cs="宋体"/>
          <w:kern w:val="0"/>
          <w:sz w:val="32"/>
          <w:szCs w:val="32"/>
          <w:lang w:val="en-US" w:eastAsia="zh-CN"/>
        </w:rPr>
        <w:t>鞍山市千山区城市管理事务中心</w:t>
      </w:r>
    </w:p>
    <w:p w14:paraId="670193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部门（单位）预算表</w:t>
      </w:r>
      <w:r>
        <w:rPr>
          <w:rFonts w:hint="eastAsia" w:ascii="楷体" w:hAnsi="楷体" w:eastAsia="楷体" w:cs="楷体"/>
          <w:i w:val="0"/>
          <w:iCs w:val="0"/>
          <w:caps w:val="0"/>
          <w:color w:val="000000"/>
          <w:spacing w:val="0"/>
          <w:sz w:val="32"/>
          <w:szCs w:val="32"/>
          <w:shd w:val="clear" w:fill="FFFFFF"/>
        </w:rPr>
        <w:t> </w:t>
      </w:r>
    </w:p>
    <w:p w14:paraId="419E9C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2025年部门（单位）预算表（具体明细见附表） </w:t>
      </w:r>
    </w:p>
    <w:p w14:paraId="45652A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bookmarkStart w:id="0" w:name="_GoBack"/>
      <w:bookmarkEnd w:id="0"/>
    </w:p>
    <w:p w14:paraId="327AA9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3E9FF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041CF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0AF82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5213E0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C272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w:t>
      </w:r>
      <w:r>
        <w:rPr>
          <w:rFonts w:hint="eastAsia" w:ascii="宋体" w:hAnsi="宋体" w:eastAsia="宋体" w:cs="宋体"/>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部门（单位）预算情况说明</w:t>
      </w:r>
      <w:r>
        <w:rPr>
          <w:rFonts w:hint="eastAsia" w:ascii="楷体" w:hAnsi="楷体" w:eastAsia="楷体" w:cs="楷体"/>
          <w:i w:val="0"/>
          <w:iCs w:val="0"/>
          <w:caps w:val="0"/>
          <w:color w:val="000000"/>
          <w:spacing w:val="0"/>
          <w:sz w:val="32"/>
          <w:szCs w:val="32"/>
          <w:shd w:val="clear" w:fill="FFFFFF"/>
        </w:rPr>
        <w:t> </w:t>
      </w:r>
    </w:p>
    <w:p w14:paraId="32C5D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    一、收支预算的总体说明</w:t>
      </w:r>
      <w:r>
        <w:rPr>
          <w:rFonts w:hint="eastAsia" w:ascii="楷体" w:hAnsi="楷体" w:eastAsia="楷体" w:cs="楷体"/>
          <w:i w:val="0"/>
          <w:iCs w:val="0"/>
          <w:caps w:val="0"/>
          <w:color w:val="000000"/>
          <w:spacing w:val="0"/>
          <w:sz w:val="32"/>
          <w:szCs w:val="32"/>
          <w:shd w:val="clear" w:fill="FFFFFF"/>
        </w:rPr>
        <w:t> </w:t>
      </w:r>
    </w:p>
    <w:p w14:paraId="454EE2DE">
      <w:pPr>
        <w:widowControl/>
        <w:spacing w:line="560" w:lineRule="exact"/>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宋体" w:eastAsia="仿宋_GB2312" w:cs="宋体"/>
          <w:kern w:val="0"/>
          <w:sz w:val="32"/>
          <w:szCs w:val="32"/>
        </w:rPr>
        <w:t xml:space="preserve"> 按照综合预算的原则，</w:t>
      </w:r>
      <w:r>
        <w:rPr>
          <w:rFonts w:hint="eastAsia" w:ascii="仿宋_GB2312" w:hAnsi="宋体" w:eastAsia="仿宋_GB2312" w:cs="宋体"/>
          <w:kern w:val="0"/>
          <w:sz w:val="32"/>
          <w:szCs w:val="32"/>
          <w:lang w:val="en-US" w:eastAsia="zh-CN"/>
        </w:rPr>
        <w:t>鞍山市千山区城市管理事务中心</w:t>
      </w:r>
      <w:r>
        <w:rPr>
          <w:rFonts w:hint="eastAsia" w:ascii="仿宋_GB2312" w:hAnsi="宋体" w:eastAsia="仿宋_GB2312" w:cs="宋体"/>
          <w:kern w:val="0"/>
          <w:sz w:val="32"/>
          <w:szCs w:val="32"/>
        </w:rPr>
        <w:t>部门及所属单位所有收入和支出均纳入部门预算管理，202</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年收支总预算</w:t>
      </w:r>
      <w:r>
        <w:rPr>
          <w:rFonts w:hint="eastAsia" w:ascii="仿宋_GB2312" w:hAnsi="宋体" w:eastAsia="仿宋_GB2312" w:cs="宋体"/>
          <w:kern w:val="0"/>
          <w:sz w:val="32"/>
          <w:szCs w:val="32"/>
          <w:lang w:val="en-US" w:eastAsia="zh-CN"/>
        </w:rPr>
        <w:t>2957.34</w:t>
      </w:r>
      <w:r>
        <w:rPr>
          <w:rFonts w:hint="eastAsia" w:ascii="仿宋_GB2312" w:hAnsi="宋体" w:eastAsia="仿宋_GB2312" w:cs="宋体"/>
          <w:kern w:val="0"/>
          <w:sz w:val="32"/>
          <w:szCs w:val="32"/>
        </w:rPr>
        <w:t>万元。</w:t>
      </w:r>
    </w:p>
    <w:p w14:paraId="3DF929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（一）收入预算</w:t>
      </w:r>
      <w:r>
        <w:rPr>
          <w:rFonts w:hint="eastAsia" w:ascii="仿宋_GB2312" w:hAnsi="宋体" w:eastAsia="仿宋_GB2312" w:cs="宋体"/>
          <w:kern w:val="0"/>
          <w:sz w:val="32"/>
          <w:szCs w:val="32"/>
          <w:lang w:val="en-US" w:eastAsia="zh-CN"/>
        </w:rPr>
        <w:t>2957.34</w:t>
      </w:r>
      <w:r>
        <w:rPr>
          <w:rFonts w:hint="eastAsia" w:ascii="仿宋_GB2312" w:hAnsi="微软雅黑" w:eastAsia="仿宋_GB2312" w:cs="仿宋_GB2312"/>
          <w:i w:val="0"/>
          <w:iCs w:val="0"/>
          <w:caps w:val="0"/>
          <w:color w:val="000000"/>
          <w:spacing w:val="0"/>
          <w:sz w:val="32"/>
          <w:szCs w:val="32"/>
          <w:shd w:val="clear" w:fill="FFFFFF"/>
        </w:rPr>
        <w:t>万元，其中：</w:t>
      </w:r>
    </w:p>
    <w:p w14:paraId="140E47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1.一般公共预算拨款收入</w:t>
      </w:r>
      <w:r>
        <w:rPr>
          <w:rFonts w:hint="eastAsia" w:ascii="仿宋_GB2312" w:hAnsi="宋体" w:eastAsia="仿宋_GB2312" w:cs="宋体"/>
          <w:kern w:val="0"/>
          <w:sz w:val="32"/>
          <w:szCs w:val="32"/>
          <w:lang w:val="en-US" w:eastAsia="zh-CN"/>
        </w:rPr>
        <w:t>2957.34</w:t>
      </w:r>
      <w:r>
        <w:rPr>
          <w:rFonts w:hint="eastAsia" w:ascii="仿宋_GB2312" w:hAnsi="微软雅黑" w:eastAsia="仿宋_GB2312" w:cs="仿宋_GB2312"/>
          <w:i w:val="0"/>
          <w:iCs w:val="0"/>
          <w:caps w:val="0"/>
          <w:color w:val="000000"/>
          <w:spacing w:val="0"/>
          <w:sz w:val="32"/>
          <w:szCs w:val="32"/>
          <w:shd w:val="clear" w:fill="FFFFFF"/>
        </w:rPr>
        <w:t>万元；</w:t>
      </w:r>
    </w:p>
    <w:p w14:paraId="64B9D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320" w:firstLineChars="10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08867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320" w:firstLineChars="10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3.国有资本经营预算拨款收入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1FDDD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4.财政专户管理资金收入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663FA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320" w:firstLineChars="10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5.单位资金收入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6D913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320" w:firstLineChars="10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16573E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（二）支出预算</w:t>
      </w:r>
      <w:r>
        <w:rPr>
          <w:rFonts w:hint="eastAsia" w:ascii="仿宋_GB2312" w:hAnsi="宋体" w:eastAsia="仿宋_GB2312" w:cs="宋体"/>
          <w:kern w:val="0"/>
          <w:sz w:val="32"/>
          <w:szCs w:val="32"/>
          <w:lang w:val="en-US" w:eastAsia="zh-CN"/>
        </w:rPr>
        <w:t>2957.34</w:t>
      </w:r>
      <w:r>
        <w:rPr>
          <w:rFonts w:hint="eastAsia" w:ascii="仿宋_GB2312" w:hAnsi="微软雅黑" w:eastAsia="仿宋_GB2312" w:cs="仿宋_GB2312"/>
          <w:i w:val="0"/>
          <w:iCs w:val="0"/>
          <w:caps w:val="0"/>
          <w:color w:val="000000"/>
          <w:spacing w:val="0"/>
          <w:sz w:val="32"/>
          <w:szCs w:val="32"/>
          <w:shd w:val="clear" w:fill="FFFFFF"/>
        </w:rPr>
        <w:t>万元，其中：</w:t>
      </w:r>
    </w:p>
    <w:p w14:paraId="400DE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1.基本支出965.56万元；</w:t>
      </w:r>
    </w:p>
    <w:p w14:paraId="124C6C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2.项目支出1991.78万元。</w:t>
      </w:r>
    </w:p>
    <w:p w14:paraId="3E9809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在支出预算中，其中社会保障和就业支出111.17</w:t>
      </w:r>
      <w:r>
        <w:rPr>
          <w:rFonts w:hint="eastAsia" w:ascii="仿宋_GB2312" w:hAnsi="微软雅黑" w:eastAsia="仿宋_GB2312" w:cs="仿宋_GB2312"/>
          <w:i w:val="0"/>
          <w:iCs w:val="0"/>
          <w:caps w:val="0"/>
          <w:color w:val="000000"/>
          <w:spacing w:val="0"/>
          <w:sz w:val="32"/>
          <w:szCs w:val="32"/>
          <w:shd w:val="clear" w:fill="FFFFFF"/>
          <w:lang w:eastAsia="zh-CN"/>
        </w:rPr>
        <w:t>万元，卫生健康支出</w:t>
      </w:r>
      <w:r>
        <w:rPr>
          <w:rFonts w:hint="eastAsia" w:ascii="仿宋_GB2312" w:hAnsi="微软雅黑" w:eastAsia="仿宋_GB2312" w:cs="仿宋_GB2312"/>
          <w:i w:val="0"/>
          <w:iCs w:val="0"/>
          <w:caps w:val="0"/>
          <w:color w:val="000000"/>
          <w:spacing w:val="0"/>
          <w:sz w:val="32"/>
          <w:szCs w:val="32"/>
          <w:shd w:val="clear" w:fill="FFFFFF"/>
          <w:lang w:val="en-US" w:eastAsia="zh-CN"/>
        </w:rPr>
        <w:t>25.52万元，城乡社区支出2773.85万元，住房保障支出46.8万元</w:t>
      </w:r>
      <w:r>
        <w:rPr>
          <w:rFonts w:hint="eastAsia" w:ascii="仿宋_GB2312" w:hAnsi="微软雅黑" w:eastAsia="仿宋_GB2312" w:cs="仿宋_GB2312"/>
          <w:i w:val="0"/>
          <w:iCs w:val="0"/>
          <w:caps w:val="0"/>
          <w:color w:val="000000"/>
          <w:spacing w:val="0"/>
          <w:sz w:val="32"/>
          <w:szCs w:val="32"/>
          <w:shd w:val="clear" w:fill="FFFFFF"/>
        </w:rPr>
        <w:t> 。</w:t>
      </w:r>
    </w:p>
    <w:p w14:paraId="1393A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在支出预算中，其中机关运行经费支出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万元，债务支出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万元，国有资本经营预算支出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万元，政府采购支出</w:t>
      </w:r>
      <w:r>
        <w:rPr>
          <w:rFonts w:hint="eastAsia" w:ascii="仿宋_GB2312" w:hAnsi="微软雅黑" w:eastAsia="仿宋_GB2312" w:cs="仿宋_GB2312"/>
          <w:i w:val="0"/>
          <w:iCs w:val="0"/>
          <w:caps w:val="0"/>
          <w:color w:val="000000"/>
          <w:spacing w:val="0"/>
          <w:sz w:val="32"/>
          <w:szCs w:val="32"/>
          <w:shd w:val="clear" w:fill="FFFFFF"/>
          <w:lang w:val="en-US" w:eastAsia="zh-CN"/>
        </w:rPr>
        <w:t>35.8</w:t>
      </w:r>
      <w:r>
        <w:rPr>
          <w:rFonts w:hint="eastAsia" w:ascii="仿宋_GB2312" w:hAnsi="微软雅黑" w:eastAsia="仿宋_GB2312" w:cs="仿宋_GB2312"/>
          <w:i w:val="0"/>
          <w:iCs w:val="0"/>
          <w:caps w:val="0"/>
          <w:color w:val="000000"/>
          <w:spacing w:val="0"/>
          <w:sz w:val="32"/>
          <w:szCs w:val="32"/>
          <w:shd w:val="clear" w:fill="FFFFFF"/>
        </w:rPr>
        <w:t> 万元，政府购买服务支出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74FCC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收支预算增减情况。2025年，</w:t>
      </w:r>
      <w:r>
        <w:rPr>
          <w:rFonts w:hint="eastAsia" w:ascii="仿宋_GB2312" w:eastAsia="仿宋_GB2312"/>
          <w:sz w:val="32"/>
          <w:szCs w:val="32"/>
          <w:lang w:val="en-US" w:eastAsia="zh-CN"/>
        </w:rPr>
        <w:t>鞍山市千山区城市管理事务中心</w:t>
      </w:r>
      <w:r>
        <w:rPr>
          <w:rFonts w:hint="eastAsia" w:ascii="仿宋_GB2312" w:eastAsia="仿宋_GB2312"/>
          <w:sz w:val="32"/>
          <w:szCs w:val="32"/>
        </w:rPr>
        <w:t>部门及所属单位部门收</w:t>
      </w:r>
      <w:r>
        <w:rPr>
          <w:rFonts w:hint="eastAsia" w:ascii="仿宋_GB2312" w:eastAsia="仿宋_GB2312"/>
          <w:sz w:val="32"/>
          <w:szCs w:val="32"/>
          <w:lang w:eastAsia="zh-CN"/>
        </w:rPr>
        <w:t>支</w:t>
      </w:r>
      <w:r>
        <w:rPr>
          <w:rFonts w:hint="eastAsia" w:ascii="仿宋_GB2312" w:eastAsia="仿宋_GB2312"/>
          <w:sz w:val="32"/>
          <w:szCs w:val="32"/>
        </w:rPr>
        <w:t>预算</w:t>
      </w:r>
      <w:r>
        <w:rPr>
          <w:rFonts w:hint="eastAsia" w:ascii="仿宋_GB2312" w:hAnsi="宋体" w:eastAsia="仿宋_GB2312" w:cs="宋体"/>
          <w:kern w:val="0"/>
          <w:sz w:val="32"/>
          <w:szCs w:val="32"/>
          <w:lang w:val="en-US" w:eastAsia="zh-CN"/>
        </w:rPr>
        <w:t>2957.34</w:t>
      </w:r>
      <w:r>
        <w:rPr>
          <w:rFonts w:hint="eastAsia" w:ascii="仿宋_GB2312" w:eastAsia="仿宋_GB2312"/>
          <w:sz w:val="32"/>
          <w:szCs w:val="32"/>
        </w:rPr>
        <w:t>万元，</w:t>
      </w:r>
      <w:r>
        <w:rPr>
          <w:rFonts w:hint="eastAsia" w:ascii="仿宋_GB2312" w:eastAsia="仿宋_GB2312"/>
          <w:sz w:val="32"/>
          <w:szCs w:val="32"/>
          <w:lang w:eastAsia="zh-CN"/>
        </w:rPr>
        <w:t>新成立单位，上年无预算</w:t>
      </w:r>
      <w:r>
        <w:rPr>
          <w:rFonts w:hint="eastAsia" w:ascii="仿宋_GB2312" w:eastAsia="仿宋_GB2312"/>
          <w:color w:val="000000"/>
          <w:sz w:val="32"/>
          <w:szCs w:val="32"/>
        </w:rPr>
        <w:t>。</w:t>
      </w:r>
    </w:p>
    <w:p w14:paraId="60EA3B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二、财政拨款收支预算情况说明</w:t>
      </w:r>
      <w:r>
        <w:rPr>
          <w:rFonts w:hint="eastAsia" w:ascii="楷体" w:hAnsi="楷体" w:eastAsia="楷体" w:cs="楷体"/>
          <w:i w:val="0"/>
          <w:iCs w:val="0"/>
          <w:caps w:val="0"/>
          <w:color w:val="000000"/>
          <w:spacing w:val="0"/>
          <w:sz w:val="32"/>
          <w:szCs w:val="32"/>
          <w:shd w:val="clear" w:fill="FFFFFF"/>
        </w:rPr>
        <w:t> </w:t>
      </w:r>
    </w:p>
    <w:p w14:paraId="2C3654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宋体" w:eastAsia="仿宋_GB2312" w:cs="宋体"/>
          <w:kern w:val="0"/>
          <w:sz w:val="32"/>
          <w:szCs w:val="32"/>
          <w:lang w:val="en-US" w:eastAsia="zh-CN"/>
        </w:rPr>
        <w:t xml:space="preserve"> 鞍山市千山区城市管理事务中心</w:t>
      </w:r>
      <w:r>
        <w:rPr>
          <w:rFonts w:hint="eastAsia" w:ascii="仿宋_GB2312" w:hAnsi="微软雅黑" w:eastAsia="仿宋_GB2312" w:cs="仿宋_GB2312"/>
          <w:i w:val="0"/>
          <w:iCs w:val="0"/>
          <w:caps w:val="0"/>
          <w:color w:val="000000"/>
          <w:spacing w:val="0"/>
          <w:sz w:val="32"/>
          <w:szCs w:val="32"/>
          <w:shd w:val="clear" w:fill="FFFFFF"/>
        </w:rPr>
        <w:t>部门及所属单位2025年财政拨款收支总预算</w:t>
      </w:r>
      <w:r>
        <w:rPr>
          <w:rFonts w:hint="eastAsia" w:ascii="仿宋_GB2312" w:hAnsi="宋体" w:eastAsia="仿宋_GB2312" w:cs="宋体"/>
          <w:kern w:val="0"/>
          <w:sz w:val="32"/>
          <w:szCs w:val="32"/>
          <w:lang w:val="en-US" w:eastAsia="zh-CN"/>
        </w:rPr>
        <w:t>2957.34</w:t>
      </w:r>
      <w:r>
        <w:rPr>
          <w:rFonts w:hint="eastAsia" w:ascii="仿宋_GB2312" w:hAnsi="微软雅黑" w:eastAsia="仿宋_GB2312" w:cs="仿宋_GB2312"/>
          <w:i w:val="0"/>
          <w:iCs w:val="0"/>
          <w:caps w:val="0"/>
          <w:color w:val="000000"/>
          <w:spacing w:val="0"/>
          <w:sz w:val="32"/>
          <w:szCs w:val="32"/>
          <w:shd w:val="clear" w:fill="FFFFFF"/>
        </w:rPr>
        <w:t>万元。收入预算为一般公共预算拨款，无政府性基金预算拨款和国有资本经营预算拨款，包括：当年财政拨款收入</w:t>
      </w:r>
      <w:r>
        <w:rPr>
          <w:rFonts w:hint="eastAsia" w:ascii="仿宋_GB2312" w:hAnsi="宋体" w:eastAsia="仿宋_GB2312" w:cs="宋体"/>
          <w:kern w:val="0"/>
          <w:sz w:val="32"/>
          <w:szCs w:val="32"/>
          <w:lang w:val="en-US" w:eastAsia="zh-CN"/>
        </w:rPr>
        <w:t>2957.34</w:t>
      </w:r>
      <w:r>
        <w:rPr>
          <w:rFonts w:hint="eastAsia" w:ascii="仿宋_GB2312" w:hAnsi="微软雅黑" w:eastAsia="仿宋_GB2312" w:cs="仿宋_GB2312"/>
          <w:i w:val="0"/>
          <w:iCs w:val="0"/>
          <w:caps w:val="0"/>
          <w:color w:val="000000"/>
          <w:spacing w:val="0"/>
          <w:sz w:val="32"/>
          <w:szCs w:val="32"/>
          <w:shd w:val="clear" w:fill="FFFFFF"/>
        </w:rPr>
        <w:t>万元，上年结转结余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万元；支出预算按功能支出包括：社会保障和就业支出111.17</w:t>
      </w:r>
      <w:r>
        <w:rPr>
          <w:rFonts w:hint="eastAsia" w:ascii="仿宋_GB2312" w:hAnsi="微软雅黑" w:eastAsia="仿宋_GB2312" w:cs="仿宋_GB2312"/>
          <w:i w:val="0"/>
          <w:iCs w:val="0"/>
          <w:caps w:val="0"/>
          <w:color w:val="000000"/>
          <w:spacing w:val="0"/>
          <w:sz w:val="32"/>
          <w:szCs w:val="32"/>
          <w:shd w:val="clear" w:fill="FFFFFF"/>
          <w:lang w:eastAsia="zh-CN"/>
        </w:rPr>
        <w:t>万元，卫生健康支出</w:t>
      </w:r>
      <w:r>
        <w:rPr>
          <w:rFonts w:hint="eastAsia" w:ascii="仿宋_GB2312" w:hAnsi="微软雅黑" w:eastAsia="仿宋_GB2312" w:cs="仿宋_GB2312"/>
          <w:i w:val="0"/>
          <w:iCs w:val="0"/>
          <w:caps w:val="0"/>
          <w:color w:val="000000"/>
          <w:spacing w:val="0"/>
          <w:sz w:val="32"/>
          <w:szCs w:val="32"/>
          <w:shd w:val="clear" w:fill="FFFFFF"/>
          <w:lang w:val="en-US" w:eastAsia="zh-CN"/>
        </w:rPr>
        <w:t>25.52万元，城乡社区支出2773.85万元，住房保障支出46.8万元</w:t>
      </w:r>
      <w:r>
        <w:rPr>
          <w:rFonts w:hint="eastAsia" w:ascii="仿宋_GB2312" w:hAnsi="微软雅黑" w:eastAsia="仿宋_GB2312" w:cs="仿宋_GB2312"/>
          <w:i w:val="0"/>
          <w:iCs w:val="0"/>
          <w:caps w:val="0"/>
          <w:color w:val="000000"/>
          <w:spacing w:val="0"/>
          <w:sz w:val="32"/>
          <w:szCs w:val="32"/>
          <w:shd w:val="clear" w:fill="FFFFFF"/>
        </w:rPr>
        <w:t> ；按经济支出包括:工资福利支出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548.85</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377.62</w:t>
      </w:r>
      <w:r>
        <w:rPr>
          <w:rFonts w:hint="eastAsia" w:ascii="仿宋_GB2312" w:hAnsi="微软雅黑" w:eastAsia="仿宋_GB2312" w:cs="仿宋_GB2312"/>
          <w:i w:val="0"/>
          <w:iCs w:val="0"/>
          <w:caps w:val="0"/>
          <w:color w:val="000000"/>
          <w:spacing w:val="0"/>
          <w:sz w:val="32"/>
          <w:szCs w:val="32"/>
          <w:shd w:val="clear" w:fill="FFFFFF"/>
        </w:rPr>
        <w:t>万元，对个人和家庭的补助</w:t>
      </w:r>
      <w:r>
        <w:rPr>
          <w:rFonts w:hint="eastAsia" w:ascii="仿宋_GB2312" w:hAnsi="微软雅黑" w:eastAsia="仿宋_GB2312" w:cs="仿宋_GB2312"/>
          <w:i w:val="0"/>
          <w:iCs w:val="0"/>
          <w:caps w:val="0"/>
          <w:color w:val="000000"/>
          <w:spacing w:val="0"/>
          <w:sz w:val="32"/>
          <w:szCs w:val="32"/>
          <w:shd w:val="clear" w:fill="FFFFFF"/>
          <w:lang w:val="en-US" w:eastAsia="zh-CN"/>
        </w:rPr>
        <w:t>39.09</w:t>
      </w:r>
      <w:r>
        <w:rPr>
          <w:rFonts w:hint="eastAsia" w:ascii="仿宋_GB2312" w:hAnsi="微软雅黑" w:eastAsia="仿宋_GB2312" w:cs="仿宋_GB2312"/>
          <w:i w:val="0"/>
          <w:iCs w:val="0"/>
          <w:caps w:val="0"/>
          <w:color w:val="000000"/>
          <w:spacing w:val="0"/>
          <w:sz w:val="32"/>
          <w:szCs w:val="32"/>
          <w:shd w:val="clear" w:fill="FFFFFF"/>
        </w:rPr>
        <w:t>万元，项目支出</w:t>
      </w:r>
      <w:r>
        <w:rPr>
          <w:rFonts w:hint="eastAsia" w:ascii="仿宋_GB2312" w:hAnsi="微软雅黑" w:eastAsia="仿宋_GB2312" w:cs="仿宋_GB2312"/>
          <w:i w:val="0"/>
          <w:iCs w:val="0"/>
          <w:caps w:val="0"/>
          <w:color w:val="000000"/>
          <w:spacing w:val="0"/>
          <w:sz w:val="32"/>
          <w:szCs w:val="32"/>
          <w:shd w:val="clear" w:fill="FFFFFF"/>
          <w:lang w:val="en-US" w:eastAsia="zh-CN"/>
        </w:rPr>
        <w:t>1991.78</w:t>
      </w:r>
      <w:r>
        <w:rPr>
          <w:rFonts w:hint="eastAsia" w:ascii="仿宋_GB2312" w:hAnsi="微软雅黑" w:eastAsia="仿宋_GB2312" w:cs="仿宋_GB2312"/>
          <w:i w:val="0"/>
          <w:iCs w:val="0"/>
          <w:caps w:val="0"/>
          <w:color w:val="000000"/>
          <w:spacing w:val="0"/>
          <w:sz w:val="32"/>
          <w:szCs w:val="32"/>
          <w:shd w:val="clear" w:fill="FFFFFF"/>
        </w:rPr>
        <w:t>万元。 </w:t>
      </w:r>
    </w:p>
    <w:p w14:paraId="7DCFF1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财政拨款收支预算增减情况。2025年，</w:t>
      </w:r>
      <w:r>
        <w:rPr>
          <w:rFonts w:hint="eastAsia" w:ascii="仿宋_GB2312" w:hAnsi="宋体" w:eastAsia="仿宋_GB2312" w:cs="宋体"/>
          <w:kern w:val="0"/>
          <w:sz w:val="32"/>
          <w:szCs w:val="32"/>
          <w:lang w:val="en-US" w:eastAsia="zh-CN"/>
        </w:rPr>
        <w:t xml:space="preserve"> 鞍山市千山区城市管理事务中心</w:t>
      </w:r>
      <w:r>
        <w:rPr>
          <w:rFonts w:hint="eastAsia" w:ascii="仿宋_GB2312" w:hAnsi="微软雅黑" w:eastAsia="仿宋_GB2312" w:cs="仿宋_GB2312"/>
          <w:i w:val="0"/>
          <w:iCs w:val="0"/>
          <w:caps w:val="0"/>
          <w:color w:val="000000"/>
          <w:spacing w:val="0"/>
          <w:sz w:val="32"/>
          <w:szCs w:val="32"/>
          <w:shd w:val="clear" w:fill="FFFFFF"/>
        </w:rPr>
        <w:t>部门及所属单位部门财政拨款收支预算</w:t>
      </w:r>
      <w:r>
        <w:rPr>
          <w:rFonts w:hint="eastAsia" w:ascii="仿宋_GB2312" w:hAnsi="微软雅黑" w:eastAsia="仿宋_GB2312" w:cs="仿宋_GB2312"/>
          <w:i w:val="0"/>
          <w:iCs w:val="0"/>
          <w:caps w:val="0"/>
          <w:color w:val="000000"/>
          <w:spacing w:val="0"/>
          <w:sz w:val="32"/>
          <w:szCs w:val="32"/>
          <w:shd w:val="clear" w:fill="FFFFFF"/>
          <w:lang w:val="en-US" w:eastAsia="zh-CN"/>
        </w:rPr>
        <w:t>2957.34</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新成立单位，上年无预算</w:t>
      </w:r>
      <w:r>
        <w:rPr>
          <w:rFonts w:hint="eastAsia" w:ascii="仿宋_GB2312" w:hAnsi="微软雅黑" w:eastAsia="仿宋_GB2312" w:cs="仿宋_GB2312"/>
          <w:i w:val="0"/>
          <w:iCs w:val="0"/>
          <w:caps w:val="0"/>
          <w:color w:val="000000"/>
          <w:spacing w:val="0"/>
          <w:sz w:val="32"/>
          <w:szCs w:val="32"/>
          <w:shd w:val="clear" w:fill="FFFFFF"/>
        </w:rPr>
        <w:t>。</w:t>
      </w:r>
    </w:p>
    <w:p w14:paraId="167202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2"/>
          <w:szCs w:val="32"/>
          <w:shd w:val="clear" w:fill="FFFFFF"/>
        </w:rPr>
        <w:t>    三、</w:t>
      </w:r>
      <w:r>
        <w:rPr>
          <w:rFonts w:hint="eastAsia" w:ascii="楷体" w:hAnsi="楷体" w:eastAsia="楷体" w:cs="楷体"/>
          <w:b/>
          <w:bCs/>
          <w:i w:val="0"/>
          <w:iCs w:val="0"/>
          <w:caps w:val="0"/>
          <w:color w:val="000000"/>
          <w:spacing w:val="0"/>
          <w:sz w:val="32"/>
          <w:szCs w:val="32"/>
          <w:shd w:val="clear" w:fill="FFFFFF"/>
        </w:rPr>
        <w:t>一般公共预算基本支出情况说明</w:t>
      </w:r>
    </w:p>
    <w:p w14:paraId="54A721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仿宋_GB2312" w:hAnsi="宋体" w:eastAsia="仿宋_GB2312" w:cs="宋体"/>
          <w:kern w:val="0"/>
          <w:sz w:val="32"/>
          <w:szCs w:val="32"/>
          <w:lang w:val="en-US" w:eastAsia="zh-CN"/>
        </w:rPr>
        <w:t>鞍山市千山区城市管理事务中心</w:t>
      </w:r>
      <w:r>
        <w:rPr>
          <w:rFonts w:hint="eastAsia" w:ascii="仿宋_GB2312" w:hAnsi="微软雅黑" w:eastAsia="仿宋_GB2312" w:cs="仿宋_GB2312"/>
          <w:i w:val="0"/>
          <w:iCs w:val="0"/>
          <w:caps w:val="0"/>
          <w:color w:val="000000"/>
          <w:spacing w:val="0"/>
          <w:sz w:val="32"/>
          <w:szCs w:val="32"/>
          <w:shd w:val="clear" w:fill="FFFFFF"/>
        </w:rPr>
        <w:t>部门及所属单位2025年一般公共预算基本支出</w:t>
      </w:r>
      <w:r>
        <w:rPr>
          <w:rFonts w:hint="eastAsia" w:ascii="仿宋_GB2312" w:hAnsi="微软雅黑" w:eastAsia="仿宋_GB2312" w:cs="仿宋_GB2312"/>
          <w:i w:val="0"/>
          <w:iCs w:val="0"/>
          <w:caps w:val="0"/>
          <w:color w:val="000000"/>
          <w:spacing w:val="0"/>
          <w:sz w:val="32"/>
          <w:szCs w:val="32"/>
          <w:shd w:val="clear" w:fill="FFFFFF"/>
          <w:lang w:val="en-US" w:eastAsia="zh-CN"/>
        </w:rPr>
        <w:t>965.56</w:t>
      </w:r>
      <w:r>
        <w:rPr>
          <w:rFonts w:hint="eastAsia" w:ascii="仿宋_GB2312" w:hAnsi="微软雅黑" w:eastAsia="仿宋_GB2312" w:cs="仿宋_GB2312"/>
          <w:i w:val="0"/>
          <w:iCs w:val="0"/>
          <w:caps w:val="0"/>
          <w:color w:val="000000"/>
          <w:spacing w:val="0"/>
          <w:sz w:val="32"/>
          <w:szCs w:val="32"/>
          <w:shd w:val="clear" w:fill="FFFFFF"/>
        </w:rPr>
        <w:t> 万元，其中工资福利支出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548.85</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377.62</w:t>
      </w:r>
      <w:r>
        <w:rPr>
          <w:rFonts w:hint="eastAsia" w:ascii="仿宋_GB2312" w:hAnsi="微软雅黑" w:eastAsia="仿宋_GB2312" w:cs="仿宋_GB2312"/>
          <w:i w:val="0"/>
          <w:iCs w:val="0"/>
          <w:caps w:val="0"/>
          <w:color w:val="000000"/>
          <w:spacing w:val="0"/>
          <w:sz w:val="32"/>
          <w:szCs w:val="32"/>
          <w:shd w:val="clear" w:fill="FFFFFF"/>
        </w:rPr>
        <w:t>万元，对个人和家庭补助支出</w:t>
      </w:r>
      <w:r>
        <w:rPr>
          <w:rFonts w:hint="eastAsia" w:ascii="仿宋_GB2312" w:hAnsi="微软雅黑" w:eastAsia="仿宋_GB2312" w:cs="仿宋_GB2312"/>
          <w:i w:val="0"/>
          <w:iCs w:val="0"/>
          <w:caps w:val="0"/>
          <w:color w:val="000000"/>
          <w:spacing w:val="0"/>
          <w:sz w:val="32"/>
          <w:szCs w:val="32"/>
          <w:shd w:val="clear" w:fill="FFFFFF"/>
          <w:lang w:val="en-US" w:eastAsia="zh-CN"/>
        </w:rPr>
        <w:t>39.09</w:t>
      </w:r>
      <w:r>
        <w:rPr>
          <w:rFonts w:hint="eastAsia" w:ascii="仿宋_GB2312" w:hAnsi="微软雅黑" w:eastAsia="仿宋_GB2312" w:cs="仿宋_GB2312"/>
          <w:i w:val="0"/>
          <w:iCs w:val="0"/>
          <w:caps w:val="0"/>
          <w:color w:val="000000"/>
          <w:spacing w:val="0"/>
          <w:sz w:val="32"/>
          <w:szCs w:val="32"/>
          <w:shd w:val="clear" w:fill="FFFFFF"/>
        </w:rPr>
        <w:t>万元。</w:t>
      </w:r>
    </w:p>
    <w:p w14:paraId="6E2E3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人员经费（即工资福利支出与对个人和家庭补助支出之和）</w:t>
      </w:r>
      <w:r>
        <w:rPr>
          <w:rFonts w:hint="eastAsia" w:ascii="仿宋_GB2312" w:hAnsi="微软雅黑" w:eastAsia="仿宋_GB2312" w:cs="仿宋_GB2312"/>
          <w:i w:val="0"/>
          <w:iCs w:val="0"/>
          <w:caps w:val="0"/>
          <w:color w:val="000000"/>
          <w:spacing w:val="0"/>
          <w:sz w:val="32"/>
          <w:szCs w:val="32"/>
          <w:shd w:val="clear" w:fill="FFFFFF"/>
          <w:lang w:val="en-US" w:eastAsia="zh-CN"/>
        </w:rPr>
        <w:t>587.94</w:t>
      </w:r>
      <w:r>
        <w:rPr>
          <w:rFonts w:hint="eastAsia" w:ascii="仿宋_GB2312" w:hAnsi="微软雅黑" w:eastAsia="仿宋_GB2312" w:cs="仿宋_GB2312"/>
          <w:i w:val="0"/>
          <w:iCs w:val="0"/>
          <w:caps w:val="0"/>
          <w:color w:val="000000"/>
          <w:spacing w:val="0"/>
          <w:sz w:val="32"/>
          <w:szCs w:val="32"/>
          <w:shd w:val="clear" w:fill="FFFFFF"/>
        </w:rPr>
        <w:t>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i w:val="0"/>
          <w:iCs w:val="0"/>
          <w:caps w:val="0"/>
          <w:color w:val="000000"/>
          <w:spacing w:val="0"/>
          <w:sz w:val="31"/>
          <w:szCs w:val="31"/>
          <w:shd w:val="clear" w:fill="FFFFFF"/>
        </w:rPr>
        <w:t>离休费、退休费、抚恤金、生活补助、医疗费补助、奖励金、其他对个人和家庭的补助支出。</w:t>
      </w:r>
    </w:p>
    <w:p w14:paraId="13959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公用经费（即商品和服务支出）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377.62</w:t>
      </w:r>
      <w:r>
        <w:rPr>
          <w:rFonts w:hint="eastAsia" w:ascii="仿宋_GB2312" w:hAnsi="微软雅黑" w:eastAsia="仿宋_GB2312" w:cs="仿宋_GB2312"/>
          <w:i w:val="0"/>
          <w:iCs w:val="0"/>
          <w:caps w:val="0"/>
          <w:color w:val="000000"/>
          <w:spacing w:val="0"/>
          <w:sz w:val="32"/>
          <w:szCs w:val="32"/>
          <w:shd w:val="clear" w:fill="FFFFFF"/>
        </w:rPr>
        <w:t>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1FD2E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四、“三公”经费预算情况说明（请注意增减原因要与数字逻辑关系相符）</w:t>
      </w:r>
      <w:r>
        <w:rPr>
          <w:rFonts w:hint="eastAsia" w:ascii="楷体" w:hAnsi="楷体" w:eastAsia="楷体" w:cs="楷体"/>
          <w:i w:val="0"/>
          <w:iCs w:val="0"/>
          <w:caps w:val="0"/>
          <w:color w:val="000000"/>
          <w:spacing w:val="0"/>
          <w:sz w:val="32"/>
          <w:szCs w:val="32"/>
          <w:shd w:val="clear" w:fill="FFFFFF"/>
        </w:rPr>
        <w:t> </w:t>
      </w:r>
    </w:p>
    <w:p w14:paraId="1833CB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2025年财政拨款预算安排的“三公”经费预算数</w:t>
      </w:r>
      <w:r>
        <w:rPr>
          <w:rFonts w:hint="eastAsia" w:ascii="仿宋_GB2312" w:hAnsi="微软雅黑" w:eastAsia="仿宋_GB2312" w:cs="仿宋_GB2312"/>
          <w:i w:val="0"/>
          <w:iCs w:val="0"/>
          <w:caps w:val="0"/>
          <w:color w:val="000000"/>
          <w:spacing w:val="0"/>
          <w:sz w:val="32"/>
          <w:szCs w:val="32"/>
          <w:shd w:val="clear" w:fill="FFFFFF"/>
          <w:lang w:val="en-US" w:eastAsia="zh-CN"/>
        </w:rPr>
        <w:t>329.4</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上年无预算</w:t>
      </w:r>
      <w:r>
        <w:rPr>
          <w:rFonts w:hint="eastAsia" w:ascii="仿宋_GB2312" w:hAnsi="微软雅黑" w:eastAsia="仿宋_GB2312" w:cs="仿宋_GB2312"/>
          <w:i w:val="0"/>
          <w:iCs w:val="0"/>
          <w:caps w:val="0"/>
          <w:color w:val="000000"/>
          <w:spacing w:val="0"/>
          <w:sz w:val="32"/>
          <w:szCs w:val="32"/>
          <w:shd w:val="clear" w:fill="FFFFFF"/>
        </w:rPr>
        <w:t>。其中：</w:t>
      </w:r>
    </w:p>
    <w:p w14:paraId="05105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1.因公出国（境）费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5E2F91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2.公务接待费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上年无预算</w:t>
      </w:r>
      <w:r>
        <w:rPr>
          <w:rFonts w:hint="eastAsia" w:ascii="仿宋_GB2312" w:hAnsi="微软雅黑" w:eastAsia="仿宋_GB2312" w:cs="仿宋_GB2312"/>
          <w:i w:val="0"/>
          <w:iCs w:val="0"/>
          <w:caps w:val="0"/>
          <w:color w:val="000000"/>
          <w:spacing w:val="0"/>
          <w:sz w:val="32"/>
          <w:szCs w:val="32"/>
          <w:shd w:val="clear" w:fill="FFFFFF"/>
        </w:rPr>
        <w:t>。</w:t>
      </w:r>
    </w:p>
    <w:p w14:paraId="4EFD64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3.公务用车购置及运行费</w:t>
      </w:r>
      <w:r>
        <w:rPr>
          <w:rFonts w:hint="eastAsia" w:ascii="仿宋_GB2312" w:hAnsi="微软雅黑" w:eastAsia="仿宋_GB2312" w:cs="仿宋_GB2312"/>
          <w:i w:val="0"/>
          <w:iCs w:val="0"/>
          <w:caps w:val="0"/>
          <w:color w:val="000000"/>
          <w:spacing w:val="0"/>
          <w:sz w:val="32"/>
          <w:szCs w:val="32"/>
          <w:shd w:val="clear" w:fill="FFFFFF"/>
          <w:lang w:val="en-US" w:eastAsia="zh-CN"/>
        </w:rPr>
        <w:t>329.4</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上年无预算</w:t>
      </w:r>
      <w:r>
        <w:rPr>
          <w:rFonts w:hint="eastAsia" w:ascii="仿宋_GB2312" w:hAnsi="微软雅黑" w:eastAsia="仿宋_GB2312" w:cs="仿宋_GB2312"/>
          <w:i w:val="0"/>
          <w:iCs w:val="0"/>
          <w:caps w:val="0"/>
          <w:color w:val="000000"/>
          <w:spacing w:val="0"/>
          <w:sz w:val="32"/>
          <w:szCs w:val="32"/>
          <w:shd w:val="clear" w:fill="FFFFFF"/>
        </w:rPr>
        <w:t>。</w:t>
      </w:r>
    </w:p>
    <w:p w14:paraId="61F79C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（1）公务用车购置</w:t>
      </w:r>
      <w:r>
        <w:rPr>
          <w:rFonts w:hint="eastAsia" w:ascii="仿宋_GB2312" w:hAnsi="微软雅黑" w:eastAsia="仿宋_GB2312" w:cs="仿宋_GB2312"/>
          <w:i w:val="0"/>
          <w:iCs w:val="0"/>
          <w:caps w:val="0"/>
          <w:color w:val="000000"/>
          <w:spacing w:val="0"/>
          <w:sz w:val="32"/>
          <w:szCs w:val="32"/>
          <w:shd w:val="clear" w:fill="FFFFFF"/>
          <w:lang w:val="en-US" w:eastAsia="zh-CN"/>
        </w:rPr>
        <w:t>10</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上年无预算</w:t>
      </w:r>
      <w:r>
        <w:rPr>
          <w:rFonts w:hint="eastAsia" w:ascii="仿宋_GB2312" w:hAnsi="微软雅黑" w:eastAsia="仿宋_GB2312" w:cs="仿宋_GB2312"/>
          <w:i w:val="0"/>
          <w:iCs w:val="0"/>
          <w:caps w:val="0"/>
          <w:color w:val="000000"/>
          <w:spacing w:val="0"/>
          <w:sz w:val="32"/>
          <w:szCs w:val="32"/>
          <w:shd w:val="clear" w:fill="FFFFFF"/>
        </w:rPr>
        <w:t>。</w:t>
      </w:r>
    </w:p>
    <w:p w14:paraId="4027F3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（2）公务用车运行费</w:t>
      </w:r>
      <w:r>
        <w:rPr>
          <w:rFonts w:hint="eastAsia" w:ascii="仿宋_GB2312" w:hAnsi="微软雅黑" w:eastAsia="仿宋_GB2312" w:cs="仿宋_GB2312"/>
          <w:i w:val="0"/>
          <w:iCs w:val="0"/>
          <w:caps w:val="0"/>
          <w:color w:val="000000"/>
          <w:spacing w:val="0"/>
          <w:sz w:val="32"/>
          <w:szCs w:val="32"/>
          <w:shd w:val="clear" w:fill="FFFFFF"/>
          <w:lang w:val="en-US" w:eastAsia="zh-CN"/>
        </w:rPr>
        <w:t>319.4</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上年无预算</w:t>
      </w:r>
      <w:r>
        <w:rPr>
          <w:rFonts w:hint="eastAsia" w:ascii="仿宋_GB2312" w:hAnsi="微软雅黑" w:eastAsia="仿宋_GB2312" w:cs="仿宋_GB2312"/>
          <w:i w:val="0"/>
          <w:iCs w:val="0"/>
          <w:caps w:val="0"/>
          <w:color w:val="000000"/>
          <w:spacing w:val="0"/>
          <w:sz w:val="32"/>
          <w:szCs w:val="32"/>
          <w:shd w:val="clear" w:fill="FFFFFF"/>
        </w:rPr>
        <w:t>。</w:t>
      </w:r>
    </w:p>
    <w:p w14:paraId="06F21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五、其他重要事项情况说明</w:t>
      </w:r>
      <w:r>
        <w:rPr>
          <w:rFonts w:hint="eastAsia" w:ascii="楷体" w:hAnsi="楷体" w:eastAsia="楷体" w:cs="楷体"/>
          <w:i w:val="0"/>
          <w:iCs w:val="0"/>
          <w:caps w:val="0"/>
          <w:color w:val="000000"/>
          <w:spacing w:val="0"/>
          <w:sz w:val="32"/>
          <w:szCs w:val="32"/>
          <w:shd w:val="clear" w:fill="FFFFFF"/>
        </w:rPr>
        <w:t> </w:t>
      </w:r>
    </w:p>
    <w:p w14:paraId="281AA5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（一）机关（事业）运行经费安排情况 </w:t>
      </w:r>
    </w:p>
    <w:p w14:paraId="290C09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2025年机关（事业）运行经费预算为</w:t>
      </w:r>
      <w:r>
        <w:rPr>
          <w:rFonts w:hint="eastAsia" w:ascii="仿宋_GB2312" w:hAnsi="微软雅黑" w:eastAsia="仿宋_GB2312" w:cs="仿宋_GB2312"/>
          <w:i w:val="0"/>
          <w:iCs w:val="0"/>
          <w:caps w:val="0"/>
          <w:color w:val="000000"/>
          <w:spacing w:val="0"/>
          <w:sz w:val="32"/>
          <w:szCs w:val="32"/>
          <w:shd w:val="clear" w:fill="FFFFFF"/>
          <w:lang w:val="en-US" w:eastAsia="zh-CN"/>
        </w:rPr>
        <w:t>377.62</w:t>
      </w:r>
      <w:r>
        <w:rPr>
          <w:rFonts w:hint="eastAsia" w:ascii="仿宋_GB2312" w:hAnsi="微软雅黑" w:eastAsia="仿宋_GB2312" w:cs="仿宋_GB2312"/>
          <w:i w:val="0"/>
          <w:iCs w:val="0"/>
          <w:caps w:val="0"/>
          <w:color w:val="000000"/>
          <w:spacing w:val="0"/>
          <w:sz w:val="32"/>
          <w:szCs w:val="32"/>
          <w:shd w:val="clear" w:fill="FFFFFF"/>
        </w:rPr>
        <w:t>万元，主要包括本部门的办公及印刷费、邮电费、差旅费、会议费、福利费、日常维修费、专用材料及一般设备购置费、办公用房水电费、办公用房取暖费、办公用房物业管理费、公务用车运行维护费以及其他费用。</w:t>
      </w:r>
      <w:r>
        <w:rPr>
          <w:rFonts w:hint="eastAsia" w:ascii="仿宋_GB2312" w:hAnsi="微软雅黑" w:eastAsia="仿宋_GB2312" w:cs="仿宋_GB2312"/>
          <w:i w:val="0"/>
          <w:iCs w:val="0"/>
          <w:caps w:val="0"/>
          <w:color w:val="000000"/>
          <w:spacing w:val="0"/>
          <w:sz w:val="32"/>
          <w:szCs w:val="32"/>
          <w:shd w:val="clear" w:fill="FFFFFF"/>
          <w:lang w:eastAsia="zh-CN"/>
        </w:rPr>
        <w:t>新成立单位，上年无预算</w:t>
      </w:r>
      <w:r>
        <w:rPr>
          <w:rFonts w:hint="eastAsia" w:ascii="仿宋_GB2312" w:hAnsi="微软雅黑" w:eastAsia="仿宋_GB2312" w:cs="仿宋_GB2312"/>
          <w:i w:val="0"/>
          <w:iCs w:val="0"/>
          <w:caps w:val="0"/>
          <w:color w:val="000000"/>
          <w:spacing w:val="0"/>
          <w:sz w:val="32"/>
          <w:szCs w:val="32"/>
          <w:shd w:val="clear" w:fill="FFFFFF"/>
        </w:rPr>
        <w:t>。</w:t>
      </w:r>
    </w:p>
    <w:p w14:paraId="6F56D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（二）政府采购预算安排情况 </w:t>
      </w:r>
    </w:p>
    <w:p w14:paraId="7EC51D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2025年政府采购预算</w:t>
      </w:r>
      <w:r>
        <w:rPr>
          <w:rFonts w:hint="eastAsia" w:ascii="仿宋_GB2312" w:hAnsi="微软雅黑" w:eastAsia="仿宋_GB2312" w:cs="仿宋_GB2312"/>
          <w:i w:val="0"/>
          <w:iCs w:val="0"/>
          <w:caps w:val="0"/>
          <w:color w:val="000000"/>
          <w:spacing w:val="0"/>
          <w:sz w:val="32"/>
          <w:szCs w:val="32"/>
          <w:shd w:val="clear" w:fill="FFFFFF"/>
          <w:lang w:val="en-US" w:eastAsia="zh-CN"/>
        </w:rPr>
        <w:t>35.8</w:t>
      </w:r>
      <w:r>
        <w:rPr>
          <w:rFonts w:hint="eastAsia" w:ascii="仿宋_GB2312" w:hAnsi="微软雅黑" w:eastAsia="仿宋_GB2312" w:cs="仿宋_GB2312"/>
          <w:i w:val="0"/>
          <w:iCs w:val="0"/>
          <w:caps w:val="0"/>
          <w:color w:val="000000"/>
          <w:spacing w:val="0"/>
          <w:sz w:val="32"/>
          <w:szCs w:val="32"/>
          <w:shd w:val="clear" w:fill="FFFFFF"/>
        </w:rPr>
        <w:t>万元，其中：货物采购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万元，工程采购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万元，服务采购</w:t>
      </w:r>
      <w:r>
        <w:rPr>
          <w:rFonts w:hint="eastAsia" w:ascii="仿宋_GB2312" w:hAnsi="微软雅黑" w:eastAsia="仿宋_GB2312" w:cs="仿宋_GB2312"/>
          <w:i w:val="0"/>
          <w:iCs w:val="0"/>
          <w:caps w:val="0"/>
          <w:color w:val="000000"/>
          <w:spacing w:val="0"/>
          <w:sz w:val="32"/>
          <w:szCs w:val="32"/>
          <w:shd w:val="clear" w:fill="FFFFFF"/>
          <w:lang w:val="en-US" w:eastAsia="zh-CN"/>
        </w:rPr>
        <w:t>35.8</w:t>
      </w:r>
      <w:r>
        <w:rPr>
          <w:rFonts w:hint="eastAsia" w:ascii="仿宋_GB2312" w:hAnsi="微软雅黑" w:eastAsia="仿宋_GB2312" w:cs="仿宋_GB2312"/>
          <w:i w:val="0"/>
          <w:iCs w:val="0"/>
          <w:caps w:val="0"/>
          <w:color w:val="000000"/>
          <w:spacing w:val="0"/>
          <w:sz w:val="32"/>
          <w:szCs w:val="32"/>
          <w:shd w:val="clear" w:fill="FFFFFF"/>
        </w:rPr>
        <w:t>万元。</w:t>
      </w:r>
    </w:p>
    <w:p w14:paraId="3C810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（三）政府购买服务预算安排情况 </w:t>
      </w:r>
    </w:p>
    <w:p w14:paraId="6900D6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2025年政府购买服务预算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万元，其中主要用于</w:t>
      </w:r>
      <w:r>
        <w:rPr>
          <w:rFonts w:hint="eastAsia" w:ascii="仿宋_GB2312" w:hAnsi="微软雅黑" w:eastAsia="仿宋_GB2312" w:cs="仿宋_GB2312"/>
          <w:i w:val="0"/>
          <w:iCs w:val="0"/>
          <w:caps w:val="0"/>
          <w:color w:val="000000"/>
          <w:spacing w:val="0"/>
          <w:sz w:val="32"/>
          <w:szCs w:val="32"/>
          <w:shd w:val="clear" w:fill="FFFFFF"/>
          <w:lang w:eastAsia="zh-CN"/>
        </w:rPr>
        <w:t>无</w:t>
      </w:r>
      <w:r>
        <w:rPr>
          <w:rFonts w:hint="eastAsia" w:ascii="仿宋_GB2312" w:hAnsi="微软雅黑" w:eastAsia="仿宋_GB2312" w:cs="仿宋_GB2312"/>
          <w:i w:val="0"/>
          <w:iCs w:val="0"/>
          <w:caps w:val="0"/>
          <w:color w:val="000000"/>
          <w:spacing w:val="0"/>
          <w:sz w:val="32"/>
          <w:szCs w:val="32"/>
          <w:shd w:val="clear" w:fill="FFFFFF"/>
        </w:rPr>
        <w:t>。 </w:t>
      </w:r>
    </w:p>
    <w:p w14:paraId="394E2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（四）国有资产占有使用情况 </w:t>
      </w:r>
    </w:p>
    <w:p w14:paraId="329C31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截至2024年12月，</w:t>
      </w: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仿宋_GB2312" w:hAnsi="宋体" w:eastAsia="仿宋_GB2312" w:cs="宋体"/>
          <w:kern w:val="0"/>
          <w:sz w:val="32"/>
          <w:szCs w:val="32"/>
          <w:lang w:val="en-US" w:eastAsia="zh-CN"/>
        </w:rPr>
        <w:t>鞍山市千山区城市管理事务中心</w:t>
      </w:r>
      <w:r>
        <w:rPr>
          <w:rFonts w:hint="eastAsia" w:ascii="仿宋_GB2312" w:hAnsi="微软雅黑" w:eastAsia="仿宋_GB2312" w:cs="仿宋_GB2312"/>
          <w:i w:val="0"/>
          <w:iCs w:val="0"/>
          <w:caps w:val="0"/>
          <w:color w:val="000000"/>
          <w:spacing w:val="0"/>
          <w:sz w:val="32"/>
          <w:szCs w:val="32"/>
          <w:shd w:val="clear" w:fill="FFFFFF"/>
        </w:rPr>
        <w:t>及所属单位共有车辆</w:t>
      </w:r>
      <w:r>
        <w:rPr>
          <w:rFonts w:hint="eastAsia" w:ascii="仿宋_GB2312" w:hAnsi="微软雅黑" w:eastAsia="仿宋_GB2312" w:cs="仿宋_GB2312"/>
          <w:i w:val="0"/>
          <w:iCs w:val="0"/>
          <w:caps w:val="0"/>
          <w:color w:val="000000"/>
          <w:spacing w:val="0"/>
          <w:sz w:val="32"/>
          <w:szCs w:val="32"/>
          <w:shd w:val="clear" w:fill="FFFFFF"/>
          <w:lang w:val="en-US" w:eastAsia="zh-CN"/>
        </w:rPr>
        <w:t>93</w:t>
      </w:r>
      <w:r>
        <w:rPr>
          <w:rFonts w:hint="eastAsia" w:ascii="仿宋_GB2312" w:hAnsi="微软雅黑" w:eastAsia="仿宋_GB2312" w:cs="仿宋_GB2312"/>
          <w:i w:val="0"/>
          <w:iCs w:val="0"/>
          <w:caps w:val="0"/>
          <w:color w:val="000000"/>
          <w:spacing w:val="0"/>
          <w:sz w:val="32"/>
          <w:szCs w:val="32"/>
          <w:shd w:val="clear" w:fill="FFFFFF"/>
        </w:rPr>
        <w:t>辆，其中：部级领导干部用车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辆、一般公务用车XX辆、一般执法执勤用车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辆、特种专业技术用车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辆，其他用车</w:t>
      </w:r>
      <w:r>
        <w:rPr>
          <w:rFonts w:hint="eastAsia" w:ascii="仿宋_GB2312" w:hAnsi="微软雅黑" w:eastAsia="仿宋_GB2312" w:cs="仿宋_GB2312"/>
          <w:i w:val="0"/>
          <w:iCs w:val="0"/>
          <w:caps w:val="0"/>
          <w:color w:val="000000"/>
          <w:spacing w:val="0"/>
          <w:sz w:val="32"/>
          <w:szCs w:val="32"/>
          <w:shd w:val="clear" w:fill="FFFFFF"/>
          <w:lang w:val="en-US" w:eastAsia="zh-CN"/>
        </w:rPr>
        <w:t>91</w:t>
      </w:r>
      <w:r>
        <w:rPr>
          <w:rFonts w:hint="eastAsia" w:ascii="仿宋_GB2312" w:hAnsi="微软雅黑" w:eastAsia="仿宋_GB2312" w:cs="仿宋_GB2312"/>
          <w:i w:val="0"/>
          <w:iCs w:val="0"/>
          <w:caps w:val="0"/>
          <w:color w:val="000000"/>
          <w:spacing w:val="0"/>
          <w:sz w:val="32"/>
          <w:szCs w:val="32"/>
          <w:shd w:val="clear" w:fill="FFFFFF"/>
        </w:rPr>
        <w:t>辆。</w:t>
      </w:r>
    </w:p>
    <w:p w14:paraId="211BB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单位价值50万元以上有通用设备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台（套），单位价值100万元以上专业设备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 </w:t>
      </w:r>
    </w:p>
    <w:p w14:paraId="1FB03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2025年年初预算购置车辆</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台，金额</w:t>
      </w:r>
      <w:r>
        <w:rPr>
          <w:rFonts w:hint="eastAsia" w:ascii="仿宋_GB2312" w:hAnsi="微软雅黑" w:eastAsia="仿宋_GB2312" w:cs="仿宋_GB2312"/>
          <w:i w:val="0"/>
          <w:iCs w:val="0"/>
          <w:caps w:val="0"/>
          <w:color w:val="000000"/>
          <w:spacing w:val="0"/>
          <w:sz w:val="32"/>
          <w:szCs w:val="32"/>
          <w:shd w:val="clear" w:fill="FFFFFF"/>
          <w:lang w:val="en-US" w:eastAsia="zh-CN"/>
        </w:rPr>
        <w:t>10</w:t>
      </w:r>
      <w:r>
        <w:rPr>
          <w:rFonts w:hint="eastAsia" w:ascii="仿宋_GB2312" w:hAnsi="微软雅黑" w:eastAsia="仿宋_GB2312" w:cs="仿宋_GB2312"/>
          <w:i w:val="0"/>
          <w:iCs w:val="0"/>
          <w:caps w:val="0"/>
          <w:color w:val="000000"/>
          <w:spacing w:val="0"/>
          <w:sz w:val="32"/>
          <w:szCs w:val="32"/>
          <w:shd w:val="clear" w:fill="FFFFFF"/>
        </w:rPr>
        <w:t>万元。</w:t>
      </w:r>
    </w:p>
    <w:p w14:paraId="0C1E4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（五）预算资金绩效目标情况 </w:t>
      </w:r>
    </w:p>
    <w:p w14:paraId="473BA8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根据预算绩效管理要求，2025年应编制部门（单位）整体绩效目标共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个，实际编制部门（单位）整体绩效目标共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个，编制覆盖率（实际编制部门（单位）整体绩效目标/应编制部门（单位）整体绩效目标为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2"/>
          <w:szCs w:val="32"/>
          <w:shd w:val="clear" w:fill="FFFFFF"/>
        </w:rPr>
        <w:t>%。</w:t>
      </w:r>
    </w:p>
    <w:p w14:paraId="115021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2025年应编制项目绩效目标（包括特定目标类和其他运转类）</w:t>
      </w:r>
      <w:r>
        <w:rPr>
          <w:rFonts w:hint="eastAsia" w:ascii="仿宋_GB2312" w:hAnsi="微软雅黑" w:eastAsia="仿宋_GB2312" w:cs="仿宋_GB2312"/>
          <w:i w:val="0"/>
          <w:iCs w:val="0"/>
          <w:caps w:val="0"/>
          <w:color w:val="000000"/>
          <w:spacing w:val="0"/>
          <w:sz w:val="32"/>
          <w:szCs w:val="32"/>
          <w:shd w:val="clear" w:fill="FFFFFF"/>
          <w:lang w:val="en-US" w:eastAsia="zh-CN"/>
        </w:rPr>
        <w:t>3</w:t>
      </w:r>
      <w:r>
        <w:rPr>
          <w:rFonts w:hint="eastAsia" w:ascii="仿宋_GB2312" w:hAnsi="微软雅黑" w:eastAsia="仿宋_GB2312" w:cs="仿宋_GB2312"/>
          <w:i w:val="0"/>
          <w:iCs w:val="0"/>
          <w:caps w:val="0"/>
          <w:color w:val="000000"/>
          <w:spacing w:val="0"/>
          <w:sz w:val="31"/>
          <w:szCs w:val="31"/>
          <w:shd w:val="clear" w:fill="FFFFFF"/>
        </w:rPr>
        <w:t>个，实际编制项目绩效目标</w:t>
      </w:r>
      <w:r>
        <w:rPr>
          <w:rFonts w:hint="eastAsia" w:ascii="仿宋_GB2312" w:hAnsi="微软雅黑" w:eastAsia="仿宋_GB2312" w:cs="仿宋_GB2312"/>
          <w:i w:val="0"/>
          <w:iCs w:val="0"/>
          <w:caps w:val="0"/>
          <w:color w:val="000000"/>
          <w:spacing w:val="0"/>
          <w:sz w:val="32"/>
          <w:szCs w:val="32"/>
          <w:shd w:val="clear" w:fill="FFFFFF"/>
          <w:lang w:val="en-US" w:eastAsia="zh-CN"/>
        </w:rPr>
        <w:t>3</w:t>
      </w:r>
      <w:r>
        <w:rPr>
          <w:rFonts w:hint="eastAsia" w:ascii="仿宋_GB2312" w:hAnsi="微软雅黑" w:eastAsia="仿宋_GB2312" w:cs="仿宋_GB2312"/>
          <w:i w:val="0"/>
          <w:iCs w:val="0"/>
          <w:caps w:val="0"/>
          <w:color w:val="000000"/>
          <w:spacing w:val="0"/>
          <w:sz w:val="31"/>
          <w:szCs w:val="31"/>
          <w:shd w:val="clear" w:fill="FFFFFF"/>
        </w:rPr>
        <w:t>个，涉及资金</w:t>
      </w:r>
      <w:r>
        <w:rPr>
          <w:rFonts w:hint="eastAsia" w:ascii="仿宋_GB2312" w:hAnsi="微软雅黑" w:eastAsia="仿宋_GB2312" w:cs="仿宋_GB2312"/>
          <w:i w:val="0"/>
          <w:iCs w:val="0"/>
          <w:caps w:val="0"/>
          <w:color w:val="000000"/>
          <w:spacing w:val="0"/>
          <w:sz w:val="32"/>
          <w:szCs w:val="32"/>
          <w:shd w:val="clear" w:fill="FFFFFF"/>
          <w:lang w:val="en-US" w:eastAsia="zh-CN"/>
        </w:rPr>
        <w:t>1991.78</w:t>
      </w:r>
      <w:r>
        <w:rPr>
          <w:rFonts w:hint="eastAsia" w:ascii="仿宋_GB2312" w:hAnsi="微软雅黑" w:eastAsia="仿宋_GB2312" w:cs="仿宋_GB2312"/>
          <w:i w:val="0"/>
          <w:iCs w:val="0"/>
          <w:caps w:val="0"/>
          <w:color w:val="000000"/>
          <w:spacing w:val="0"/>
          <w:sz w:val="31"/>
          <w:szCs w:val="31"/>
          <w:shd w:val="clear" w:fill="FFFFFF"/>
        </w:rPr>
        <w:t>万元，编制项目绩效目标的项目覆盖率（实际编制绩效目标的数量/应编制绩效目标的数量）为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1"/>
          <w:szCs w:val="31"/>
          <w:shd w:val="clear" w:fill="FFFFFF"/>
        </w:rPr>
        <w:t>%。</w:t>
      </w:r>
    </w:p>
    <w:p w14:paraId="49D7BD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（六）预算公开表数据中没有数据的情况说明 </w:t>
      </w:r>
    </w:p>
    <w:p w14:paraId="3172C3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预算中无政府性基金预算拨款支出，项目支出中无特定目标类项目，无债务支出预算，无政府采购预算，无购买服务预算，因此“政府性基金预算支出表”、“国有资本经营预算支出表”、“债务支出预算表”、“部门管理专项资金预算表”、“政府购买服务支出预算表”</w:t>
      </w:r>
      <w:r>
        <w:rPr>
          <w:rFonts w:hint="eastAsia" w:ascii="仿宋_GB2312" w:hAnsi="微软雅黑" w:eastAsia="仿宋_GB2312" w:cs="仿宋_GB2312"/>
          <w:i w:val="0"/>
          <w:iCs w:val="0"/>
          <w:caps w:val="0"/>
          <w:color w:val="000000"/>
          <w:spacing w:val="0"/>
          <w:sz w:val="32"/>
          <w:szCs w:val="32"/>
          <w:shd w:val="clear" w:fill="FFFFFF"/>
          <w:lang w:val="en-US" w:eastAsia="zh-CN"/>
        </w:rPr>
        <w:t>5</w:t>
      </w:r>
      <w:r>
        <w:rPr>
          <w:rFonts w:hint="eastAsia" w:ascii="仿宋_GB2312" w:hAnsi="微软雅黑" w:eastAsia="仿宋_GB2312" w:cs="仿宋_GB2312"/>
          <w:i w:val="0"/>
          <w:iCs w:val="0"/>
          <w:caps w:val="0"/>
          <w:color w:val="000000"/>
          <w:spacing w:val="0"/>
          <w:sz w:val="32"/>
          <w:szCs w:val="32"/>
          <w:shd w:val="clear" w:fill="FFFFFF"/>
        </w:rPr>
        <w:t>张表中没有数据。</w:t>
      </w:r>
    </w:p>
    <w:p w14:paraId="59B9B0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5F676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（以下内容各部门根据使用科目进行说明）</w:t>
      </w:r>
    </w:p>
    <w:p w14:paraId="2102B1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1.一般公共预算拨款收入：指市级财政当年拨付的资金。</w:t>
      </w:r>
    </w:p>
    <w:p w14:paraId="076208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9E88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3.财政专户管理的资金收入：反映缴入财政专户、实行专项管理的教育收费收入。</w:t>
      </w:r>
    </w:p>
    <w:p w14:paraId="37E30D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4.单位资金收入：包括事业收入、上级补助收入、附属单位上缴收入、事业单位经营收入及其他收入。</w:t>
      </w:r>
    </w:p>
    <w:p w14:paraId="5ABA1E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事业收入：是指事业单位开展专业业务活动及其辅助活动取得的收入，不包括教育收费。</w:t>
      </w:r>
    </w:p>
    <w:p w14:paraId="2B5F63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上级补助收入：是指从主管部门或上级单位取得的财政拨款以外的其他补助收入。</w:t>
      </w:r>
    </w:p>
    <w:p w14:paraId="0E7A5A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附属单位上缴收入：是指本单位所属下级单位上缴给本单位的全部收入（包括下级事业单位上缴的事业收入、其他收入和下级企业单位上缴的利润等）。</w:t>
      </w:r>
    </w:p>
    <w:p w14:paraId="5BEE09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事业单位经营收入：是指事业单位在专业业务活动及辅助活动之外开展非独立核算经营活动取得的收入。</w:t>
      </w:r>
    </w:p>
    <w:p w14:paraId="028199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其他收入：债务收入（不含政府债券、政府向外国政府贷款和国际组织贷款）、投资收益等收入。</w:t>
      </w:r>
    </w:p>
    <w:p w14:paraId="7D047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5.上年结转：反映以前年度安排尚未使用完毕，结转到本年仍按原规定用途继续使用的资金。</w:t>
      </w:r>
    </w:p>
    <w:p w14:paraId="3C70C6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6.基本支出：指保障机构正常运转、完成日常工作任务而发生的人员支出和公用支出。</w:t>
      </w:r>
    </w:p>
    <w:p w14:paraId="13EF6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7.项目支出：指在基本支出之外为完成特定行政任务和事业发展目标所发生的支出。</w:t>
      </w:r>
    </w:p>
    <w:p w14:paraId="292EC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A5336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i w:val="0"/>
          <w:iCs w:val="0"/>
          <w:caps w:val="0"/>
          <w:color w:val="000000"/>
          <w:spacing w:val="0"/>
          <w:sz w:val="31"/>
          <w:szCs w:val="31"/>
          <w:shd w:val="clear" w:fill="FFFFFF"/>
        </w:rPr>
        <w:t>住宿费、伙食费</w:t>
      </w:r>
      <w:r>
        <w:rPr>
          <w:rFonts w:hint="eastAsia" w:ascii="仿宋_GB2312" w:hAnsi="微软雅黑" w:eastAsia="仿宋_GB2312" w:cs="仿宋_GB2312"/>
          <w:i w:val="0"/>
          <w:iCs w:val="0"/>
          <w:caps w:val="0"/>
          <w:color w:val="000000"/>
          <w:spacing w:val="0"/>
          <w:sz w:val="32"/>
          <w:szCs w:val="32"/>
          <w:shd w:val="clear"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599549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10.部门管理专项资金：包括由部门主导分配的市本级项目和市对下转移支付项目。</w:t>
      </w:r>
    </w:p>
    <w:p w14:paraId="148039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11.社会保障和就业（类）行政事业单位养老支出（款）行政单位离退休（项）：反映行政单位（包括实行公务员管理的事业单位）开支的离退休经费。 </w:t>
      </w:r>
    </w:p>
    <w:p w14:paraId="0FBBB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12.社会保障和就业（类）行政事业单位养老支出（款）事业单位离退休（项）：反映事业单位开支的离退休经费。</w:t>
      </w:r>
    </w:p>
    <w:p w14:paraId="26E01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13.社会保障和就业（类）行政事业单位养老支出（款）机关事业单位基本养老保险缴费支出（项）：反映机关事业单位实施养老保险制度由单位缴纳的基本养老保险费支出。</w:t>
      </w:r>
    </w:p>
    <w:p w14:paraId="11FD1B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14.社会保障和就业（类）行政事业单位养老支出（款）机关事业单位职业年金缴费支出（项）：反映机关事业单位实施养老保险制度由单位实际缴纳的职业年金支出。</w:t>
      </w:r>
    </w:p>
    <w:p w14:paraId="528EE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325D33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42A183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17.卫生健康支出（类）行政事业单位医疗（款）其他行政事业单位医疗支出（项）：反映其他用于行政事业单位医疗方面的支出。</w:t>
      </w:r>
    </w:p>
    <w:p w14:paraId="0E5C0E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18.住房保障（类）住房改革（款）住房公积金（项）：反映行政事业单位按人力资源和社会保障部、财政部规定的基本工资和津贴补贴以及规定比例为职工缴纳的住房公积金。 </w:t>
      </w:r>
    </w:p>
    <w:p w14:paraId="7C1944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19.住房保障（类）住房改革（款）购房补贴（项）：反映按房改政策规定，行政事业单位向符合条件职工（含离退休人员）、军队（含武警）向转役复员离退休人员发放的用于购买住房的补贴。</w:t>
      </w:r>
    </w:p>
    <w:p w14:paraId="489906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w:t>
      </w:r>
    </w:p>
    <w:p w14:paraId="38B1DF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854FA"/>
    <w:rsid w:val="00FE1942"/>
    <w:rsid w:val="07103462"/>
    <w:rsid w:val="0B6B01EC"/>
    <w:rsid w:val="0D8A3D3A"/>
    <w:rsid w:val="0E652DED"/>
    <w:rsid w:val="16BA4105"/>
    <w:rsid w:val="23EA6F56"/>
    <w:rsid w:val="25E22D30"/>
    <w:rsid w:val="347A754B"/>
    <w:rsid w:val="3B9E4F93"/>
    <w:rsid w:val="44492AFD"/>
    <w:rsid w:val="4A1F08B1"/>
    <w:rsid w:val="4D952D2E"/>
    <w:rsid w:val="527106A1"/>
    <w:rsid w:val="54D916B7"/>
    <w:rsid w:val="586C6306"/>
    <w:rsid w:val="594A0C91"/>
    <w:rsid w:val="5D8D11F8"/>
    <w:rsid w:val="5EE84CF6"/>
    <w:rsid w:val="60B27518"/>
    <w:rsid w:val="62F24EF0"/>
    <w:rsid w:val="69790883"/>
    <w:rsid w:val="6D173347"/>
    <w:rsid w:val="757A1C0A"/>
    <w:rsid w:val="77A25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5447</Words>
  <Characters>5743</Characters>
  <Lines>0</Lines>
  <Paragraphs>0</Paragraphs>
  <TotalTime>0</TotalTime>
  <ScaleCrop>false</ScaleCrop>
  <LinksUpToDate>false</LinksUpToDate>
  <CharactersWithSpaces>5987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于延博</cp:lastModifiedBy>
  <dcterms:modified xsi:type="dcterms:W3CDTF">2025-01-17T01:31:48Z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eyJoZGlkIjoiNGZhNjA5NjJiNzEyYjBhODgxZWE3NWQxZDQxYTgyMjEiLCJ1c2VySWQiOiIxMDU1OTMyMDU4In0=</vt:lpwstr>
  </property>
  <property fmtid="{D5CDD505-2E9C-101B-9397-08002B2CF9AE}" pid="4" name="ICV">
    <vt:lpwstr>B8C5117FB8014E44A865199339766739_12</vt:lpwstr>
  </property>
</Properties>
</file>