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18C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000000"/>
          <w:spacing w:val="0"/>
          <w:sz w:val="24"/>
          <w:szCs w:val="24"/>
        </w:rPr>
      </w:pPr>
      <w:r>
        <w:rPr>
          <w:rFonts w:hint="eastAsia" w:ascii="宋体" w:hAnsi="宋体" w:eastAsia="宋体" w:cs="宋体"/>
          <w:b/>
          <w:bCs/>
          <w:i w:val="0"/>
          <w:iCs w:val="0"/>
          <w:caps w:val="0"/>
          <w:color w:val="000000"/>
          <w:spacing w:val="0"/>
          <w:sz w:val="32"/>
          <w:szCs w:val="32"/>
          <w:shd w:val="clear" w:fill="FFFFFF"/>
        </w:rPr>
        <w:t>附件2</w:t>
      </w:r>
    </w:p>
    <w:p w14:paraId="21CD88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微软雅黑" w:cs="Times New Roman"/>
          <w:b/>
          <w:bCs/>
          <w:i w:val="0"/>
          <w:iCs w:val="0"/>
          <w:caps w:val="0"/>
          <w:color w:val="000000"/>
          <w:spacing w:val="0"/>
          <w:sz w:val="36"/>
          <w:szCs w:val="36"/>
          <w:shd w:val="clear" w:fill="FFFFFF"/>
          <w:lang w:eastAsia="zh-CN"/>
        </w:rPr>
      </w:pPr>
    </w:p>
    <w:p w14:paraId="092184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微软雅黑" w:cs="Times New Roman"/>
          <w:b/>
          <w:bCs/>
          <w:i w:val="0"/>
          <w:iCs w:val="0"/>
          <w:caps w:val="0"/>
          <w:color w:val="000000"/>
          <w:spacing w:val="0"/>
          <w:sz w:val="36"/>
          <w:szCs w:val="36"/>
          <w:shd w:val="clear" w:fill="FFFFFF"/>
          <w:lang w:eastAsia="zh-CN"/>
        </w:rPr>
      </w:pPr>
    </w:p>
    <w:p w14:paraId="55F025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微软雅黑" w:cs="Times New Roman"/>
          <w:b/>
          <w:bCs/>
          <w:i w:val="0"/>
          <w:iCs w:val="0"/>
          <w:caps w:val="0"/>
          <w:color w:val="000000"/>
          <w:spacing w:val="0"/>
          <w:sz w:val="36"/>
          <w:szCs w:val="36"/>
          <w:shd w:val="clear" w:fill="FFFFFF"/>
          <w:lang w:eastAsia="zh-CN"/>
        </w:rPr>
      </w:pPr>
    </w:p>
    <w:p w14:paraId="7AE17A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微软雅黑" w:cs="Times New Roman"/>
          <w:b/>
          <w:bCs/>
          <w:i w:val="0"/>
          <w:iCs w:val="0"/>
          <w:caps w:val="0"/>
          <w:color w:val="000000"/>
          <w:spacing w:val="0"/>
          <w:sz w:val="36"/>
          <w:szCs w:val="36"/>
          <w:shd w:val="clear" w:fill="FFFFFF"/>
          <w:lang w:eastAsia="zh-CN"/>
        </w:rPr>
      </w:pPr>
    </w:p>
    <w:p w14:paraId="69C042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微软雅黑" w:cs="Times New Roman"/>
          <w:b/>
          <w:bCs/>
          <w:i w:val="0"/>
          <w:iCs w:val="0"/>
          <w:caps w:val="0"/>
          <w:color w:val="000000"/>
          <w:spacing w:val="0"/>
          <w:sz w:val="36"/>
          <w:szCs w:val="36"/>
          <w:shd w:val="clear" w:fill="FFFFFF"/>
          <w:lang w:eastAsia="zh-CN"/>
        </w:rPr>
      </w:pPr>
    </w:p>
    <w:p w14:paraId="174E28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微软雅黑" w:cs="Times New Roman"/>
          <w:b/>
          <w:bCs/>
          <w:i w:val="0"/>
          <w:iCs w:val="0"/>
          <w:caps w:val="0"/>
          <w:color w:val="000000"/>
          <w:spacing w:val="0"/>
          <w:sz w:val="36"/>
          <w:szCs w:val="36"/>
          <w:shd w:val="clear" w:fill="FFFFFF"/>
          <w:lang w:eastAsia="zh-CN"/>
        </w:rPr>
      </w:pPr>
    </w:p>
    <w:p w14:paraId="081F93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微软雅黑" w:cs="Times New Roman"/>
          <w:b/>
          <w:bCs/>
          <w:i w:val="0"/>
          <w:iCs w:val="0"/>
          <w:caps w:val="0"/>
          <w:color w:val="000000"/>
          <w:spacing w:val="0"/>
          <w:sz w:val="36"/>
          <w:szCs w:val="36"/>
          <w:shd w:val="clear" w:fill="FFFFFF"/>
          <w:lang w:eastAsia="zh-CN"/>
        </w:rPr>
      </w:pPr>
      <w:r>
        <w:rPr>
          <w:rFonts w:hint="eastAsia" w:ascii="Times New Roman" w:hAnsi="Times New Roman" w:eastAsia="微软雅黑" w:cs="Times New Roman"/>
          <w:b/>
          <w:bCs/>
          <w:i w:val="0"/>
          <w:iCs w:val="0"/>
          <w:caps w:val="0"/>
          <w:color w:val="000000"/>
          <w:spacing w:val="0"/>
          <w:sz w:val="36"/>
          <w:szCs w:val="36"/>
          <w:shd w:val="clear" w:fill="FFFFFF"/>
          <w:lang w:eastAsia="zh-CN"/>
        </w:rPr>
        <w:t>鞍山市千山区妇女联合会</w:t>
      </w:r>
    </w:p>
    <w:p w14:paraId="732248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b/>
          <w:bCs/>
          <w:i w:val="0"/>
          <w:iCs w:val="0"/>
          <w:caps w:val="0"/>
          <w:color w:val="000000"/>
          <w:spacing w:val="0"/>
          <w:sz w:val="44"/>
          <w:szCs w:val="44"/>
          <w:shd w:val="clear" w:fill="FFFFFF"/>
        </w:rPr>
        <w:t>2025年度部门预算</w:t>
      </w:r>
    </w:p>
    <w:p w14:paraId="247AD8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1820BB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273167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38B234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7E2E5F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464409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7C356A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5C395B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0484A5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2B24B3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4912B6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692F50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3C4576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4F6468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bookmarkStart w:id="0" w:name="_GoBack"/>
      <w:bookmarkEnd w:id="0"/>
      <w:r>
        <w:rPr>
          <w:rFonts w:ascii="黑体" w:hAnsi="宋体" w:eastAsia="黑体" w:cs="黑体"/>
          <w:b/>
          <w:bCs/>
          <w:i w:val="0"/>
          <w:iCs w:val="0"/>
          <w:caps w:val="0"/>
          <w:color w:val="000000"/>
          <w:spacing w:val="0"/>
          <w:sz w:val="32"/>
          <w:szCs w:val="32"/>
          <w:shd w:val="clear" w:fill="FFFFFF"/>
        </w:rPr>
        <w:t>目</w:t>
      </w:r>
      <w:r>
        <w:rPr>
          <w:rFonts w:hint="eastAsia" w:ascii="黑体" w:hAnsi="宋体" w:eastAsia="黑体" w:cs="黑体"/>
          <w:b/>
          <w:bCs/>
          <w:i w:val="0"/>
          <w:iCs w:val="0"/>
          <w:caps w:val="0"/>
          <w:color w:val="000000"/>
          <w:spacing w:val="0"/>
          <w:sz w:val="32"/>
          <w:szCs w:val="32"/>
          <w:shd w:val="clear" w:fill="FFFFFF"/>
        </w:rPr>
        <w:t>  录</w:t>
      </w:r>
    </w:p>
    <w:p w14:paraId="33A67C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ascii="楷体" w:hAnsi="楷体" w:eastAsia="楷体" w:cs="楷体"/>
          <w:b/>
          <w:bCs/>
          <w:i w:val="0"/>
          <w:iCs w:val="0"/>
          <w:caps w:val="0"/>
          <w:color w:val="000000"/>
          <w:spacing w:val="0"/>
          <w:sz w:val="32"/>
          <w:szCs w:val="32"/>
          <w:shd w:val="clear" w:fill="FFFFFF"/>
        </w:rPr>
        <w:t>第一部</w:t>
      </w:r>
      <w:r>
        <w:rPr>
          <w:rFonts w:hint="eastAsia" w:ascii="楷体" w:hAnsi="楷体" w:eastAsia="楷体" w:cs="楷体"/>
          <w:b/>
          <w:bCs/>
          <w:i w:val="0"/>
          <w:iCs w:val="0"/>
          <w:caps w:val="0"/>
          <w:color w:val="000000"/>
          <w:spacing w:val="0"/>
          <w:sz w:val="32"/>
          <w:szCs w:val="32"/>
          <w:shd w:val="clear" w:fill="FFFFFF"/>
        </w:rPr>
        <w:t>分 部门预算公开管理文件</w:t>
      </w:r>
      <w:r>
        <w:rPr>
          <w:rFonts w:hint="eastAsia" w:ascii="楷体" w:hAnsi="楷体" w:eastAsia="楷体" w:cs="楷体"/>
          <w:i w:val="0"/>
          <w:iCs w:val="0"/>
          <w:caps w:val="0"/>
          <w:color w:val="000000"/>
          <w:spacing w:val="0"/>
          <w:sz w:val="32"/>
          <w:szCs w:val="32"/>
          <w:shd w:val="clear" w:fill="FFFFFF"/>
        </w:rPr>
        <w:t> </w:t>
      </w:r>
    </w:p>
    <w:p w14:paraId="6F8EB4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第二部分 部门（单位）概况</w:t>
      </w:r>
    </w:p>
    <w:p w14:paraId="5FD064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ascii="仿宋_GB2312" w:hAnsi="微软雅黑" w:eastAsia="仿宋_GB2312" w:cs="仿宋_GB2312"/>
          <w:i w:val="0"/>
          <w:iCs w:val="0"/>
          <w:caps w:val="0"/>
          <w:color w:val="000000"/>
          <w:spacing w:val="0"/>
          <w:sz w:val="32"/>
          <w:szCs w:val="32"/>
          <w:shd w:val="clear" w:fill="FFFFFF"/>
        </w:rPr>
        <w:t>一、部门</w:t>
      </w:r>
      <w:r>
        <w:rPr>
          <w:rFonts w:hint="eastAsia" w:ascii="仿宋_GB2312" w:hAnsi="微软雅黑" w:eastAsia="仿宋_GB2312" w:cs="仿宋_GB2312"/>
          <w:i w:val="0"/>
          <w:iCs w:val="0"/>
          <w:caps w:val="0"/>
          <w:color w:val="000000"/>
          <w:spacing w:val="0"/>
          <w:sz w:val="32"/>
          <w:szCs w:val="32"/>
          <w:shd w:val="clear" w:fill="FFFFFF"/>
        </w:rPr>
        <w:t>（单位）职责 </w:t>
      </w:r>
    </w:p>
    <w:p w14:paraId="260153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二、机构设置 </w:t>
      </w:r>
    </w:p>
    <w:p w14:paraId="4CA207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第三部分 2025年部门（单位）预算表</w:t>
      </w:r>
      <w:r>
        <w:rPr>
          <w:rFonts w:hint="eastAsia" w:ascii="楷体" w:hAnsi="楷体" w:eastAsia="楷体" w:cs="楷体"/>
          <w:i w:val="0"/>
          <w:iCs w:val="0"/>
          <w:caps w:val="0"/>
          <w:color w:val="000000"/>
          <w:spacing w:val="0"/>
          <w:sz w:val="32"/>
          <w:szCs w:val="32"/>
          <w:shd w:val="clear" w:fill="FFFFFF"/>
        </w:rPr>
        <w:t> </w:t>
      </w:r>
    </w:p>
    <w:p w14:paraId="680D9A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一、收支预算总表</w:t>
      </w:r>
    </w:p>
    <w:p w14:paraId="1746A4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二、收入预算总表</w:t>
      </w:r>
    </w:p>
    <w:p w14:paraId="5A1012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三、支出预算总表</w:t>
      </w:r>
    </w:p>
    <w:p w14:paraId="40C5EC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四、财政拨款收支预算总表</w:t>
      </w:r>
    </w:p>
    <w:p w14:paraId="449DFD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五、一般公共预算支出表</w:t>
      </w:r>
    </w:p>
    <w:p w14:paraId="54D273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六、一般公共预算基本支出表</w:t>
      </w:r>
    </w:p>
    <w:p w14:paraId="49A0B5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七、财政拨款预算“三公”经费支出表</w:t>
      </w:r>
    </w:p>
    <w:p w14:paraId="40D5F4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八、政府性基金预算支出表</w:t>
      </w:r>
    </w:p>
    <w:p w14:paraId="02E91F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九、国有资本经营预算支出表</w:t>
      </w:r>
    </w:p>
    <w:p w14:paraId="70BDB9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十、项目支出预算表</w:t>
      </w:r>
    </w:p>
    <w:p w14:paraId="683149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十一、支出功能分类预算表</w:t>
      </w:r>
    </w:p>
    <w:p w14:paraId="4E4DE0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十二、支出经济分类预算表（政府预算）</w:t>
      </w:r>
    </w:p>
    <w:p w14:paraId="123632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十三、支出经济分类预算表（部门预算）</w:t>
      </w:r>
    </w:p>
    <w:p w14:paraId="660579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十四、债务支出预算表</w:t>
      </w:r>
    </w:p>
    <w:p w14:paraId="27329A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十五、政府采购支出预算表</w:t>
      </w:r>
    </w:p>
    <w:p w14:paraId="2690C9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十六、政府购买服务支出预算表</w:t>
      </w:r>
    </w:p>
    <w:p w14:paraId="5C9012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十七、部门（单位）整体绩效目标表</w:t>
      </w:r>
    </w:p>
    <w:p w14:paraId="33E701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十八、部门预算项目（政策）绩效目标表</w:t>
      </w:r>
    </w:p>
    <w:p w14:paraId="566574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十九、部门管理专项资金预算表</w:t>
      </w:r>
    </w:p>
    <w:p w14:paraId="14820A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第四部分 2025年部门（单位）预算情况说明</w:t>
      </w:r>
      <w:r>
        <w:rPr>
          <w:rFonts w:hint="eastAsia" w:ascii="楷体" w:hAnsi="楷体" w:eastAsia="楷体" w:cs="楷体"/>
          <w:i w:val="0"/>
          <w:iCs w:val="0"/>
          <w:caps w:val="0"/>
          <w:color w:val="000000"/>
          <w:spacing w:val="0"/>
          <w:sz w:val="32"/>
          <w:szCs w:val="32"/>
          <w:shd w:val="clear" w:fill="FFFFFF"/>
        </w:rPr>
        <w:t> </w:t>
      </w:r>
    </w:p>
    <w:p w14:paraId="45FC19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第五部分 名词解释</w:t>
      </w:r>
      <w:r>
        <w:rPr>
          <w:rFonts w:hint="eastAsia" w:ascii="楷体" w:hAnsi="楷体" w:eastAsia="楷体" w:cs="楷体"/>
          <w:i w:val="0"/>
          <w:iCs w:val="0"/>
          <w:caps w:val="0"/>
          <w:color w:val="000000"/>
          <w:spacing w:val="0"/>
          <w:sz w:val="32"/>
          <w:szCs w:val="32"/>
          <w:shd w:val="clear" w:fill="FFFFFF"/>
        </w:rPr>
        <w:t> </w:t>
      </w:r>
    </w:p>
    <w:p w14:paraId="6E2D3C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3617DC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44A55E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23504C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60EEAA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7E4CDF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60E8D6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7DB81B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6C6CAB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414FFC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70DB24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26AA90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759431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2AA1C8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66D01D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第一部分  部门预算公开管理文件</w:t>
      </w:r>
    </w:p>
    <w:p w14:paraId="738916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ascii="仿宋" w:hAnsi="仿宋" w:eastAsia="仿宋" w:cs="仿宋"/>
          <w:i w:val="0"/>
          <w:iCs w:val="0"/>
          <w:caps w:val="0"/>
          <w:color w:val="333333"/>
          <w:spacing w:val="0"/>
          <w:sz w:val="32"/>
          <w:szCs w:val="32"/>
          <w:shd w:val="clear" w:fill="FFFFFF"/>
        </w:rPr>
        <w:t>　鞍山市</w:t>
      </w:r>
      <w:r>
        <w:rPr>
          <w:rFonts w:hint="eastAsia" w:ascii="仿宋" w:hAnsi="仿宋" w:eastAsia="仿宋" w:cs="仿宋"/>
          <w:i w:val="0"/>
          <w:iCs w:val="0"/>
          <w:caps w:val="0"/>
          <w:color w:val="333333"/>
          <w:spacing w:val="0"/>
          <w:sz w:val="32"/>
          <w:szCs w:val="32"/>
          <w:shd w:val="clear" w:fill="FFFFFF"/>
        </w:rPr>
        <w:t>预决算信息公开管理</w:t>
      </w:r>
      <w:r>
        <w:rPr>
          <w:rFonts w:hint="eastAsia" w:ascii="仿宋" w:hAnsi="仿宋" w:eastAsia="仿宋" w:cs="仿宋"/>
          <w:i w:val="0"/>
          <w:iCs w:val="0"/>
          <w:caps w:val="0"/>
          <w:color w:val="333333"/>
          <w:spacing w:val="0"/>
          <w:sz w:val="32"/>
          <w:szCs w:val="32"/>
          <w:shd w:val="clear" w:fill="FFFFFF"/>
          <w:lang w:val="en-US" w:eastAsia="zh-CN"/>
        </w:rPr>
        <w:t>暂行</w:t>
      </w:r>
      <w:r>
        <w:rPr>
          <w:rFonts w:hint="eastAsia" w:ascii="仿宋" w:hAnsi="仿宋" w:eastAsia="仿宋" w:cs="仿宋"/>
          <w:i w:val="0"/>
          <w:iCs w:val="0"/>
          <w:caps w:val="0"/>
          <w:color w:val="333333"/>
          <w:spacing w:val="0"/>
          <w:sz w:val="32"/>
          <w:szCs w:val="32"/>
          <w:shd w:val="clear" w:fill="FFFFFF"/>
        </w:rPr>
        <w:t>办法</w:t>
      </w:r>
    </w:p>
    <w:p w14:paraId="48C2DF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（鞍</w:t>
      </w:r>
      <w:r>
        <w:rPr>
          <w:rFonts w:hint="eastAsia" w:ascii="仿宋" w:hAnsi="仿宋" w:eastAsia="仿宋" w:cs="仿宋"/>
          <w:i w:val="0"/>
          <w:iCs w:val="0"/>
          <w:caps w:val="0"/>
          <w:color w:val="333333"/>
          <w:spacing w:val="0"/>
          <w:sz w:val="32"/>
          <w:szCs w:val="32"/>
          <w:shd w:val="clear" w:fill="FFFFFF"/>
          <w:lang w:val="en-US" w:eastAsia="zh-CN"/>
        </w:rPr>
        <w:t>财预</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2019</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313</w:t>
      </w:r>
      <w:r>
        <w:rPr>
          <w:rFonts w:hint="eastAsia" w:ascii="仿宋" w:hAnsi="仿宋" w:eastAsia="仿宋" w:cs="仿宋"/>
          <w:i w:val="0"/>
          <w:iCs w:val="0"/>
          <w:caps w:val="0"/>
          <w:color w:val="333333"/>
          <w:spacing w:val="0"/>
          <w:sz w:val="32"/>
          <w:szCs w:val="32"/>
          <w:shd w:val="clear" w:fill="FFFFFF"/>
        </w:rPr>
        <w:t>号）</w:t>
      </w:r>
    </w:p>
    <w:p w14:paraId="727BAB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333333"/>
          <w:spacing w:val="0"/>
          <w:sz w:val="32"/>
          <w:szCs w:val="32"/>
          <w:shd w:val="clear" w:fill="FFFFFF"/>
        </w:rPr>
        <w:t>第一章  公开原则</w:t>
      </w:r>
    </w:p>
    <w:p w14:paraId="3AC00B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 第一条  为推进和规范预决算信息公开工作，强化社会监督，转变政府职能，建立透明预决算制度，根据《中华人民共和国预算法》、《中华人民共和国政府信息公开条例》及《地方预决算公开操作规程》等有关规定和要求，结合本部门实际，制定本办法。</w:t>
      </w:r>
    </w:p>
    <w:p w14:paraId="3E6397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    第二条  预决算信息以公开为常态，不公开为例外，依法依规公开预决算信息。除涉及国家秘密外，不得少公开、不公开应当公开的事项，保证公开内容全面、真实、完整。</w:t>
      </w:r>
    </w:p>
    <w:p w14:paraId="7AFBCD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    第三条  公开及时，内容准确，形式规范。方便社会监督，公开内容让公众找得着、看得懂、能监督。</w:t>
      </w:r>
    </w:p>
    <w:p w14:paraId="1F7F43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ascii="Tahoma" w:hAnsi="Tahoma" w:eastAsia="Tahoma" w:cs="Tahoma"/>
          <w:i w:val="0"/>
          <w:iCs w:val="0"/>
          <w:caps w:val="0"/>
          <w:color w:val="111111"/>
          <w:spacing w:val="0"/>
          <w:sz w:val="18"/>
          <w:szCs w:val="18"/>
          <w:shd w:val="clear" w:fill="FFFFFF"/>
        </w:rPr>
        <w:t>　</w:t>
      </w:r>
      <w:r>
        <w:rPr>
          <w:rFonts w:hint="eastAsia" w:ascii="黑体" w:hAnsi="宋体" w:eastAsia="黑体" w:cs="黑体"/>
          <w:i w:val="0"/>
          <w:iCs w:val="0"/>
          <w:caps w:val="0"/>
          <w:color w:val="333333"/>
          <w:spacing w:val="0"/>
          <w:sz w:val="32"/>
          <w:szCs w:val="32"/>
          <w:shd w:val="clear" w:fill="FFFFFF"/>
        </w:rPr>
        <w:t>第二章</w:t>
      </w:r>
      <w:r>
        <w:rPr>
          <w:rFonts w:hint="eastAsia" w:ascii="宋体" w:hAnsi="宋体" w:eastAsia="宋体" w:cs="宋体"/>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公开主体和职责</w:t>
      </w:r>
      <w:r>
        <w:rPr>
          <w:rFonts w:hint="default" w:ascii="Tahoma" w:hAnsi="Tahoma" w:eastAsia="Tahoma" w:cs="Tahoma"/>
          <w:i w:val="0"/>
          <w:iCs w:val="0"/>
          <w:caps w:val="0"/>
          <w:color w:val="111111"/>
          <w:spacing w:val="0"/>
          <w:sz w:val="18"/>
          <w:szCs w:val="18"/>
          <w:shd w:val="clear" w:fill="FFFFFF"/>
        </w:rPr>
        <w:t> </w:t>
      </w:r>
    </w:p>
    <w:p w14:paraId="1C02F9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第四条  部门负责本单位及所属单位的预决算信息公开工作，履行下列职责：</w:t>
      </w:r>
      <w:r>
        <w:rPr>
          <w:rFonts w:hint="eastAsia" w:ascii="宋体" w:hAnsi="宋体" w:eastAsia="宋体" w:cs="宋体"/>
          <w:i w:val="0"/>
          <w:iCs w:val="0"/>
          <w:caps w:val="0"/>
          <w:color w:val="333333"/>
          <w:spacing w:val="0"/>
          <w:sz w:val="32"/>
          <w:szCs w:val="32"/>
          <w:shd w:val="clear" w:fill="FFFFFF"/>
        </w:rPr>
        <w:t> </w:t>
      </w:r>
      <w:r>
        <w:rPr>
          <w:rFonts w:hint="default" w:ascii="Tahoma" w:hAnsi="Tahoma" w:eastAsia="Tahoma" w:cs="Tahoma"/>
          <w:i w:val="0"/>
          <w:iCs w:val="0"/>
          <w:caps w:val="0"/>
          <w:color w:val="111111"/>
          <w:spacing w:val="0"/>
          <w:sz w:val="18"/>
          <w:szCs w:val="18"/>
          <w:shd w:val="clear" w:fill="FFFFFF"/>
        </w:rPr>
        <w:t> </w:t>
      </w:r>
    </w:p>
    <w:p w14:paraId="44FDB9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（一）制定本单位及所属单位预决算信息公开的工作方案；</w:t>
      </w:r>
    </w:p>
    <w:p w14:paraId="4A1EF8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（二）按规定公开本单位及所属单位的预决算信息；</w:t>
      </w:r>
      <w:r>
        <w:rPr>
          <w:rFonts w:hint="eastAsia" w:ascii="宋体" w:hAnsi="宋体" w:eastAsia="宋体" w:cs="宋体"/>
          <w:i w:val="0"/>
          <w:iCs w:val="0"/>
          <w:caps w:val="0"/>
          <w:color w:val="333333"/>
          <w:spacing w:val="0"/>
          <w:sz w:val="32"/>
          <w:szCs w:val="32"/>
          <w:shd w:val="clear" w:fill="FFFFFF"/>
        </w:rPr>
        <w:t> </w:t>
      </w:r>
      <w:r>
        <w:rPr>
          <w:rFonts w:hint="default" w:ascii="Tahoma" w:hAnsi="Tahoma" w:eastAsia="Tahoma" w:cs="Tahoma"/>
          <w:i w:val="0"/>
          <w:iCs w:val="0"/>
          <w:caps w:val="0"/>
          <w:color w:val="111111"/>
          <w:spacing w:val="0"/>
          <w:sz w:val="18"/>
          <w:szCs w:val="18"/>
          <w:shd w:val="clear" w:fill="FFFFFF"/>
        </w:rPr>
        <w:t> </w:t>
      </w:r>
    </w:p>
    <w:p w14:paraId="569E39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（三）对所属单位预决算信息公开工作进行指导、监督和检查；</w:t>
      </w:r>
      <w:r>
        <w:rPr>
          <w:rFonts w:hint="eastAsia" w:ascii="宋体" w:hAnsi="宋体" w:eastAsia="宋体" w:cs="宋体"/>
          <w:i w:val="0"/>
          <w:iCs w:val="0"/>
          <w:caps w:val="0"/>
          <w:color w:val="333333"/>
          <w:spacing w:val="0"/>
          <w:sz w:val="32"/>
          <w:szCs w:val="32"/>
          <w:shd w:val="clear" w:fill="FFFFFF"/>
        </w:rPr>
        <w:t> </w:t>
      </w:r>
      <w:r>
        <w:rPr>
          <w:rFonts w:hint="default" w:ascii="Tahoma" w:hAnsi="Tahoma" w:eastAsia="Tahoma" w:cs="Tahoma"/>
          <w:i w:val="0"/>
          <w:iCs w:val="0"/>
          <w:caps w:val="0"/>
          <w:color w:val="111111"/>
          <w:spacing w:val="0"/>
          <w:sz w:val="18"/>
          <w:szCs w:val="18"/>
          <w:shd w:val="clear" w:fill="FFFFFF"/>
        </w:rPr>
        <w:t> </w:t>
      </w:r>
    </w:p>
    <w:p w14:paraId="5DFC4C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（四）按规定做好本单位及所属单位预决算信息公开中的答复工作；</w:t>
      </w:r>
      <w:r>
        <w:rPr>
          <w:rFonts w:hint="eastAsia" w:ascii="宋体" w:hAnsi="宋体" w:eastAsia="宋体" w:cs="宋体"/>
          <w:i w:val="0"/>
          <w:iCs w:val="0"/>
          <w:caps w:val="0"/>
          <w:color w:val="333333"/>
          <w:spacing w:val="0"/>
          <w:sz w:val="32"/>
          <w:szCs w:val="32"/>
          <w:shd w:val="clear" w:fill="FFFFFF"/>
        </w:rPr>
        <w:t> </w:t>
      </w:r>
      <w:r>
        <w:rPr>
          <w:rFonts w:hint="default" w:ascii="Tahoma" w:hAnsi="Tahoma" w:eastAsia="Tahoma" w:cs="Tahoma"/>
          <w:i w:val="0"/>
          <w:iCs w:val="0"/>
          <w:caps w:val="0"/>
          <w:color w:val="111111"/>
          <w:spacing w:val="0"/>
          <w:sz w:val="18"/>
          <w:szCs w:val="18"/>
          <w:shd w:val="clear" w:fill="FFFFFF"/>
        </w:rPr>
        <w:t> </w:t>
      </w:r>
    </w:p>
    <w:p w14:paraId="36515B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（五）法律、法规、规章规定的其他职责。</w:t>
      </w:r>
      <w:r>
        <w:rPr>
          <w:rFonts w:hint="eastAsia" w:ascii="宋体" w:hAnsi="宋体" w:eastAsia="宋体" w:cs="宋体"/>
          <w:i w:val="0"/>
          <w:iCs w:val="0"/>
          <w:caps w:val="0"/>
          <w:color w:val="333333"/>
          <w:spacing w:val="0"/>
          <w:sz w:val="32"/>
          <w:szCs w:val="32"/>
          <w:shd w:val="clear" w:fill="FFFFFF"/>
        </w:rPr>
        <w:t> </w:t>
      </w:r>
    </w:p>
    <w:p w14:paraId="354525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333333"/>
          <w:spacing w:val="0"/>
          <w:sz w:val="32"/>
          <w:szCs w:val="32"/>
          <w:shd w:val="clear" w:fill="FFFFFF"/>
        </w:rPr>
        <w:t>第三章  公开内容</w:t>
      </w:r>
    </w:p>
    <w:p w14:paraId="20CCCD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  第五条  部门预算信息（涉密信息除外）公开内容包括：</w:t>
      </w:r>
    </w:p>
    <w:p w14:paraId="0216E9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    （一）部门概况：主要包括部门主要职责、预算单位构成等。</w:t>
      </w:r>
    </w:p>
    <w:p w14:paraId="7FAB92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（二）部门预算表。主要包括</w:t>
      </w:r>
      <w:r>
        <w:rPr>
          <w:rFonts w:hint="eastAsia" w:ascii="仿宋" w:hAnsi="仿宋" w:eastAsia="仿宋" w:cs="仿宋"/>
          <w:i w:val="0"/>
          <w:iCs w:val="0"/>
          <w:caps w:val="0"/>
          <w:color w:val="000000"/>
          <w:spacing w:val="0"/>
          <w:sz w:val="32"/>
          <w:szCs w:val="32"/>
          <w:shd w:val="clear" w:fill="FFFFFF"/>
        </w:rPr>
        <w:t>部门收支预算总表、部门收入预算总表、部门支出预算总表、一般公共预算支出表、财政拨款预算支出表、政府性基金预算支出表、一般公共预算基本支出表、项目支出预算表、政府采购支出预算表等。</w:t>
      </w:r>
      <w:r>
        <w:rPr>
          <w:rFonts w:hint="default" w:ascii="Tahoma" w:hAnsi="Tahoma" w:eastAsia="Tahoma" w:cs="Tahoma"/>
          <w:i w:val="0"/>
          <w:iCs w:val="0"/>
          <w:caps w:val="0"/>
          <w:color w:val="000000"/>
          <w:spacing w:val="0"/>
          <w:sz w:val="18"/>
          <w:szCs w:val="18"/>
          <w:shd w:val="clear" w:fill="FFFFFF"/>
        </w:rPr>
        <w:t> </w:t>
      </w:r>
    </w:p>
    <w:p w14:paraId="391C7A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（三）部门预算情况说明。主要包括</w:t>
      </w:r>
      <w:r>
        <w:rPr>
          <w:rFonts w:hint="eastAsia" w:ascii="仿宋" w:hAnsi="仿宋" w:eastAsia="仿宋" w:cs="仿宋"/>
          <w:i w:val="0"/>
          <w:iCs w:val="0"/>
          <w:caps w:val="0"/>
          <w:color w:val="000000"/>
          <w:spacing w:val="0"/>
          <w:sz w:val="32"/>
          <w:szCs w:val="32"/>
          <w:shd w:val="clear" w:fill="FFFFFF"/>
        </w:rPr>
        <w:t>部门预算收支增减变化情况说明、</w:t>
      </w:r>
      <w:r>
        <w:rPr>
          <w:rFonts w:hint="eastAsia" w:ascii="仿宋" w:hAnsi="仿宋" w:eastAsia="仿宋" w:cs="仿宋"/>
          <w:i w:val="0"/>
          <w:iCs w:val="0"/>
          <w:caps w:val="0"/>
          <w:color w:val="333333"/>
          <w:spacing w:val="0"/>
          <w:sz w:val="32"/>
          <w:szCs w:val="32"/>
          <w:shd w:val="clear" w:fill="FFFFFF"/>
        </w:rPr>
        <w:t>“三公经费”预算增减变化情况说明、</w:t>
      </w:r>
      <w:r>
        <w:rPr>
          <w:rFonts w:hint="eastAsia" w:ascii="仿宋" w:hAnsi="仿宋" w:eastAsia="仿宋" w:cs="仿宋"/>
          <w:i w:val="0"/>
          <w:iCs w:val="0"/>
          <w:caps w:val="0"/>
          <w:color w:val="000000"/>
          <w:spacing w:val="0"/>
          <w:sz w:val="32"/>
          <w:szCs w:val="32"/>
          <w:shd w:val="clear" w:fill="FFFFFF"/>
        </w:rPr>
        <w:t>机关运行经费安排情况说明、政府采购安排情况说明、国有资产占有使用情况说明、预算绩效目标情况说明等。</w:t>
      </w:r>
    </w:p>
    <w:p w14:paraId="341FF8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（四）名词解释。主要对涉及本部门预算公开表中的专业名词进行解释说明。</w:t>
      </w:r>
    </w:p>
    <w:p w14:paraId="440740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ahoma" w:hAnsi="Tahoma" w:eastAsia="Tahoma" w:cs="Tahoma"/>
          <w:i w:val="0"/>
          <w:iCs w:val="0"/>
          <w:caps w:val="0"/>
          <w:color w:val="000000"/>
          <w:spacing w:val="0"/>
          <w:sz w:val="18"/>
          <w:szCs w:val="18"/>
          <w:shd w:val="clear" w:fill="FFFFFF"/>
        </w:rPr>
        <w:t>　</w:t>
      </w:r>
      <w:r>
        <w:rPr>
          <w:rFonts w:hint="eastAsia" w:ascii="仿宋" w:hAnsi="仿宋" w:eastAsia="仿宋" w:cs="仿宋"/>
          <w:i w:val="0"/>
          <w:iCs w:val="0"/>
          <w:caps w:val="0"/>
          <w:color w:val="000000"/>
          <w:spacing w:val="0"/>
          <w:sz w:val="32"/>
          <w:szCs w:val="32"/>
          <w:shd w:val="clear" w:fill="FFFFFF"/>
        </w:rPr>
        <w:t>第六条 部门决算信息（涉密信息除外）公开内容包括：</w:t>
      </w:r>
      <w:r>
        <w:rPr>
          <w:rFonts w:hint="default" w:ascii="Tahoma" w:hAnsi="Tahoma" w:eastAsia="Tahoma" w:cs="Tahoma"/>
          <w:i w:val="0"/>
          <w:iCs w:val="0"/>
          <w:caps w:val="0"/>
          <w:color w:val="000000"/>
          <w:spacing w:val="0"/>
          <w:sz w:val="18"/>
          <w:szCs w:val="18"/>
          <w:shd w:val="clear" w:fill="FFFFFF"/>
        </w:rPr>
        <w:t> </w:t>
      </w:r>
    </w:p>
    <w:p w14:paraId="09E013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（一）部门概况。主要包括部门主要职能、部门决算单位构成情况等。</w:t>
      </w:r>
      <w:r>
        <w:rPr>
          <w:rFonts w:hint="default" w:ascii="Tahoma" w:hAnsi="Tahoma" w:eastAsia="Tahoma" w:cs="Tahoma"/>
          <w:i w:val="0"/>
          <w:iCs w:val="0"/>
          <w:caps w:val="0"/>
          <w:color w:val="000000"/>
          <w:spacing w:val="0"/>
          <w:sz w:val="18"/>
          <w:szCs w:val="18"/>
          <w:shd w:val="clear" w:fill="FFFFFF"/>
        </w:rPr>
        <w:t> </w:t>
      </w:r>
    </w:p>
    <w:p w14:paraId="0A04C3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二）部门决算表。主要包括收入支出决算总表、财政拨款支出决算表（按功能分类到项级）、财政拨款基本支出决算表（按经济分类到款级）、政府性基金预算财政拨款收入支出决算表、一般公共预算财政拨款“三公”经费等。</w:t>
      </w:r>
      <w:r>
        <w:rPr>
          <w:rFonts w:hint="default" w:ascii="Tahoma" w:hAnsi="Tahoma" w:eastAsia="Tahoma" w:cs="Tahoma"/>
          <w:i w:val="0"/>
          <w:iCs w:val="0"/>
          <w:caps w:val="0"/>
          <w:color w:val="000000"/>
          <w:spacing w:val="0"/>
          <w:sz w:val="18"/>
          <w:szCs w:val="18"/>
          <w:shd w:val="clear" w:fill="FFFFFF"/>
        </w:rPr>
        <w:t> </w:t>
      </w:r>
    </w:p>
    <w:p w14:paraId="47F2EE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三）部门决算情况说明。包括：部门决算年度收支情况、财政拨款预算执行情况和“三公”经费、机关运行经费、政府采购支出决算情况及其说明。“三公”经费决算公开要说明因公出国（境）团组数及人数，公务用车购置数及保有量，国内公务接待的批次、人数、经费总额以及“三公”经费增减变化原因等情况等相关信息。</w:t>
      </w:r>
      <w:r>
        <w:rPr>
          <w:rFonts w:hint="default" w:ascii="Tahoma" w:hAnsi="Tahoma" w:eastAsia="Tahoma" w:cs="Tahoma"/>
          <w:i w:val="0"/>
          <w:iCs w:val="0"/>
          <w:caps w:val="0"/>
          <w:color w:val="000000"/>
          <w:spacing w:val="0"/>
          <w:sz w:val="18"/>
          <w:szCs w:val="18"/>
          <w:shd w:val="clear" w:fill="FFFFFF"/>
        </w:rPr>
        <w:t> </w:t>
      </w:r>
    </w:p>
    <w:p w14:paraId="41C78E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（四）名词解释。主要对涉及本部门决算公开表中的专业名称进行解释说明。</w:t>
      </w:r>
    </w:p>
    <w:p w14:paraId="43A88F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第四章  公开方式</w:t>
      </w:r>
    </w:p>
    <w:p w14:paraId="1DCA1B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   第七条  预决算信息在本部门门户网站和市政府门户网站设立的“预决算公开”专栏进行公开，并保持长期公开状态，便于社会公众查阅和监督。</w:t>
      </w:r>
    </w:p>
    <w:p w14:paraId="20104E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第五章  公开程序</w:t>
      </w:r>
    </w:p>
    <w:p w14:paraId="3AFA8A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 第八条  根据本级财政部门批复的部门预算、部门决算及报表，应当在批复后20日内由本部门公开预决算信息。</w:t>
      </w:r>
    </w:p>
    <w:p w14:paraId="582147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第六章  附  则</w:t>
      </w:r>
    </w:p>
    <w:p w14:paraId="1F6B50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第九条  本办法自印发之日起实行。</w:t>
      </w:r>
    </w:p>
    <w:p w14:paraId="546D28F4">
      <w:pPr>
        <w:widowControl/>
        <w:spacing w:line="560" w:lineRule="exact"/>
        <w:jc w:val="left"/>
        <w:rPr>
          <w:rFonts w:hint="eastAsia" w:ascii="仿宋_GB2312" w:hAnsi="宋体" w:eastAsia="仿宋_GB2312" w:cs="宋体"/>
          <w:kern w:val="0"/>
          <w:sz w:val="32"/>
          <w:szCs w:val="32"/>
        </w:rPr>
      </w:pPr>
    </w:p>
    <w:p w14:paraId="2AE5EE68">
      <w:pPr>
        <w:widowControl/>
        <w:spacing w:line="560" w:lineRule="exact"/>
        <w:jc w:val="left"/>
        <w:rPr>
          <w:rFonts w:hint="eastAsia" w:ascii="仿宋_GB2312" w:hAnsi="宋体" w:eastAsia="仿宋_GB2312" w:cs="宋体"/>
          <w:kern w:val="0"/>
          <w:sz w:val="32"/>
          <w:szCs w:val="32"/>
        </w:rPr>
      </w:pPr>
    </w:p>
    <w:p w14:paraId="4A123CD9">
      <w:pPr>
        <w:widowControl/>
        <w:spacing w:line="560" w:lineRule="exact"/>
        <w:jc w:val="left"/>
        <w:rPr>
          <w:rFonts w:hint="eastAsia" w:ascii="仿宋_GB2312" w:hAnsi="宋体" w:eastAsia="仿宋_GB2312" w:cs="宋体"/>
          <w:kern w:val="0"/>
          <w:sz w:val="32"/>
          <w:szCs w:val="32"/>
        </w:rPr>
      </w:pPr>
    </w:p>
    <w:p w14:paraId="2364D6F3">
      <w:pPr>
        <w:widowControl/>
        <w:spacing w:line="560" w:lineRule="exact"/>
        <w:jc w:val="left"/>
        <w:rPr>
          <w:rFonts w:hint="eastAsia" w:ascii="仿宋_GB2312" w:hAnsi="宋体" w:eastAsia="仿宋_GB2312" w:cs="宋体"/>
          <w:kern w:val="0"/>
          <w:sz w:val="32"/>
          <w:szCs w:val="32"/>
        </w:rPr>
      </w:pPr>
    </w:p>
    <w:p w14:paraId="4379E46B">
      <w:pPr>
        <w:widowControl/>
        <w:spacing w:line="560" w:lineRule="exact"/>
        <w:jc w:val="center"/>
        <w:rPr>
          <w:rFonts w:hint="eastAsia" w:ascii="楷体" w:hAnsi="楷体" w:eastAsia="楷体" w:cs="宋体"/>
          <w:b/>
          <w:bCs/>
          <w:kern w:val="0"/>
          <w:sz w:val="32"/>
          <w:szCs w:val="32"/>
        </w:rPr>
      </w:pPr>
      <w:r>
        <w:rPr>
          <w:rFonts w:hint="eastAsia" w:ascii="楷体" w:hAnsi="楷体" w:eastAsia="楷体" w:cs="宋体"/>
          <w:b/>
          <w:bCs/>
          <w:kern w:val="0"/>
          <w:sz w:val="32"/>
          <w:szCs w:val="32"/>
        </w:rPr>
        <w:t>第二部分  部门</w:t>
      </w:r>
      <w:r>
        <w:rPr>
          <w:rFonts w:hint="eastAsia" w:ascii="楷体" w:hAnsi="楷体" w:eastAsia="楷体" w:cs="宋体"/>
          <w:b/>
          <w:bCs/>
          <w:kern w:val="0"/>
          <w:sz w:val="32"/>
          <w:szCs w:val="32"/>
          <w:lang w:eastAsia="zh-CN"/>
        </w:rPr>
        <w:t>（单位）</w:t>
      </w:r>
      <w:r>
        <w:rPr>
          <w:rFonts w:hint="eastAsia" w:ascii="楷体" w:hAnsi="楷体" w:eastAsia="楷体" w:cs="宋体"/>
          <w:b/>
          <w:bCs/>
          <w:kern w:val="0"/>
          <w:sz w:val="32"/>
          <w:szCs w:val="32"/>
        </w:rPr>
        <w:t>概况</w:t>
      </w:r>
    </w:p>
    <w:p w14:paraId="4625EACB">
      <w:pPr>
        <w:widowControl/>
        <w:spacing w:line="560" w:lineRule="exact"/>
        <w:jc w:val="left"/>
        <w:rPr>
          <w:rFonts w:hint="eastAsia" w:ascii="仿宋_GB2312" w:hAnsi="宋体" w:eastAsia="仿宋_GB2312" w:cs="宋体"/>
          <w:b/>
          <w:bCs/>
          <w:kern w:val="0"/>
          <w:sz w:val="32"/>
          <w:szCs w:val="32"/>
        </w:rPr>
      </w:pPr>
    </w:p>
    <w:p w14:paraId="6A4F4FBA">
      <w:pPr>
        <w:widowControl/>
        <w:spacing w:line="560" w:lineRule="exact"/>
        <w:jc w:val="left"/>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 xml:space="preserve">   </w:t>
      </w:r>
      <w:r>
        <w:rPr>
          <w:rFonts w:hint="eastAsia" w:ascii="楷体" w:hAnsi="楷体" w:eastAsia="楷体" w:cs="宋体"/>
          <w:b/>
          <w:bCs/>
          <w:kern w:val="0"/>
          <w:sz w:val="32"/>
          <w:szCs w:val="32"/>
        </w:rPr>
        <w:t xml:space="preserve"> 一、</w:t>
      </w:r>
      <w:r>
        <w:rPr>
          <w:rFonts w:hint="eastAsia" w:ascii="楷体" w:hAnsi="楷体" w:eastAsia="楷体" w:cs="宋体"/>
          <w:b/>
          <w:bCs/>
          <w:kern w:val="0"/>
          <w:sz w:val="32"/>
          <w:szCs w:val="32"/>
          <w:lang w:eastAsia="zh-CN"/>
        </w:rPr>
        <w:t>部门（单位）</w:t>
      </w:r>
      <w:r>
        <w:rPr>
          <w:rFonts w:hint="eastAsia" w:ascii="楷体" w:hAnsi="楷体" w:eastAsia="楷体" w:cs="宋体"/>
          <w:b/>
          <w:bCs/>
          <w:kern w:val="0"/>
          <w:sz w:val="32"/>
          <w:szCs w:val="32"/>
        </w:rPr>
        <w:t>职责</w:t>
      </w:r>
      <w:r>
        <w:rPr>
          <w:rFonts w:hint="eastAsia" w:ascii="仿宋_GB2312" w:hAnsi="宋体" w:eastAsia="仿宋_GB2312" w:cs="宋体"/>
          <w:kern w:val="0"/>
          <w:sz w:val="32"/>
          <w:szCs w:val="32"/>
        </w:rPr>
        <w:t xml:space="preserve"> </w:t>
      </w:r>
    </w:p>
    <w:p w14:paraId="288FB736">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高举</w:t>
      </w:r>
      <w:r>
        <w:rPr>
          <w:rFonts w:hint="eastAsia" w:ascii="仿宋" w:hAnsi="仿宋" w:eastAsia="仿宋" w:cs="仿宋"/>
          <w:sz w:val="32"/>
          <w:szCs w:val="32"/>
          <w:lang w:eastAsia="zh-CN"/>
        </w:rPr>
        <w:t>习近平</w:t>
      </w:r>
      <w:r>
        <w:rPr>
          <w:rFonts w:hint="eastAsia" w:ascii="仿宋" w:hAnsi="仿宋" w:eastAsia="仿宋" w:cs="仿宋"/>
          <w:sz w:val="32"/>
          <w:szCs w:val="32"/>
        </w:rPr>
        <w:t>新时代中国特色社会主义思想伟大旗帜，牢牢把握政治性、先进性、群众性根本要求，扎实做好引领、联系和服务妇女的各项工作，团结、动员、组织全</w:t>
      </w:r>
      <w:r>
        <w:rPr>
          <w:rFonts w:hint="eastAsia" w:ascii="仿宋" w:hAnsi="仿宋" w:eastAsia="仿宋" w:cs="仿宋"/>
          <w:sz w:val="32"/>
          <w:szCs w:val="32"/>
          <w:lang w:eastAsia="zh-CN"/>
        </w:rPr>
        <w:t>区</w:t>
      </w:r>
      <w:r>
        <w:rPr>
          <w:rFonts w:hint="eastAsia" w:ascii="仿宋" w:hAnsi="仿宋" w:eastAsia="仿宋" w:cs="仿宋"/>
          <w:sz w:val="32"/>
          <w:szCs w:val="32"/>
        </w:rPr>
        <w:t>广大妇女积极投身改革开放和社会主义经济建设、政治建设、文化建设、社会建设和生态文明建设，为推进</w:t>
      </w:r>
      <w:r>
        <w:rPr>
          <w:rFonts w:hint="eastAsia" w:ascii="仿宋" w:hAnsi="仿宋" w:eastAsia="仿宋" w:cs="仿宋"/>
          <w:sz w:val="32"/>
          <w:szCs w:val="32"/>
          <w:lang w:eastAsia="zh-CN"/>
        </w:rPr>
        <w:t>千山区</w:t>
      </w:r>
      <w:r>
        <w:rPr>
          <w:rFonts w:hint="eastAsia" w:ascii="仿宋" w:hAnsi="仿宋" w:eastAsia="仿宋" w:cs="仿宋"/>
          <w:sz w:val="32"/>
          <w:szCs w:val="32"/>
        </w:rPr>
        <w:t>振兴发展建功立业，在中国特色社会主义伟大实践中发挥半边天作用。</w:t>
      </w:r>
    </w:p>
    <w:p w14:paraId="0F62ABCB">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(二)</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宣传马克思主义妇女观，推动落实男女平等基本国策，坚定不移走中国特色社会主义妇女发展道路，教育和引导广大妇女群众树立正确的世界观、人生观、价值观，践行社会主义核心价值观，发扬自尊、自信、自立、自强精神，提高综合素质，实现全面发展，宣传优秀妇女典型，培养、推荐女性人才</w:t>
      </w:r>
      <w:r>
        <w:rPr>
          <w:rFonts w:hint="eastAsia" w:ascii="仿宋" w:hAnsi="仿宋" w:eastAsia="仿宋" w:cs="仿宋"/>
          <w:sz w:val="32"/>
          <w:szCs w:val="32"/>
          <w:lang w:eastAsia="zh-CN"/>
        </w:rPr>
        <w:t>。</w:t>
      </w:r>
    </w:p>
    <w:p w14:paraId="28A0E097">
      <w:pPr>
        <w:ind w:firstLine="640" w:firstLineChars="200"/>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贯彻落实</w:t>
      </w:r>
      <w:r>
        <w:rPr>
          <w:rFonts w:hint="eastAsia" w:ascii="仿宋" w:hAnsi="仿宋" w:eastAsia="仿宋" w:cs="仿宋"/>
          <w:sz w:val="32"/>
          <w:szCs w:val="32"/>
          <w:lang w:eastAsia="zh-CN"/>
        </w:rPr>
        <w:t>习近平</w:t>
      </w:r>
      <w:r>
        <w:rPr>
          <w:rFonts w:hint="eastAsia" w:ascii="仿宋" w:hAnsi="仿宋" w:eastAsia="仿宋" w:cs="仿宋"/>
          <w:sz w:val="32"/>
          <w:szCs w:val="32"/>
        </w:rPr>
        <w:t>总书记关于注重家庭家教家风的重要论述，开展家庭文明建设，发挥妇女在家庭生活中的独特作用，培育家庭家教家风文化。</w:t>
      </w:r>
    </w:p>
    <w:p w14:paraId="789EBB29">
      <w:pPr>
        <w:ind w:firstLine="640" w:firstLineChars="200"/>
        <w:rPr>
          <w:rFonts w:hint="eastAsia"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代表妇女参与国家和社会事务的民主决策、民主管理和民主监督，参与拟订有关法规、规章和政策，推动保障妇女权益法律政策和妇女儿童发展纲要实施，参与社会治理，发挥妇联组织在维护社会和谐稳定中的作用。</w:t>
      </w:r>
    </w:p>
    <w:p w14:paraId="55ECB74B">
      <w:pPr>
        <w:ind w:firstLine="640" w:firstLineChars="200"/>
        <w:rPr>
          <w:rFonts w:hint="eastAsia" w:ascii="仿宋" w:hAnsi="仿宋" w:eastAsia="仿宋" w:cs="仿宋"/>
          <w:sz w:val="32"/>
          <w:szCs w:val="32"/>
        </w:rPr>
      </w:pPr>
      <w:r>
        <w:rPr>
          <w:rFonts w:hint="eastAsia" w:ascii="仿宋" w:hAnsi="仿宋" w:eastAsia="仿宋" w:cs="仿宋"/>
          <w:sz w:val="32"/>
          <w:szCs w:val="32"/>
        </w:rPr>
        <w:t>(五)</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维护妇女儿童合法权益，倾听妇女意见，反映妇女诉求，向有关国家机关提出有关建议，要求并协助有关部门或单位查处侵害妇女儿童权益的行为，为有需求的妇女群众提供及时有效的法律援助和服务，依法依规为妇女全面发展营造环境、扫除障碍、创造条件。</w:t>
      </w:r>
    </w:p>
    <w:p w14:paraId="0DEAE678">
      <w:pPr>
        <w:ind w:firstLine="640" w:firstLineChars="200"/>
        <w:rPr>
          <w:rFonts w:hint="eastAsia" w:ascii="仿宋" w:hAnsi="仿宋" w:eastAsia="仿宋" w:cs="仿宋"/>
          <w:sz w:val="32"/>
          <w:szCs w:val="32"/>
        </w:rPr>
      </w:pPr>
      <w:r>
        <w:rPr>
          <w:rFonts w:hint="eastAsia" w:ascii="仿宋" w:hAnsi="仿宋" w:eastAsia="仿宋" w:cs="仿宋"/>
          <w:sz w:val="32"/>
          <w:szCs w:val="32"/>
        </w:rPr>
        <w:t>(六)</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开展对特殊困难妇女儿童帮扶工作，拓宽服务渠道，建设服务阵地，发展公益事业，壮大巾帼志愿者队伍</w:t>
      </w:r>
      <w:r>
        <w:rPr>
          <w:rFonts w:hint="eastAsia" w:ascii="仿宋" w:hAnsi="仿宋" w:eastAsia="仿宋" w:cs="仿宋"/>
          <w:sz w:val="32"/>
          <w:szCs w:val="32"/>
          <w:lang w:eastAsia="zh-CN"/>
        </w:rPr>
        <w:t>，</w:t>
      </w:r>
      <w:r>
        <w:rPr>
          <w:rFonts w:hint="eastAsia" w:ascii="仿宋" w:hAnsi="仿宋" w:eastAsia="仿宋" w:cs="仿宋"/>
          <w:sz w:val="32"/>
          <w:szCs w:val="32"/>
        </w:rPr>
        <w:t>开展妇女之家建设</w:t>
      </w:r>
      <w:r>
        <w:rPr>
          <w:rFonts w:hint="eastAsia" w:ascii="仿宋" w:hAnsi="仿宋" w:eastAsia="仿宋" w:cs="仿宋"/>
          <w:sz w:val="32"/>
          <w:szCs w:val="32"/>
          <w:lang w:eastAsia="zh-CN"/>
        </w:rPr>
        <w:t>，促进千山区妇女儿童事业健康发展</w:t>
      </w:r>
      <w:r>
        <w:rPr>
          <w:rFonts w:hint="eastAsia" w:ascii="仿宋" w:hAnsi="仿宋" w:eastAsia="仿宋" w:cs="仿宋"/>
          <w:sz w:val="32"/>
          <w:szCs w:val="32"/>
        </w:rPr>
        <w:t>。</w:t>
      </w:r>
    </w:p>
    <w:p w14:paraId="7BA0EAB0">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七</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指导全</w:t>
      </w:r>
      <w:r>
        <w:rPr>
          <w:rFonts w:hint="eastAsia" w:ascii="仿宋" w:hAnsi="仿宋" w:eastAsia="仿宋" w:cs="仿宋"/>
          <w:sz w:val="32"/>
          <w:szCs w:val="32"/>
          <w:lang w:eastAsia="zh-CN"/>
        </w:rPr>
        <w:t>区</w:t>
      </w:r>
      <w:r>
        <w:rPr>
          <w:rFonts w:hint="eastAsia" w:ascii="仿宋" w:hAnsi="仿宋" w:eastAsia="仿宋" w:cs="仿宋"/>
          <w:sz w:val="32"/>
          <w:szCs w:val="32"/>
          <w:lang w:val="en-US" w:eastAsia="zh-CN"/>
        </w:rPr>
        <w:t>各级</w:t>
      </w:r>
      <w:r>
        <w:rPr>
          <w:rFonts w:hint="eastAsia" w:ascii="仿宋" w:hAnsi="仿宋" w:eastAsia="仿宋" w:cs="仿宋"/>
          <w:sz w:val="32"/>
          <w:szCs w:val="32"/>
        </w:rPr>
        <w:t>妇联依据《中华全国妇女联合会章</w:t>
      </w:r>
    </w:p>
    <w:p w14:paraId="6E0F81B0">
      <w:pPr>
        <w:rPr>
          <w:rFonts w:hint="eastAsia" w:ascii="仿宋" w:hAnsi="仿宋" w:eastAsia="仿宋" w:cs="仿宋"/>
          <w:sz w:val="32"/>
          <w:szCs w:val="32"/>
        </w:rPr>
      </w:pPr>
      <w:r>
        <w:rPr>
          <w:rFonts w:hint="eastAsia" w:ascii="仿宋" w:hAnsi="仿宋" w:eastAsia="仿宋" w:cs="仿宋"/>
          <w:sz w:val="32"/>
          <w:szCs w:val="32"/>
        </w:rPr>
        <w:t>程》和妇女代表大会提出的任务，开展妇女儿童工作，按照始终保持和增强政治性、先进性和群众性的要求，指导和推进全</w:t>
      </w:r>
      <w:r>
        <w:rPr>
          <w:rFonts w:hint="eastAsia" w:ascii="仿宋" w:hAnsi="仿宋" w:eastAsia="仿宋" w:cs="仿宋"/>
          <w:sz w:val="32"/>
          <w:szCs w:val="32"/>
          <w:lang w:eastAsia="zh-CN"/>
        </w:rPr>
        <w:t>区</w:t>
      </w:r>
      <w:r>
        <w:rPr>
          <w:rFonts w:hint="eastAsia" w:ascii="仿宋" w:hAnsi="仿宋" w:eastAsia="仿宋" w:cs="仿宋"/>
          <w:sz w:val="32"/>
          <w:szCs w:val="32"/>
        </w:rPr>
        <w:t>基层妇女组织建设，联系团体会员并给予工作指导加强与女性社会组织和社会各界的联系，巩固和扩大各族各界妇女的大团结</w:t>
      </w:r>
      <w:r>
        <w:rPr>
          <w:rFonts w:hint="eastAsia" w:ascii="仿宋" w:hAnsi="仿宋" w:eastAsia="仿宋" w:cs="仿宋"/>
          <w:sz w:val="32"/>
          <w:szCs w:val="32"/>
          <w:lang w:eastAsia="zh-CN"/>
        </w:rPr>
        <w:t>。</w:t>
      </w:r>
    </w:p>
    <w:p w14:paraId="69BA3FF0">
      <w:pPr>
        <w:numPr>
          <w:ilvl w:val="0"/>
          <w:numId w:val="0"/>
        </w:numPr>
        <w:ind w:firstLine="320" w:firstLineChars="100"/>
        <w:rPr>
          <w:rFonts w:hint="eastAsia" w:ascii="仿宋" w:hAnsi="仿宋" w:eastAsia="仿宋" w:cs="仿宋"/>
          <w:sz w:val="32"/>
          <w:szCs w:val="32"/>
        </w:rPr>
      </w:pPr>
      <w:r>
        <w:rPr>
          <w:rFonts w:hint="eastAsia" w:ascii="仿宋" w:hAnsi="仿宋" w:eastAsia="仿宋" w:cs="仿宋"/>
          <w:sz w:val="32"/>
          <w:szCs w:val="32"/>
          <w:lang w:eastAsia="zh-CN"/>
        </w:rPr>
        <w:t>（八）</w:t>
      </w:r>
      <w:r>
        <w:rPr>
          <w:rFonts w:hint="eastAsia" w:ascii="仿宋" w:hAnsi="仿宋" w:eastAsia="仿宋" w:cs="仿宋"/>
          <w:sz w:val="32"/>
          <w:szCs w:val="32"/>
        </w:rPr>
        <w:t>承担</w:t>
      </w:r>
      <w:r>
        <w:rPr>
          <w:rFonts w:hint="eastAsia" w:ascii="仿宋" w:hAnsi="仿宋" w:eastAsia="仿宋" w:cs="仿宋"/>
          <w:sz w:val="32"/>
          <w:szCs w:val="32"/>
          <w:lang w:eastAsia="zh-CN"/>
        </w:rPr>
        <w:t>区</w:t>
      </w:r>
      <w:r>
        <w:rPr>
          <w:rFonts w:hint="eastAsia" w:ascii="仿宋" w:hAnsi="仿宋" w:eastAsia="仿宋" w:cs="仿宋"/>
          <w:sz w:val="32"/>
          <w:szCs w:val="32"/>
        </w:rPr>
        <w:t>政府妇女儿童工作委员会日常工作，负责制订</w:t>
      </w:r>
      <w:r>
        <w:rPr>
          <w:rFonts w:hint="eastAsia" w:ascii="仿宋" w:hAnsi="仿宋" w:eastAsia="仿宋" w:cs="仿宋"/>
          <w:sz w:val="32"/>
          <w:szCs w:val="32"/>
          <w:lang w:val="en-US" w:eastAsia="zh-CN"/>
        </w:rPr>
        <w:t>区</w:t>
      </w:r>
      <w:r>
        <w:rPr>
          <w:rFonts w:hint="eastAsia" w:ascii="仿宋" w:hAnsi="仿宋" w:eastAsia="仿宋" w:cs="仿宋"/>
          <w:sz w:val="32"/>
          <w:szCs w:val="32"/>
        </w:rPr>
        <w:t>政府各个时期妇女发展规划，各个时期儿童发展规划，协调督促有关部门抓好落实</w:t>
      </w:r>
      <w:r>
        <w:rPr>
          <w:rFonts w:hint="eastAsia" w:ascii="仿宋" w:hAnsi="仿宋" w:eastAsia="仿宋" w:cs="仿宋"/>
          <w:sz w:val="32"/>
          <w:szCs w:val="32"/>
          <w:lang w:eastAsia="zh-CN"/>
        </w:rPr>
        <w:t>。</w:t>
      </w:r>
    </w:p>
    <w:p w14:paraId="4368A1B9">
      <w:pPr>
        <w:numPr>
          <w:ilvl w:val="0"/>
          <w:numId w:val="0"/>
        </w:numPr>
        <w:ind w:firstLine="320" w:firstLineChars="100"/>
        <w:rPr>
          <w:rFonts w:hint="eastAsia" w:ascii="仿宋" w:hAnsi="仿宋" w:eastAsia="仿宋" w:cs="仿宋"/>
          <w:sz w:val="32"/>
          <w:szCs w:val="32"/>
        </w:rPr>
      </w:pPr>
      <w:r>
        <w:rPr>
          <w:rFonts w:hint="eastAsia" w:ascii="仿宋" w:hAnsi="仿宋" w:eastAsia="仿宋" w:cs="仿宋"/>
          <w:sz w:val="32"/>
          <w:szCs w:val="32"/>
          <w:lang w:eastAsia="zh-CN"/>
        </w:rPr>
        <w:t>（九）</w:t>
      </w:r>
      <w:r>
        <w:rPr>
          <w:rFonts w:hint="eastAsia" w:ascii="仿宋" w:hAnsi="仿宋" w:eastAsia="仿宋" w:cs="仿宋"/>
          <w:sz w:val="32"/>
          <w:szCs w:val="32"/>
        </w:rPr>
        <w:t>承办</w:t>
      </w:r>
      <w:r>
        <w:rPr>
          <w:rFonts w:hint="eastAsia" w:ascii="仿宋" w:hAnsi="仿宋" w:eastAsia="仿宋" w:cs="仿宋"/>
          <w:sz w:val="32"/>
          <w:szCs w:val="32"/>
          <w:lang w:eastAsia="zh-CN"/>
        </w:rPr>
        <w:t>区</w:t>
      </w:r>
      <w:r>
        <w:rPr>
          <w:rFonts w:hint="eastAsia" w:ascii="仿宋" w:hAnsi="仿宋" w:eastAsia="仿宋" w:cs="仿宋"/>
          <w:sz w:val="32"/>
          <w:szCs w:val="32"/>
        </w:rPr>
        <w:t>委、</w:t>
      </w:r>
      <w:r>
        <w:rPr>
          <w:rFonts w:hint="eastAsia" w:ascii="仿宋" w:hAnsi="仿宋" w:eastAsia="仿宋" w:cs="仿宋"/>
          <w:sz w:val="32"/>
          <w:szCs w:val="32"/>
          <w:lang w:eastAsia="zh-CN"/>
        </w:rPr>
        <w:t>区</w:t>
      </w:r>
      <w:r>
        <w:rPr>
          <w:rFonts w:hint="eastAsia" w:ascii="仿宋" w:hAnsi="仿宋" w:eastAsia="仿宋" w:cs="仿宋"/>
          <w:sz w:val="32"/>
          <w:szCs w:val="32"/>
        </w:rPr>
        <w:t>政府交办的其他事项。</w:t>
      </w:r>
    </w:p>
    <w:p w14:paraId="270F2971">
      <w:pPr>
        <w:widowControl/>
        <w:spacing w:line="560" w:lineRule="exact"/>
        <w:ind w:firstLine="643" w:firstLineChars="200"/>
        <w:jc w:val="left"/>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 xml:space="preserve"> 二、</w:t>
      </w:r>
      <w:r>
        <w:rPr>
          <w:rFonts w:hint="eastAsia" w:ascii="仿宋_GB2312" w:hAnsi="宋体" w:eastAsia="仿宋_GB2312" w:cs="宋体"/>
          <w:b/>
          <w:bCs/>
          <w:kern w:val="0"/>
          <w:sz w:val="32"/>
          <w:szCs w:val="32"/>
          <w:lang w:eastAsia="zh-CN"/>
        </w:rPr>
        <w:t>机构设置</w:t>
      </w:r>
      <w:r>
        <w:rPr>
          <w:rFonts w:hint="eastAsia" w:ascii="仿宋_GB2312" w:hAnsi="宋体" w:eastAsia="仿宋_GB2312" w:cs="宋体"/>
          <w:kern w:val="0"/>
          <w:sz w:val="32"/>
          <w:szCs w:val="32"/>
        </w:rPr>
        <w:t xml:space="preserve"> </w:t>
      </w:r>
    </w:p>
    <w:p w14:paraId="29B3D969">
      <w:pPr>
        <w:widowControl/>
        <w:numPr>
          <w:ilvl w:val="0"/>
          <w:numId w:val="0"/>
        </w:numPr>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纳入</w:t>
      </w:r>
      <w:r>
        <w:rPr>
          <w:rFonts w:hint="eastAsia" w:ascii="仿宋_GB2312" w:hAnsi="宋体" w:eastAsia="仿宋_GB2312" w:cs="宋体"/>
          <w:kern w:val="0"/>
          <w:sz w:val="32"/>
          <w:szCs w:val="32"/>
          <w:lang w:eastAsia="zh-CN"/>
        </w:rPr>
        <w:t>千山区妇联</w:t>
      </w:r>
      <w:r>
        <w:rPr>
          <w:rFonts w:hint="eastAsia" w:ascii="仿宋_GB2312" w:hAnsi="宋体" w:eastAsia="仿宋_GB2312" w:cs="宋体"/>
          <w:kern w:val="0"/>
          <w:sz w:val="32"/>
          <w:szCs w:val="32"/>
        </w:rPr>
        <w:t xml:space="preserve">2022年部门预算编制范围的二级预算单位包括： </w:t>
      </w:r>
    </w:p>
    <w:p w14:paraId="08252C23">
      <w:pPr>
        <w:numPr>
          <w:ilvl w:val="0"/>
          <w:numId w:val="0"/>
        </w:numPr>
        <w:ind w:firstLine="320" w:firstLineChars="100"/>
        <w:rPr>
          <w:rFonts w:hint="eastAsia" w:ascii="仿宋" w:hAnsi="仿宋" w:eastAsia="仿宋" w:cs="仿宋"/>
          <w:sz w:val="32"/>
          <w:szCs w:val="32"/>
        </w:rPr>
      </w:pP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lang w:eastAsia="zh-CN"/>
        </w:rPr>
        <w:t>千山区妇女联合会</w:t>
      </w:r>
    </w:p>
    <w:p w14:paraId="51733B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670193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第三部分 部门（单位）预算表</w:t>
      </w:r>
      <w:r>
        <w:rPr>
          <w:rFonts w:hint="eastAsia" w:ascii="楷体" w:hAnsi="楷体" w:eastAsia="楷体" w:cs="楷体"/>
          <w:i w:val="0"/>
          <w:iCs w:val="0"/>
          <w:caps w:val="0"/>
          <w:color w:val="000000"/>
          <w:spacing w:val="0"/>
          <w:sz w:val="32"/>
          <w:szCs w:val="32"/>
          <w:shd w:val="clear" w:fill="FFFFFF"/>
        </w:rPr>
        <w:t> </w:t>
      </w:r>
    </w:p>
    <w:p w14:paraId="419E9C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2025年部门（单位）预算表（具体明细见附表） </w:t>
      </w:r>
    </w:p>
    <w:p w14:paraId="2A9BF4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7C2729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第四部分</w:t>
      </w:r>
      <w:r>
        <w:rPr>
          <w:rFonts w:hint="eastAsia" w:ascii="宋体" w:hAnsi="宋体" w:eastAsia="宋体" w:cs="宋体"/>
          <w:b/>
          <w:bCs/>
          <w:i w:val="0"/>
          <w:iCs w:val="0"/>
          <w:caps w:val="0"/>
          <w:color w:val="000000"/>
          <w:spacing w:val="0"/>
          <w:sz w:val="32"/>
          <w:szCs w:val="32"/>
          <w:shd w:val="clear" w:fill="FFFFFF"/>
        </w:rPr>
        <w:t> </w:t>
      </w:r>
      <w:r>
        <w:rPr>
          <w:rFonts w:hint="eastAsia" w:ascii="楷体" w:hAnsi="楷体" w:eastAsia="楷体" w:cs="楷体"/>
          <w:b/>
          <w:bCs/>
          <w:i w:val="0"/>
          <w:iCs w:val="0"/>
          <w:caps w:val="0"/>
          <w:color w:val="000000"/>
          <w:spacing w:val="0"/>
          <w:sz w:val="32"/>
          <w:szCs w:val="32"/>
          <w:shd w:val="clear" w:fill="FFFFFF"/>
        </w:rPr>
        <w:t>部门（单位）预算情况说明</w:t>
      </w:r>
      <w:r>
        <w:rPr>
          <w:rFonts w:hint="eastAsia" w:ascii="楷体" w:hAnsi="楷体" w:eastAsia="楷体" w:cs="楷体"/>
          <w:i w:val="0"/>
          <w:iCs w:val="0"/>
          <w:caps w:val="0"/>
          <w:color w:val="000000"/>
          <w:spacing w:val="0"/>
          <w:sz w:val="32"/>
          <w:szCs w:val="32"/>
          <w:shd w:val="clear" w:fill="FFFFFF"/>
        </w:rPr>
        <w:t> </w:t>
      </w:r>
    </w:p>
    <w:p w14:paraId="32C5D8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    一、收支预算的总体说明</w:t>
      </w:r>
      <w:r>
        <w:rPr>
          <w:rFonts w:hint="eastAsia" w:ascii="楷体" w:hAnsi="楷体" w:eastAsia="楷体" w:cs="楷体"/>
          <w:i w:val="0"/>
          <w:iCs w:val="0"/>
          <w:caps w:val="0"/>
          <w:color w:val="000000"/>
          <w:spacing w:val="0"/>
          <w:sz w:val="32"/>
          <w:szCs w:val="32"/>
          <w:shd w:val="clear" w:fill="FFFFFF"/>
        </w:rPr>
        <w:t> </w:t>
      </w:r>
    </w:p>
    <w:p w14:paraId="3C6239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按照综合预算的原则，</w:t>
      </w:r>
      <w:r>
        <w:rPr>
          <w:rFonts w:hint="eastAsia" w:ascii="仿宋_GB2312" w:hAnsi="微软雅黑" w:eastAsia="仿宋_GB2312" w:cs="仿宋_GB2312"/>
          <w:i w:val="0"/>
          <w:iCs w:val="0"/>
          <w:caps w:val="0"/>
          <w:color w:val="000000"/>
          <w:spacing w:val="0"/>
          <w:sz w:val="32"/>
          <w:szCs w:val="32"/>
          <w:shd w:val="clear" w:fill="FFFFFF"/>
          <w:lang w:eastAsia="zh-CN"/>
        </w:rPr>
        <w:t>千山区妇联</w:t>
      </w:r>
      <w:r>
        <w:rPr>
          <w:rFonts w:hint="eastAsia" w:ascii="仿宋_GB2312" w:hAnsi="微软雅黑" w:eastAsia="仿宋_GB2312" w:cs="仿宋_GB2312"/>
          <w:i w:val="0"/>
          <w:iCs w:val="0"/>
          <w:caps w:val="0"/>
          <w:color w:val="000000"/>
          <w:spacing w:val="0"/>
          <w:sz w:val="32"/>
          <w:szCs w:val="32"/>
          <w:shd w:val="clear" w:fill="FFFFFF"/>
        </w:rPr>
        <w:t>及所属单位所有收入和支出均纳入部门预算管理，2025年收支总预算</w:t>
      </w:r>
      <w:r>
        <w:rPr>
          <w:rFonts w:hint="eastAsia" w:ascii="仿宋_GB2312" w:hAnsi="微软雅黑" w:eastAsia="仿宋_GB2312" w:cs="仿宋_GB2312"/>
          <w:i w:val="0"/>
          <w:iCs w:val="0"/>
          <w:caps w:val="0"/>
          <w:color w:val="000000"/>
          <w:spacing w:val="0"/>
          <w:sz w:val="32"/>
          <w:szCs w:val="32"/>
          <w:shd w:val="clear" w:fill="FFFFFF"/>
          <w:lang w:val="en-US" w:eastAsia="zh-CN"/>
        </w:rPr>
        <w:t>68.35</w:t>
      </w:r>
      <w:r>
        <w:rPr>
          <w:rFonts w:hint="eastAsia" w:ascii="仿宋_GB2312" w:hAnsi="微软雅黑" w:eastAsia="仿宋_GB2312" w:cs="仿宋_GB2312"/>
          <w:i w:val="0"/>
          <w:iCs w:val="0"/>
          <w:caps w:val="0"/>
          <w:color w:val="000000"/>
          <w:spacing w:val="0"/>
          <w:sz w:val="32"/>
          <w:szCs w:val="32"/>
          <w:shd w:val="clear" w:fill="FFFFFF"/>
        </w:rPr>
        <w:t>万元。</w:t>
      </w:r>
    </w:p>
    <w:p w14:paraId="3DF929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（一）收入预算</w:t>
      </w:r>
      <w:r>
        <w:rPr>
          <w:rFonts w:hint="eastAsia" w:ascii="仿宋_GB2312" w:hAnsi="微软雅黑" w:eastAsia="仿宋_GB2312" w:cs="仿宋_GB2312"/>
          <w:i w:val="0"/>
          <w:iCs w:val="0"/>
          <w:caps w:val="0"/>
          <w:color w:val="000000"/>
          <w:spacing w:val="0"/>
          <w:sz w:val="32"/>
          <w:szCs w:val="32"/>
          <w:shd w:val="clear" w:fill="FFFFFF"/>
          <w:lang w:val="en-US" w:eastAsia="zh-CN"/>
        </w:rPr>
        <w:t>68.35</w:t>
      </w:r>
      <w:r>
        <w:rPr>
          <w:rFonts w:hint="eastAsia" w:ascii="仿宋_GB2312" w:hAnsi="微软雅黑" w:eastAsia="仿宋_GB2312" w:cs="仿宋_GB2312"/>
          <w:i w:val="0"/>
          <w:iCs w:val="0"/>
          <w:caps w:val="0"/>
          <w:color w:val="000000"/>
          <w:spacing w:val="0"/>
          <w:sz w:val="32"/>
          <w:szCs w:val="32"/>
          <w:shd w:val="clear" w:fill="FFFFFF"/>
        </w:rPr>
        <w:t>万元，其中：</w:t>
      </w:r>
    </w:p>
    <w:p w14:paraId="140E47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1.一般公共预算拨款收入</w:t>
      </w:r>
      <w:r>
        <w:rPr>
          <w:rFonts w:hint="eastAsia" w:ascii="仿宋_GB2312" w:hAnsi="微软雅黑" w:eastAsia="仿宋_GB2312" w:cs="仿宋_GB2312"/>
          <w:i w:val="0"/>
          <w:iCs w:val="0"/>
          <w:caps w:val="0"/>
          <w:color w:val="000000"/>
          <w:spacing w:val="0"/>
          <w:sz w:val="32"/>
          <w:szCs w:val="32"/>
          <w:shd w:val="clear" w:fill="FFFFFF"/>
          <w:lang w:val="en-US" w:eastAsia="zh-CN"/>
        </w:rPr>
        <w:t>55.85</w:t>
      </w:r>
      <w:r>
        <w:rPr>
          <w:rFonts w:hint="eastAsia" w:ascii="仿宋_GB2312" w:hAnsi="微软雅黑" w:eastAsia="仿宋_GB2312" w:cs="仿宋_GB2312"/>
          <w:i w:val="0"/>
          <w:iCs w:val="0"/>
          <w:caps w:val="0"/>
          <w:color w:val="000000"/>
          <w:spacing w:val="0"/>
          <w:sz w:val="32"/>
          <w:szCs w:val="32"/>
          <w:shd w:val="clear" w:fill="FFFFFF"/>
        </w:rPr>
        <w:t>万元；</w:t>
      </w:r>
    </w:p>
    <w:p w14:paraId="64B9DB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2.政府性基金预算拨款收入</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008867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3.国有资本经营预算拨款收入</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 </w:t>
      </w:r>
    </w:p>
    <w:p w14:paraId="1FDDD7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4.财政专户管理资金收入</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663FAA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5.单位资金收入</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06D913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6.上年结转结余</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16573E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（二）支出预算</w:t>
      </w:r>
      <w:r>
        <w:rPr>
          <w:rFonts w:hint="eastAsia" w:ascii="仿宋_GB2312" w:hAnsi="微软雅黑" w:eastAsia="仿宋_GB2312" w:cs="仿宋_GB2312"/>
          <w:i w:val="0"/>
          <w:iCs w:val="0"/>
          <w:caps w:val="0"/>
          <w:color w:val="000000"/>
          <w:spacing w:val="0"/>
          <w:sz w:val="32"/>
          <w:szCs w:val="32"/>
          <w:shd w:val="clear" w:fill="FFFFFF"/>
          <w:lang w:val="en-US" w:eastAsia="zh-CN"/>
        </w:rPr>
        <w:t xml:space="preserve">68.35 </w:t>
      </w:r>
      <w:r>
        <w:rPr>
          <w:rFonts w:hint="eastAsia" w:ascii="仿宋_GB2312" w:hAnsi="微软雅黑" w:eastAsia="仿宋_GB2312" w:cs="仿宋_GB2312"/>
          <w:i w:val="0"/>
          <w:iCs w:val="0"/>
          <w:caps w:val="0"/>
          <w:color w:val="000000"/>
          <w:spacing w:val="0"/>
          <w:sz w:val="32"/>
          <w:szCs w:val="32"/>
          <w:shd w:val="clear" w:fill="FFFFFF"/>
        </w:rPr>
        <w:t>万元，其中：</w:t>
      </w:r>
    </w:p>
    <w:p w14:paraId="400DE6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1.基本支出</w:t>
      </w:r>
      <w:r>
        <w:rPr>
          <w:rFonts w:hint="eastAsia" w:ascii="仿宋_GB2312" w:hAnsi="微软雅黑" w:eastAsia="仿宋_GB2312" w:cs="仿宋_GB2312"/>
          <w:i w:val="0"/>
          <w:iCs w:val="0"/>
          <w:caps w:val="0"/>
          <w:color w:val="000000"/>
          <w:spacing w:val="0"/>
          <w:sz w:val="32"/>
          <w:szCs w:val="32"/>
          <w:shd w:val="clear" w:fill="FFFFFF"/>
          <w:lang w:val="en-US" w:eastAsia="zh-CN"/>
        </w:rPr>
        <w:t>55.85</w:t>
      </w:r>
      <w:r>
        <w:rPr>
          <w:rFonts w:hint="eastAsia" w:ascii="仿宋_GB2312" w:hAnsi="微软雅黑" w:eastAsia="仿宋_GB2312" w:cs="仿宋_GB2312"/>
          <w:i w:val="0"/>
          <w:iCs w:val="0"/>
          <w:caps w:val="0"/>
          <w:color w:val="000000"/>
          <w:spacing w:val="0"/>
          <w:sz w:val="32"/>
          <w:szCs w:val="32"/>
          <w:shd w:val="clear" w:fill="FFFFFF"/>
        </w:rPr>
        <w:t>万元；</w:t>
      </w:r>
    </w:p>
    <w:p w14:paraId="124C6C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2.项目支出</w:t>
      </w:r>
      <w:r>
        <w:rPr>
          <w:rFonts w:hint="eastAsia" w:ascii="仿宋_GB2312" w:hAnsi="微软雅黑" w:eastAsia="仿宋_GB2312" w:cs="仿宋_GB2312"/>
          <w:i w:val="0"/>
          <w:iCs w:val="0"/>
          <w:caps w:val="0"/>
          <w:color w:val="000000"/>
          <w:spacing w:val="0"/>
          <w:sz w:val="32"/>
          <w:szCs w:val="32"/>
          <w:shd w:val="clear" w:fill="FFFFFF"/>
          <w:lang w:val="en-US" w:eastAsia="zh-CN"/>
        </w:rPr>
        <w:t>12.5</w:t>
      </w:r>
      <w:r>
        <w:rPr>
          <w:rFonts w:hint="eastAsia" w:ascii="仿宋_GB2312" w:hAnsi="微软雅黑" w:eastAsia="仿宋_GB2312" w:cs="仿宋_GB2312"/>
          <w:i w:val="0"/>
          <w:iCs w:val="0"/>
          <w:caps w:val="0"/>
          <w:color w:val="000000"/>
          <w:spacing w:val="0"/>
          <w:sz w:val="32"/>
          <w:szCs w:val="32"/>
          <w:shd w:val="clear" w:fill="FFFFFF"/>
        </w:rPr>
        <w:t>万元。</w:t>
      </w:r>
    </w:p>
    <w:p w14:paraId="3E9809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在支出预算中，其中一般公共服务支出</w:t>
      </w:r>
      <w:r>
        <w:rPr>
          <w:rFonts w:hint="eastAsia" w:ascii="仿宋_GB2312" w:hAnsi="微软雅黑" w:eastAsia="仿宋_GB2312" w:cs="仿宋_GB2312"/>
          <w:i w:val="0"/>
          <w:iCs w:val="0"/>
          <w:caps w:val="0"/>
          <w:color w:val="000000"/>
          <w:spacing w:val="0"/>
          <w:sz w:val="32"/>
          <w:szCs w:val="32"/>
          <w:shd w:val="clear" w:fill="FFFFFF"/>
          <w:lang w:val="en-US" w:eastAsia="zh-CN"/>
        </w:rPr>
        <w:t>53.91</w:t>
      </w:r>
      <w:r>
        <w:rPr>
          <w:rFonts w:hint="eastAsia" w:ascii="仿宋_GB2312" w:hAnsi="微软雅黑" w:eastAsia="仿宋_GB2312" w:cs="仿宋_GB2312"/>
          <w:i w:val="0"/>
          <w:iCs w:val="0"/>
          <w:caps w:val="0"/>
          <w:color w:val="000000"/>
          <w:spacing w:val="0"/>
          <w:sz w:val="32"/>
          <w:szCs w:val="32"/>
          <w:shd w:val="clear" w:fill="FFFFFF"/>
        </w:rPr>
        <w:t>万元，社会保障和就业支出</w:t>
      </w:r>
      <w:r>
        <w:rPr>
          <w:rFonts w:hint="eastAsia" w:ascii="仿宋_GB2312" w:hAnsi="微软雅黑" w:eastAsia="仿宋_GB2312" w:cs="仿宋_GB2312"/>
          <w:i w:val="0"/>
          <w:iCs w:val="0"/>
          <w:caps w:val="0"/>
          <w:color w:val="000000"/>
          <w:spacing w:val="0"/>
          <w:sz w:val="32"/>
          <w:szCs w:val="32"/>
          <w:shd w:val="clear" w:fill="FFFFFF"/>
          <w:lang w:val="en-US" w:eastAsia="zh-CN"/>
        </w:rPr>
        <w:t>5.98</w:t>
      </w:r>
      <w:r>
        <w:rPr>
          <w:rFonts w:hint="eastAsia" w:ascii="仿宋_GB2312" w:hAnsi="微软雅黑" w:eastAsia="仿宋_GB2312" w:cs="仿宋_GB2312"/>
          <w:i w:val="0"/>
          <w:iCs w:val="0"/>
          <w:caps w:val="0"/>
          <w:color w:val="000000"/>
          <w:spacing w:val="0"/>
          <w:sz w:val="32"/>
          <w:szCs w:val="32"/>
          <w:shd w:val="clear" w:fill="FFFFFF"/>
        </w:rPr>
        <w:t>万元，住房保障支出</w:t>
      </w:r>
      <w:r>
        <w:rPr>
          <w:rFonts w:hint="eastAsia" w:ascii="仿宋_GB2312" w:hAnsi="微软雅黑" w:eastAsia="仿宋_GB2312" w:cs="仿宋_GB2312"/>
          <w:i w:val="0"/>
          <w:iCs w:val="0"/>
          <w:caps w:val="0"/>
          <w:color w:val="000000"/>
          <w:spacing w:val="0"/>
          <w:sz w:val="32"/>
          <w:szCs w:val="32"/>
          <w:shd w:val="clear" w:fill="FFFFFF"/>
          <w:lang w:val="en-US" w:eastAsia="zh-CN"/>
        </w:rPr>
        <w:t>4.3</w:t>
      </w:r>
      <w:r>
        <w:rPr>
          <w:rFonts w:hint="eastAsia" w:ascii="仿宋_GB2312" w:hAnsi="微软雅黑" w:eastAsia="仿宋_GB2312" w:cs="仿宋_GB2312"/>
          <w:i w:val="0"/>
          <w:iCs w:val="0"/>
          <w:caps w:val="0"/>
          <w:color w:val="000000"/>
          <w:spacing w:val="0"/>
          <w:sz w:val="32"/>
          <w:szCs w:val="32"/>
          <w:shd w:val="clear" w:fill="FFFFFF"/>
        </w:rPr>
        <w:t>万元，  </w:t>
      </w:r>
      <w:r>
        <w:rPr>
          <w:rFonts w:hint="eastAsia" w:ascii="仿宋_GB2312" w:hAnsi="微软雅黑" w:eastAsia="仿宋_GB2312" w:cs="仿宋_GB2312"/>
          <w:i w:val="0"/>
          <w:iCs w:val="0"/>
          <w:caps w:val="0"/>
          <w:color w:val="000000"/>
          <w:spacing w:val="0"/>
          <w:sz w:val="32"/>
          <w:szCs w:val="32"/>
          <w:shd w:val="clear" w:fill="FFFFFF"/>
          <w:lang w:eastAsia="zh-CN"/>
        </w:rPr>
        <w:t>卫生健康支出</w:t>
      </w:r>
      <w:r>
        <w:rPr>
          <w:rFonts w:hint="eastAsia" w:ascii="仿宋_GB2312" w:hAnsi="微软雅黑" w:eastAsia="仿宋_GB2312" w:cs="仿宋_GB2312"/>
          <w:i w:val="0"/>
          <w:iCs w:val="0"/>
          <w:caps w:val="0"/>
          <w:color w:val="000000"/>
          <w:spacing w:val="0"/>
          <w:sz w:val="32"/>
          <w:szCs w:val="32"/>
          <w:shd w:val="clear" w:fill="FFFFFF"/>
          <w:lang w:val="en-US" w:eastAsia="zh-CN"/>
        </w:rPr>
        <w:t>4.16万元</w:t>
      </w:r>
      <w:r>
        <w:rPr>
          <w:rFonts w:hint="eastAsia" w:ascii="仿宋_GB2312" w:hAnsi="微软雅黑" w:eastAsia="仿宋_GB2312" w:cs="仿宋_GB2312"/>
          <w:i w:val="0"/>
          <w:iCs w:val="0"/>
          <w:caps w:val="0"/>
          <w:color w:val="000000"/>
          <w:spacing w:val="0"/>
          <w:sz w:val="32"/>
          <w:szCs w:val="32"/>
          <w:shd w:val="clear" w:fill="FFFFFF"/>
        </w:rPr>
        <w:t>  。</w:t>
      </w:r>
    </w:p>
    <w:p w14:paraId="1393A8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在支出预算中，其中机关运行经费支出</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万元，债务支出</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万元，国有资本经营预算支出</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万元，政府采购支出</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万元，政府购买服务支出</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74FCC929">
      <w:pPr>
        <w:pStyle w:val="5"/>
        <w:spacing w:line="560" w:lineRule="exact"/>
        <w:ind w:firstLine="660"/>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收支预算增减情况。2025年，</w:t>
      </w:r>
      <w:r>
        <w:rPr>
          <w:rFonts w:hint="eastAsia" w:ascii="仿宋_GB2312" w:hAnsi="微软雅黑" w:eastAsia="仿宋_GB2312" w:cs="仿宋_GB2312"/>
          <w:i w:val="0"/>
          <w:iCs w:val="0"/>
          <w:caps w:val="0"/>
          <w:color w:val="000000"/>
          <w:spacing w:val="0"/>
          <w:sz w:val="32"/>
          <w:szCs w:val="32"/>
          <w:shd w:val="clear" w:fill="FFFFFF"/>
          <w:lang w:eastAsia="zh-CN"/>
        </w:rPr>
        <w:t>千山区妇联</w:t>
      </w:r>
      <w:r>
        <w:rPr>
          <w:rFonts w:hint="eastAsia" w:ascii="仿宋_GB2312" w:hAnsi="微软雅黑" w:eastAsia="仿宋_GB2312" w:cs="仿宋_GB2312"/>
          <w:i w:val="0"/>
          <w:iCs w:val="0"/>
          <w:caps w:val="0"/>
          <w:color w:val="000000"/>
          <w:spacing w:val="0"/>
          <w:sz w:val="32"/>
          <w:szCs w:val="32"/>
          <w:shd w:val="clear" w:fill="FFFFFF"/>
        </w:rPr>
        <w:t>及所属单位部门收支预算</w:t>
      </w:r>
      <w:r>
        <w:rPr>
          <w:rFonts w:hint="eastAsia" w:ascii="仿宋_GB2312" w:hAnsi="微软雅黑" w:eastAsia="仿宋_GB2312" w:cs="仿宋_GB2312"/>
          <w:i w:val="0"/>
          <w:iCs w:val="0"/>
          <w:caps w:val="0"/>
          <w:color w:val="000000"/>
          <w:spacing w:val="0"/>
          <w:sz w:val="32"/>
          <w:szCs w:val="32"/>
          <w:shd w:val="clear" w:fill="FFFFFF"/>
          <w:lang w:val="en-US" w:eastAsia="zh-CN"/>
        </w:rPr>
        <w:t>68.35</w:t>
      </w:r>
      <w:r>
        <w:rPr>
          <w:rFonts w:hint="eastAsia" w:ascii="仿宋_GB2312" w:hAnsi="微软雅黑" w:eastAsia="仿宋_GB2312" w:cs="仿宋_GB2312"/>
          <w:i w:val="0"/>
          <w:iCs w:val="0"/>
          <w:caps w:val="0"/>
          <w:color w:val="000000"/>
          <w:spacing w:val="0"/>
          <w:sz w:val="32"/>
          <w:szCs w:val="32"/>
          <w:shd w:val="clear" w:fill="FFFFFF"/>
        </w:rPr>
        <w:t>万元，比上年</w:t>
      </w:r>
      <w:r>
        <w:rPr>
          <w:rFonts w:hint="eastAsia" w:ascii="仿宋_GB2312" w:hAnsi="微软雅黑" w:eastAsia="仿宋_GB2312" w:cs="仿宋_GB2312"/>
          <w:i w:val="0"/>
          <w:iCs w:val="0"/>
          <w:caps w:val="0"/>
          <w:color w:val="000000"/>
          <w:spacing w:val="0"/>
          <w:sz w:val="32"/>
          <w:szCs w:val="32"/>
          <w:shd w:val="clear" w:fill="FFFFFF"/>
          <w:lang w:eastAsia="zh-CN"/>
        </w:rPr>
        <w:t>增加</w:t>
      </w:r>
      <w:r>
        <w:rPr>
          <w:rFonts w:hint="eastAsia" w:ascii="仿宋_GB2312" w:hAnsi="微软雅黑" w:eastAsia="仿宋_GB2312" w:cs="仿宋_GB2312"/>
          <w:i w:val="0"/>
          <w:iCs w:val="0"/>
          <w:caps w:val="0"/>
          <w:color w:val="000000"/>
          <w:spacing w:val="0"/>
          <w:sz w:val="32"/>
          <w:szCs w:val="32"/>
          <w:shd w:val="clear" w:fill="FFFFFF"/>
          <w:lang w:val="en-US" w:eastAsia="zh-CN"/>
        </w:rPr>
        <w:t>2.91</w:t>
      </w:r>
      <w:r>
        <w:rPr>
          <w:rFonts w:hint="eastAsia" w:ascii="仿宋_GB2312" w:hAnsi="微软雅黑" w:eastAsia="仿宋_GB2312" w:cs="仿宋_GB2312"/>
          <w:i w:val="0"/>
          <w:iCs w:val="0"/>
          <w:caps w:val="0"/>
          <w:color w:val="000000"/>
          <w:spacing w:val="0"/>
          <w:sz w:val="32"/>
          <w:szCs w:val="32"/>
          <w:shd w:val="clear" w:fill="FFFFFF"/>
        </w:rPr>
        <w:t>万元，</w:t>
      </w:r>
      <w:r>
        <w:rPr>
          <w:rFonts w:hint="eastAsia" w:ascii="仿宋_GB2312" w:hAnsi="微软雅黑" w:eastAsia="仿宋_GB2312" w:cs="仿宋_GB2312"/>
          <w:i w:val="0"/>
          <w:iCs w:val="0"/>
          <w:caps w:val="0"/>
          <w:color w:val="000000"/>
          <w:spacing w:val="0"/>
          <w:sz w:val="32"/>
          <w:szCs w:val="32"/>
          <w:shd w:val="clear" w:fill="FFFFFF"/>
          <w:lang w:eastAsia="zh-CN"/>
        </w:rPr>
        <w:t>增涨</w:t>
      </w:r>
      <w:r>
        <w:rPr>
          <w:rFonts w:hint="eastAsia" w:ascii="仿宋_GB2312" w:hAnsi="微软雅黑" w:eastAsia="仿宋_GB2312" w:cs="仿宋_GB2312"/>
          <w:i w:val="0"/>
          <w:iCs w:val="0"/>
          <w:caps w:val="0"/>
          <w:color w:val="000000"/>
          <w:spacing w:val="0"/>
          <w:sz w:val="32"/>
          <w:szCs w:val="32"/>
          <w:shd w:val="clear" w:fill="FFFFFF"/>
          <w:lang w:val="en-US" w:eastAsia="zh-CN"/>
        </w:rPr>
        <w:t>4%</w:t>
      </w:r>
      <w:r>
        <w:rPr>
          <w:rFonts w:hint="eastAsia" w:ascii="仿宋_GB2312" w:hAnsi="微软雅黑" w:eastAsia="仿宋_GB2312" w:cs="仿宋_GB2312"/>
          <w:i w:val="0"/>
          <w:iCs w:val="0"/>
          <w:caps w:val="0"/>
          <w:color w:val="000000"/>
          <w:spacing w:val="0"/>
          <w:sz w:val="32"/>
          <w:szCs w:val="32"/>
          <w:shd w:val="clear" w:fill="FFFFFF"/>
        </w:rPr>
        <w:t>，</w:t>
      </w:r>
      <w:r>
        <w:rPr>
          <w:rFonts w:hint="eastAsia" w:ascii="仿宋_GB2312" w:eastAsia="仿宋_GB2312"/>
          <w:sz w:val="32"/>
          <w:szCs w:val="32"/>
          <w:lang w:eastAsia="zh-CN"/>
        </w:rPr>
        <w:t>增加</w:t>
      </w:r>
      <w:r>
        <w:rPr>
          <w:rFonts w:hint="eastAsia" w:ascii="仿宋_GB2312" w:eastAsia="仿宋_GB2312"/>
          <w:sz w:val="32"/>
          <w:szCs w:val="32"/>
        </w:rPr>
        <w:t>的主要</w:t>
      </w:r>
      <w:r>
        <w:rPr>
          <w:rFonts w:hint="eastAsia" w:ascii="仿宋_GB2312" w:eastAsia="仿宋_GB2312"/>
          <w:color w:val="000000"/>
          <w:sz w:val="32"/>
          <w:szCs w:val="32"/>
        </w:rPr>
        <w:t>原因：</w:t>
      </w:r>
      <w:r>
        <w:rPr>
          <w:rFonts w:hint="eastAsia" w:ascii="仿宋_GB2312" w:eastAsia="仿宋_GB2312"/>
          <w:color w:val="000000"/>
          <w:sz w:val="32"/>
          <w:szCs w:val="32"/>
          <w:lang w:eastAsia="zh-CN"/>
        </w:rPr>
        <w:t>妇联人员工资经费</w:t>
      </w:r>
      <w:r>
        <w:rPr>
          <w:rFonts w:hint="eastAsia" w:ascii="仿宋_GB2312" w:hAnsi="微软雅黑" w:eastAsia="仿宋_GB2312" w:cs="仿宋_GB2312"/>
          <w:i w:val="0"/>
          <w:iCs w:val="0"/>
          <w:caps w:val="0"/>
          <w:color w:val="000000"/>
          <w:spacing w:val="0"/>
          <w:sz w:val="32"/>
          <w:szCs w:val="32"/>
          <w:shd w:val="clear" w:fill="FFFFFF"/>
        </w:rPr>
        <w:t>。</w:t>
      </w:r>
    </w:p>
    <w:p w14:paraId="60EA3B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w:t>
      </w:r>
      <w:r>
        <w:rPr>
          <w:rFonts w:hint="eastAsia" w:ascii="楷体" w:hAnsi="楷体" w:eastAsia="楷体" w:cs="楷体"/>
          <w:b/>
          <w:bCs/>
          <w:i w:val="0"/>
          <w:iCs w:val="0"/>
          <w:caps w:val="0"/>
          <w:color w:val="000000"/>
          <w:spacing w:val="0"/>
          <w:sz w:val="32"/>
          <w:szCs w:val="32"/>
          <w:shd w:val="clear" w:fill="FFFFFF"/>
        </w:rPr>
        <w:t>  </w:t>
      </w:r>
      <w:r>
        <w:rPr>
          <w:rFonts w:hint="eastAsia" w:ascii="楷体" w:hAnsi="楷体" w:eastAsia="楷体" w:cs="楷体"/>
          <w:b/>
          <w:bCs/>
          <w:i w:val="0"/>
          <w:iCs w:val="0"/>
          <w:caps w:val="0"/>
          <w:color w:val="000000"/>
          <w:spacing w:val="0"/>
          <w:sz w:val="32"/>
          <w:szCs w:val="32"/>
          <w:shd w:val="clear" w:fill="FFFFFF"/>
          <w:lang w:val="en-US" w:eastAsia="zh-CN"/>
        </w:rPr>
        <w:t xml:space="preserve"> </w:t>
      </w:r>
      <w:r>
        <w:rPr>
          <w:rFonts w:hint="eastAsia" w:ascii="楷体" w:hAnsi="楷体" w:eastAsia="楷体" w:cs="楷体"/>
          <w:b/>
          <w:bCs/>
          <w:i w:val="0"/>
          <w:iCs w:val="0"/>
          <w:caps w:val="0"/>
          <w:color w:val="000000"/>
          <w:spacing w:val="0"/>
          <w:sz w:val="32"/>
          <w:szCs w:val="32"/>
          <w:shd w:val="clear" w:fill="FFFFFF"/>
        </w:rPr>
        <w:t>二、财政拨款收支预算情况说明</w:t>
      </w:r>
      <w:r>
        <w:rPr>
          <w:rFonts w:hint="eastAsia" w:ascii="楷体" w:hAnsi="楷体" w:eastAsia="楷体" w:cs="楷体"/>
          <w:i w:val="0"/>
          <w:iCs w:val="0"/>
          <w:caps w:val="0"/>
          <w:color w:val="000000"/>
          <w:spacing w:val="0"/>
          <w:sz w:val="32"/>
          <w:szCs w:val="32"/>
          <w:shd w:val="clear" w:fill="FFFFFF"/>
        </w:rPr>
        <w:t> </w:t>
      </w:r>
    </w:p>
    <w:p w14:paraId="2C3654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w:t>
      </w:r>
      <w:r>
        <w:rPr>
          <w:rFonts w:hint="eastAsia" w:ascii="仿宋_GB2312" w:hAnsi="微软雅黑" w:eastAsia="仿宋_GB2312" w:cs="仿宋_GB2312"/>
          <w:i w:val="0"/>
          <w:iCs w:val="0"/>
          <w:caps w:val="0"/>
          <w:color w:val="000000"/>
          <w:spacing w:val="0"/>
          <w:sz w:val="32"/>
          <w:szCs w:val="32"/>
          <w:shd w:val="clear" w:fill="FFFFFF"/>
          <w:lang w:val="en-US" w:eastAsia="zh-CN"/>
        </w:rPr>
        <w:t xml:space="preserve"> </w:t>
      </w:r>
      <w:r>
        <w:rPr>
          <w:rFonts w:hint="eastAsia" w:ascii="仿宋_GB2312" w:hAnsi="微软雅黑" w:eastAsia="仿宋_GB2312" w:cs="仿宋_GB2312"/>
          <w:i w:val="0"/>
          <w:iCs w:val="0"/>
          <w:caps w:val="0"/>
          <w:color w:val="000000"/>
          <w:spacing w:val="0"/>
          <w:sz w:val="32"/>
          <w:szCs w:val="32"/>
          <w:shd w:val="clear" w:fill="FFFFFF"/>
          <w:lang w:eastAsia="zh-CN"/>
        </w:rPr>
        <w:t>千山区妇联</w:t>
      </w:r>
      <w:r>
        <w:rPr>
          <w:rFonts w:hint="eastAsia" w:ascii="仿宋_GB2312" w:hAnsi="微软雅黑" w:eastAsia="仿宋_GB2312" w:cs="仿宋_GB2312"/>
          <w:i w:val="0"/>
          <w:iCs w:val="0"/>
          <w:caps w:val="0"/>
          <w:color w:val="000000"/>
          <w:spacing w:val="0"/>
          <w:sz w:val="32"/>
          <w:szCs w:val="32"/>
          <w:shd w:val="clear" w:fill="FFFFFF"/>
        </w:rPr>
        <w:t>及所属单位2025年财政拨款收支总预算</w:t>
      </w:r>
      <w:r>
        <w:rPr>
          <w:rFonts w:hint="eastAsia" w:ascii="仿宋_GB2312" w:hAnsi="微软雅黑" w:eastAsia="仿宋_GB2312" w:cs="仿宋_GB2312"/>
          <w:i w:val="0"/>
          <w:iCs w:val="0"/>
          <w:caps w:val="0"/>
          <w:color w:val="000000"/>
          <w:spacing w:val="0"/>
          <w:sz w:val="32"/>
          <w:szCs w:val="32"/>
          <w:shd w:val="clear" w:fill="FFFFFF"/>
          <w:lang w:val="en-US" w:eastAsia="zh-CN"/>
        </w:rPr>
        <w:t>68.35</w:t>
      </w:r>
      <w:r>
        <w:rPr>
          <w:rFonts w:hint="eastAsia" w:ascii="仿宋_GB2312" w:hAnsi="微软雅黑" w:eastAsia="仿宋_GB2312" w:cs="仿宋_GB2312"/>
          <w:i w:val="0"/>
          <w:iCs w:val="0"/>
          <w:caps w:val="0"/>
          <w:color w:val="000000"/>
          <w:spacing w:val="0"/>
          <w:sz w:val="32"/>
          <w:szCs w:val="32"/>
          <w:shd w:val="clear" w:fill="FFFFFF"/>
        </w:rPr>
        <w:t>万元。收入预算为一般公共预算拨款，无政府性基金预算拨款和国有资本经营预算拨款，包括：当年财政拨款收入</w:t>
      </w:r>
      <w:r>
        <w:rPr>
          <w:rFonts w:hint="eastAsia" w:ascii="仿宋_GB2312" w:hAnsi="微软雅黑" w:eastAsia="仿宋_GB2312" w:cs="仿宋_GB2312"/>
          <w:i w:val="0"/>
          <w:iCs w:val="0"/>
          <w:caps w:val="0"/>
          <w:color w:val="000000"/>
          <w:spacing w:val="0"/>
          <w:sz w:val="32"/>
          <w:szCs w:val="32"/>
          <w:shd w:val="clear" w:fill="FFFFFF"/>
          <w:lang w:val="en-US" w:eastAsia="zh-CN"/>
        </w:rPr>
        <w:t>68.35</w:t>
      </w:r>
      <w:r>
        <w:rPr>
          <w:rFonts w:hint="eastAsia" w:ascii="仿宋_GB2312" w:hAnsi="微软雅黑" w:eastAsia="仿宋_GB2312" w:cs="仿宋_GB2312"/>
          <w:i w:val="0"/>
          <w:iCs w:val="0"/>
          <w:caps w:val="0"/>
          <w:color w:val="000000"/>
          <w:spacing w:val="0"/>
          <w:sz w:val="32"/>
          <w:szCs w:val="32"/>
          <w:shd w:val="clear" w:fill="FFFFFF"/>
        </w:rPr>
        <w:t>万元，上年结转结余</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万元；支出预算按功能支出包括：一般公共服务支出</w:t>
      </w:r>
      <w:r>
        <w:rPr>
          <w:rFonts w:hint="eastAsia" w:ascii="仿宋_GB2312" w:hAnsi="微软雅黑" w:eastAsia="仿宋_GB2312" w:cs="仿宋_GB2312"/>
          <w:i w:val="0"/>
          <w:iCs w:val="0"/>
          <w:caps w:val="0"/>
          <w:color w:val="000000"/>
          <w:spacing w:val="0"/>
          <w:sz w:val="32"/>
          <w:szCs w:val="32"/>
          <w:shd w:val="clear" w:fill="FFFFFF"/>
          <w:lang w:val="en-US" w:eastAsia="zh-CN"/>
        </w:rPr>
        <w:t>53.91</w:t>
      </w:r>
      <w:r>
        <w:rPr>
          <w:rFonts w:hint="eastAsia" w:ascii="仿宋_GB2312" w:hAnsi="微软雅黑" w:eastAsia="仿宋_GB2312" w:cs="仿宋_GB2312"/>
          <w:i w:val="0"/>
          <w:iCs w:val="0"/>
          <w:caps w:val="0"/>
          <w:color w:val="000000"/>
          <w:spacing w:val="0"/>
          <w:sz w:val="32"/>
          <w:szCs w:val="32"/>
          <w:shd w:val="clear" w:fill="FFFFFF"/>
        </w:rPr>
        <w:t>万元，社会保障和就业支出</w:t>
      </w:r>
      <w:r>
        <w:rPr>
          <w:rFonts w:hint="eastAsia" w:ascii="仿宋_GB2312" w:hAnsi="微软雅黑" w:eastAsia="仿宋_GB2312" w:cs="仿宋_GB2312"/>
          <w:i w:val="0"/>
          <w:iCs w:val="0"/>
          <w:caps w:val="0"/>
          <w:color w:val="000000"/>
          <w:spacing w:val="0"/>
          <w:sz w:val="32"/>
          <w:szCs w:val="32"/>
          <w:shd w:val="clear" w:fill="FFFFFF"/>
          <w:lang w:val="en-US" w:eastAsia="zh-CN"/>
        </w:rPr>
        <w:t>5.98</w:t>
      </w:r>
      <w:r>
        <w:rPr>
          <w:rFonts w:hint="eastAsia" w:ascii="仿宋_GB2312" w:hAnsi="微软雅黑" w:eastAsia="仿宋_GB2312" w:cs="仿宋_GB2312"/>
          <w:i w:val="0"/>
          <w:iCs w:val="0"/>
          <w:caps w:val="0"/>
          <w:color w:val="000000"/>
          <w:spacing w:val="0"/>
          <w:sz w:val="32"/>
          <w:szCs w:val="32"/>
          <w:shd w:val="clear" w:fill="FFFFFF"/>
        </w:rPr>
        <w:t>万元，住房保障支出</w:t>
      </w:r>
      <w:r>
        <w:rPr>
          <w:rFonts w:hint="eastAsia" w:ascii="仿宋_GB2312" w:hAnsi="微软雅黑" w:eastAsia="仿宋_GB2312" w:cs="仿宋_GB2312"/>
          <w:i w:val="0"/>
          <w:iCs w:val="0"/>
          <w:caps w:val="0"/>
          <w:color w:val="000000"/>
          <w:spacing w:val="0"/>
          <w:sz w:val="32"/>
          <w:szCs w:val="32"/>
          <w:shd w:val="clear" w:fill="FFFFFF"/>
          <w:lang w:val="en-US" w:eastAsia="zh-CN"/>
        </w:rPr>
        <w:t>4.3</w:t>
      </w:r>
      <w:r>
        <w:rPr>
          <w:rFonts w:hint="eastAsia" w:ascii="仿宋_GB2312" w:hAnsi="微软雅黑" w:eastAsia="仿宋_GB2312" w:cs="仿宋_GB2312"/>
          <w:i w:val="0"/>
          <w:iCs w:val="0"/>
          <w:caps w:val="0"/>
          <w:color w:val="000000"/>
          <w:spacing w:val="0"/>
          <w:sz w:val="32"/>
          <w:szCs w:val="32"/>
          <w:shd w:val="clear" w:fill="FFFFFF"/>
        </w:rPr>
        <w:t>万元，  </w:t>
      </w:r>
      <w:r>
        <w:rPr>
          <w:rFonts w:hint="eastAsia" w:ascii="仿宋_GB2312" w:hAnsi="微软雅黑" w:eastAsia="仿宋_GB2312" w:cs="仿宋_GB2312"/>
          <w:i w:val="0"/>
          <w:iCs w:val="0"/>
          <w:caps w:val="0"/>
          <w:color w:val="000000"/>
          <w:spacing w:val="0"/>
          <w:sz w:val="32"/>
          <w:szCs w:val="32"/>
          <w:shd w:val="clear" w:fill="FFFFFF"/>
          <w:lang w:eastAsia="zh-CN"/>
        </w:rPr>
        <w:t>卫生健康支出</w:t>
      </w:r>
      <w:r>
        <w:rPr>
          <w:rFonts w:hint="eastAsia" w:ascii="仿宋_GB2312" w:hAnsi="微软雅黑" w:eastAsia="仿宋_GB2312" w:cs="仿宋_GB2312"/>
          <w:i w:val="0"/>
          <w:iCs w:val="0"/>
          <w:caps w:val="0"/>
          <w:color w:val="000000"/>
          <w:spacing w:val="0"/>
          <w:sz w:val="32"/>
          <w:szCs w:val="32"/>
          <w:shd w:val="clear" w:fill="FFFFFF"/>
          <w:lang w:val="en-US" w:eastAsia="zh-CN"/>
        </w:rPr>
        <w:t>4.16万元</w:t>
      </w:r>
      <w:r>
        <w:rPr>
          <w:rFonts w:hint="eastAsia" w:ascii="仿宋_GB2312" w:hAnsi="微软雅黑" w:eastAsia="仿宋_GB2312" w:cs="仿宋_GB2312"/>
          <w:i w:val="0"/>
          <w:iCs w:val="0"/>
          <w:caps w:val="0"/>
          <w:color w:val="000000"/>
          <w:spacing w:val="0"/>
          <w:sz w:val="32"/>
          <w:szCs w:val="32"/>
          <w:shd w:val="clear" w:fill="FFFFFF"/>
        </w:rPr>
        <w:t>  ；按经济支出包括:工资福利支出</w:t>
      </w:r>
      <w:r>
        <w:rPr>
          <w:rFonts w:hint="eastAsia" w:ascii="仿宋_GB2312" w:hAnsi="微软雅黑" w:eastAsia="仿宋_GB2312" w:cs="仿宋_GB2312"/>
          <w:i w:val="0"/>
          <w:iCs w:val="0"/>
          <w:caps w:val="0"/>
          <w:color w:val="000000"/>
          <w:spacing w:val="0"/>
          <w:sz w:val="32"/>
          <w:szCs w:val="32"/>
          <w:shd w:val="clear" w:fill="FFFFFF"/>
          <w:lang w:val="en-US" w:eastAsia="zh-CN"/>
        </w:rPr>
        <w:t>50.71</w:t>
      </w:r>
      <w:r>
        <w:rPr>
          <w:rFonts w:hint="eastAsia" w:ascii="仿宋_GB2312" w:hAnsi="微软雅黑" w:eastAsia="仿宋_GB2312" w:cs="仿宋_GB2312"/>
          <w:i w:val="0"/>
          <w:iCs w:val="0"/>
          <w:caps w:val="0"/>
          <w:color w:val="000000"/>
          <w:spacing w:val="0"/>
          <w:sz w:val="32"/>
          <w:szCs w:val="32"/>
          <w:shd w:val="clear" w:fill="FFFFFF"/>
        </w:rPr>
        <w:t>万元，商品和服务支出</w:t>
      </w:r>
      <w:r>
        <w:rPr>
          <w:rFonts w:hint="eastAsia" w:ascii="仿宋_GB2312" w:hAnsi="微软雅黑" w:eastAsia="仿宋_GB2312" w:cs="仿宋_GB2312"/>
          <w:i w:val="0"/>
          <w:iCs w:val="0"/>
          <w:caps w:val="0"/>
          <w:color w:val="000000"/>
          <w:spacing w:val="0"/>
          <w:sz w:val="32"/>
          <w:szCs w:val="32"/>
          <w:shd w:val="clear" w:fill="FFFFFF"/>
          <w:lang w:val="en-US" w:eastAsia="zh-CN"/>
        </w:rPr>
        <w:t>4.79</w:t>
      </w:r>
      <w:r>
        <w:rPr>
          <w:rFonts w:hint="eastAsia" w:ascii="仿宋_GB2312" w:hAnsi="微软雅黑" w:eastAsia="仿宋_GB2312" w:cs="仿宋_GB2312"/>
          <w:i w:val="0"/>
          <w:iCs w:val="0"/>
          <w:caps w:val="0"/>
          <w:color w:val="000000"/>
          <w:spacing w:val="0"/>
          <w:sz w:val="32"/>
          <w:szCs w:val="32"/>
          <w:shd w:val="clear" w:fill="FFFFFF"/>
        </w:rPr>
        <w:t>万元，对个人和家庭的补助</w:t>
      </w:r>
      <w:r>
        <w:rPr>
          <w:rFonts w:hint="eastAsia" w:ascii="仿宋_GB2312" w:hAnsi="微软雅黑" w:eastAsia="仿宋_GB2312" w:cs="仿宋_GB2312"/>
          <w:i w:val="0"/>
          <w:iCs w:val="0"/>
          <w:caps w:val="0"/>
          <w:color w:val="000000"/>
          <w:spacing w:val="0"/>
          <w:sz w:val="32"/>
          <w:szCs w:val="32"/>
          <w:shd w:val="clear" w:fill="FFFFFF"/>
          <w:lang w:val="en-US" w:eastAsia="zh-CN"/>
        </w:rPr>
        <w:t>0.35</w:t>
      </w:r>
      <w:r>
        <w:rPr>
          <w:rFonts w:hint="eastAsia" w:ascii="仿宋_GB2312" w:hAnsi="微软雅黑" w:eastAsia="仿宋_GB2312" w:cs="仿宋_GB2312"/>
          <w:i w:val="0"/>
          <w:iCs w:val="0"/>
          <w:caps w:val="0"/>
          <w:color w:val="000000"/>
          <w:spacing w:val="0"/>
          <w:sz w:val="32"/>
          <w:szCs w:val="32"/>
          <w:shd w:val="clear" w:fill="FFFFFF"/>
        </w:rPr>
        <w:t>万元，项目支出</w:t>
      </w:r>
      <w:r>
        <w:rPr>
          <w:rFonts w:hint="eastAsia" w:ascii="仿宋_GB2312" w:hAnsi="微软雅黑" w:eastAsia="仿宋_GB2312" w:cs="仿宋_GB2312"/>
          <w:i w:val="0"/>
          <w:iCs w:val="0"/>
          <w:caps w:val="0"/>
          <w:color w:val="000000"/>
          <w:spacing w:val="0"/>
          <w:sz w:val="32"/>
          <w:szCs w:val="32"/>
          <w:shd w:val="clear" w:fill="FFFFFF"/>
          <w:lang w:val="en-US" w:eastAsia="zh-CN"/>
        </w:rPr>
        <w:t>12.5</w:t>
      </w:r>
      <w:r>
        <w:rPr>
          <w:rFonts w:hint="eastAsia" w:ascii="仿宋_GB2312" w:hAnsi="微软雅黑" w:eastAsia="仿宋_GB2312" w:cs="仿宋_GB2312"/>
          <w:i w:val="0"/>
          <w:iCs w:val="0"/>
          <w:caps w:val="0"/>
          <w:color w:val="000000"/>
          <w:spacing w:val="0"/>
          <w:sz w:val="32"/>
          <w:szCs w:val="32"/>
          <w:shd w:val="clear" w:fill="FFFFFF"/>
        </w:rPr>
        <w:t>万元。 </w:t>
      </w:r>
    </w:p>
    <w:p w14:paraId="08268B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78"/>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财政拨款收支预算增减情况。2025年，</w:t>
      </w:r>
      <w:r>
        <w:rPr>
          <w:rFonts w:hint="eastAsia" w:ascii="仿宋_GB2312" w:hAnsi="微软雅黑" w:eastAsia="仿宋_GB2312" w:cs="仿宋_GB2312"/>
          <w:i w:val="0"/>
          <w:iCs w:val="0"/>
          <w:caps w:val="0"/>
          <w:color w:val="000000"/>
          <w:spacing w:val="0"/>
          <w:sz w:val="32"/>
          <w:szCs w:val="32"/>
          <w:shd w:val="clear" w:fill="FFFFFF"/>
          <w:lang w:eastAsia="zh-CN"/>
        </w:rPr>
        <w:t>千山区妇联</w:t>
      </w:r>
      <w:r>
        <w:rPr>
          <w:rFonts w:hint="eastAsia" w:ascii="仿宋_GB2312" w:hAnsi="微软雅黑" w:eastAsia="仿宋_GB2312" w:cs="仿宋_GB2312"/>
          <w:i w:val="0"/>
          <w:iCs w:val="0"/>
          <w:caps w:val="0"/>
          <w:color w:val="000000"/>
          <w:spacing w:val="0"/>
          <w:sz w:val="32"/>
          <w:szCs w:val="32"/>
          <w:shd w:val="clear" w:fill="FFFFFF"/>
        </w:rPr>
        <w:t>及所属单位部门财政拨款收支预算</w:t>
      </w:r>
      <w:r>
        <w:rPr>
          <w:rFonts w:hint="eastAsia" w:ascii="仿宋_GB2312" w:hAnsi="微软雅黑" w:eastAsia="仿宋_GB2312" w:cs="仿宋_GB2312"/>
          <w:i w:val="0"/>
          <w:iCs w:val="0"/>
          <w:caps w:val="0"/>
          <w:color w:val="000000"/>
          <w:spacing w:val="0"/>
          <w:sz w:val="32"/>
          <w:szCs w:val="32"/>
          <w:shd w:val="clear" w:fill="FFFFFF"/>
          <w:lang w:val="en-US" w:eastAsia="zh-CN"/>
        </w:rPr>
        <w:t>68.35</w:t>
      </w:r>
      <w:r>
        <w:rPr>
          <w:rFonts w:hint="eastAsia" w:ascii="仿宋_GB2312" w:hAnsi="微软雅黑" w:eastAsia="仿宋_GB2312" w:cs="仿宋_GB2312"/>
          <w:i w:val="0"/>
          <w:iCs w:val="0"/>
          <w:caps w:val="0"/>
          <w:color w:val="000000"/>
          <w:spacing w:val="0"/>
          <w:sz w:val="32"/>
          <w:szCs w:val="32"/>
          <w:shd w:val="clear" w:fill="FFFFFF"/>
        </w:rPr>
        <w:t>万元，比上年</w:t>
      </w:r>
      <w:r>
        <w:rPr>
          <w:rFonts w:hint="eastAsia" w:ascii="仿宋_GB2312" w:hAnsi="微软雅黑" w:eastAsia="仿宋_GB2312" w:cs="仿宋_GB2312"/>
          <w:i w:val="0"/>
          <w:iCs w:val="0"/>
          <w:caps w:val="0"/>
          <w:color w:val="000000"/>
          <w:spacing w:val="0"/>
          <w:sz w:val="32"/>
          <w:szCs w:val="32"/>
          <w:shd w:val="clear" w:fill="FFFFFF"/>
          <w:lang w:eastAsia="zh-CN"/>
        </w:rPr>
        <w:t>增加</w:t>
      </w:r>
      <w:r>
        <w:rPr>
          <w:rFonts w:hint="eastAsia" w:ascii="仿宋_GB2312" w:hAnsi="微软雅黑" w:eastAsia="仿宋_GB2312" w:cs="仿宋_GB2312"/>
          <w:i w:val="0"/>
          <w:iCs w:val="0"/>
          <w:caps w:val="0"/>
          <w:color w:val="000000"/>
          <w:spacing w:val="0"/>
          <w:sz w:val="32"/>
          <w:szCs w:val="32"/>
          <w:shd w:val="clear" w:fill="FFFFFF"/>
          <w:lang w:val="en-US" w:eastAsia="zh-CN"/>
        </w:rPr>
        <w:t>2.91</w:t>
      </w:r>
      <w:r>
        <w:rPr>
          <w:rFonts w:hint="eastAsia" w:ascii="仿宋_GB2312" w:hAnsi="微软雅黑" w:eastAsia="仿宋_GB2312" w:cs="仿宋_GB2312"/>
          <w:i w:val="0"/>
          <w:iCs w:val="0"/>
          <w:caps w:val="0"/>
          <w:color w:val="000000"/>
          <w:spacing w:val="0"/>
          <w:sz w:val="32"/>
          <w:szCs w:val="32"/>
          <w:shd w:val="clear" w:fill="FFFFFF"/>
        </w:rPr>
        <w:t>万元，</w:t>
      </w:r>
      <w:r>
        <w:rPr>
          <w:rFonts w:hint="eastAsia" w:ascii="仿宋_GB2312" w:hAnsi="微软雅黑" w:eastAsia="仿宋_GB2312" w:cs="仿宋_GB2312"/>
          <w:i w:val="0"/>
          <w:iCs w:val="0"/>
          <w:caps w:val="0"/>
          <w:color w:val="000000"/>
          <w:spacing w:val="0"/>
          <w:sz w:val="32"/>
          <w:szCs w:val="32"/>
          <w:shd w:val="clear" w:fill="FFFFFF"/>
          <w:lang w:eastAsia="zh-CN"/>
        </w:rPr>
        <w:t>增涨</w:t>
      </w:r>
      <w:r>
        <w:rPr>
          <w:rFonts w:hint="eastAsia" w:ascii="仿宋_GB2312" w:hAnsi="微软雅黑" w:eastAsia="仿宋_GB2312" w:cs="仿宋_GB2312"/>
          <w:i w:val="0"/>
          <w:iCs w:val="0"/>
          <w:caps w:val="0"/>
          <w:color w:val="000000"/>
          <w:spacing w:val="0"/>
          <w:sz w:val="32"/>
          <w:szCs w:val="32"/>
          <w:shd w:val="clear" w:fill="FFFFFF"/>
          <w:lang w:val="en-US" w:eastAsia="zh-CN"/>
        </w:rPr>
        <w:t>4%</w:t>
      </w:r>
      <w:r>
        <w:rPr>
          <w:rFonts w:hint="eastAsia" w:ascii="仿宋_GB2312" w:hAnsi="微软雅黑" w:eastAsia="仿宋_GB2312" w:cs="仿宋_GB2312"/>
          <w:i w:val="0"/>
          <w:iCs w:val="0"/>
          <w:caps w:val="0"/>
          <w:color w:val="000000"/>
          <w:spacing w:val="0"/>
          <w:sz w:val="32"/>
          <w:szCs w:val="32"/>
          <w:shd w:val="clear" w:fill="FFFFFF"/>
        </w:rPr>
        <w:t>，</w:t>
      </w:r>
      <w:r>
        <w:rPr>
          <w:rFonts w:hint="eastAsia" w:ascii="仿宋_GB2312" w:eastAsia="仿宋_GB2312"/>
          <w:sz w:val="32"/>
          <w:szCs w:val="32"/>
          <w:lang w:eastAsia="zh-CN"/>
        </w:rPr>
        <w:t>增加</w:t>
      </w:r>
      <w:r>
        <w:rPr>
          <w:rFonts w:hint="eastAsia" w:ascii="仿宋_GB2312" w:eastAsia="仿宋_GB2312"/>
          <w:sz w:val="32"/>
          <w:szCs w:val="32"/>
        </w:rPr>
        <w:t>的主要</w:t>
      </w:r>
      <w:r>
        <w:rPr>
          <w:rFonts w:hint="eastAsia" w:ascii="仿宋_GB2312" w:eastAsia="仿宋_GB2312"/>
          <w:color w:val="000000"/>
          <w:sz w:val="32"/>
          <w:szCs w:val="32"/>
        </w:rPr>
        <w:t>原因：</w:t>
      </w:r>
      <w:r>
        <w:rPr>
          <w:rFonts w:hint="eastAsia" w:ascii="仿宋_GB2312" w:eastAsia="仿宋_GB2312"/>
          <w:color w:val="000000"/>
          <w:sz w:val="32"/>
          <w:szCs w:val="32"/>
          <w:lang w:eastAsia="zh-CN"/>
        </w:rPr>
        <w:t>妇联人员工资经费</w:t>
      </w:r>
      <w:r>
        <w:rPr>
          <w:rFonts w:hint="eastAsia" w:ascii="仿宋_GB2312" w:hAnsi="微软雅黑" w:eastAsia="仿宋_GB2312" w:cs="仿宋_GB2312"/>
          <w:i w:val="0"/>
          <w:iCs w:val="0"/>
          <w:caps w:val="0"/>
          <w:color w:val="000000"/>
          <w:spacing w:val="0"/>
          <w:sz w:val="32"/>
          <w:szCs w:val="32"/>
          <w:shd w:val="clear" w:fill="FFFFFF"/>
        </w:rPr>
        <w:t>。</w:t>
      </w:r>
    </w:p>
    <w:p w14:paraId="167202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78"/>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sz w:val="32"/>
          <w:szCs w:val="32"/>
          <w:shd w:val="clear" w:fill="FFFFFF"/>
        </w:rPr>
        <w:t>    三、</w:t>
      </w:r>
      <w:r>
        <w:rPr>
          <w:rFonts w:hint="eastAsia" w:ascii="楷体" w:hAnsi="楷体" w:eastAsia="楷体" w:cs="楷体"/>
          <w:b/>
          <w:bCs/>
          <w:i w:val="0"/>
          <w:iCs w:val="0"/>
          <w:caps w:val="0"/>
          <w:color w:val="000000"/>
          <w:spacing w:val="0"/>
          <w:sz w:val="32"/>
          <w:szCs w:val="32"/>
          <w:shd w:val="clear" w:fill="FFFFFF"/>
        </w:rPr>
        <w:t>一般公共预算基本支出情况说明</w:t>
      </w:r>
    </w:p>
    <w:p w14:paraId="54A721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b/>
          <w:bCs/>
          <w:i w:val="0"/>
          <w:iCs w:val="0"/>
          <w:caps w:val="0"/>
          <w:color w:val="000000"/>
          <w:spacing w:val="0"/>
          <w:sz w:val="32"/>
          <w:szCs w:val="32"/>
          <w:shd w:val="clear" w:fill="FFFFFF"/>
        </w:rPr>
        <w:t>    </w:t>
      </w:r>
      <w:r>
        <w:rPr>
          <w:rFonts w:hint="eastAsia" w:ascii="仿宋_GB2312" w:hAnsi="微软雅黑" w:eastAsia="仿宋_GB2312" w:cs="仿宋_GB2312"/>
          <w:b w:val="0"/>
          <w:bCs w:val="0"/>
          <w:i w:val="0"/>
          <w:iCs w:val="0"/>
          <w:caps w:val="0"/>
          <w:color w:val="000000"/>
          <w:spacing w:val="0"/>
          <w:sz w:val="32"/>
          <w:szCs w:val="32"/>
          <w:shd w:val="clear" w:fill="FFFFFF"/>
          <w:lang w:eastAsia="zh-CN"/>
        </w:rPr>
        <w:t>千山区妇联</w:t>
      </w:r>
      <w:r>
        <w:rPr>
          <w:rFonts w:hint="eastAsia" w:ascii="仿宋_GB2312" w:hAnsi="微软雅黑" w:eastAsia="仿宋_GB2312" w:cs="仿宋_GB2312"/>
          <w:i w:val="0"/>
          <w:iCs w:val="0"/>
          <w:caps w:val="0"/>
          <w:color w:val="000000"/>
          <w:spacing w:val="0"/>
          <w:sz w:val="32"/>
          <w:szCs w:val="32"/>
          <w:shd w:val="clear" w:fill="FFFFFF"/>
        </w:rPr>
        <w:t>及所属单位2025年一般公共预算基本支出</w:t>
      </w:r>
      <w:r>
        <w:rPr>
          <w:rFonts w:hint="eastAsia" w:ascii="仿宋_GB2312" w:hAnsi="微软雅黑" w:eastAsia="仿宋_GB2312" w:cs="仿宋_GB2312"/>
          <w:i w:val="0"/>
          <w:iCs w:val="0"/>
          <w:caps w:val="0"/>
          <w:color w:val="000000"/>
          <w:spacing w:val="0"/>
          <w:sz w:val="32"/>
          <w:szCs w:val="32"/>
          <w:shd w:val="clear" w:fill="FFFFFF"/>
          <w:lang w:val="en-US" w:eastAsia="zh-CN"/>
        </w:rPr>
        <w:t>68.35</w:t>
      </w:r>
      <w:r>
        <w:rPr>
          <w:rFonts w:hint="eastAsia" w:ascii="仿宋_GB2312" w:hAnsi="微软雅黑" w:eastAsia="仿宋_GB2312" w:cs="仿宋_GB2312"/>
          <w:i w:val="0"/>
          <w:iCs w:val="0"/>
          <w:caps w:val="0"/>
          <w:color w:val="000000"/>
          <w:spacing w:val="0"/>
          <w:sz w:val="32"/>
          <w:szCs w:val="32"/>
          <w:shd w:val="clear" w:fill="FFFFFF"/>
        </w:rPr>
        <w:t> 万元，工资福利支出</w:t>
      </w:r>
      <w:r>
        <w:rPr>
          <w:rFonts w:hint="eastAsia" w:ascii="仿宋_GB2312" w:hAnsi="微软雅黑" w:eastAsia="仿宋_GB2312" w:cs="仿宋_GB2312"/>
          <w:i w:val="0"/>
          <w:iCs w:val="0"/>
          <w:caps w:val="0"/>
          <w:color w:val="000000"/>
          <w:spacing w:val="0"/>
          <w:sz w:val="32"/>
          <w:szCs w:val="32"/>
          <w:shd w:val="clear" w:fill="FFFFFF"/>
          <w:lang w:val="en-US" w:eastAsia="zh-CN"/>
        </w:rPr>
        <w:t>50.71</w:t>
      </w:r>
      <w:r>
        <w:rPr>
          <w:rFonts w:hint="eastAsia" w:ascii="仿宋_GB2312" w:hAnsi="微软雅黑" w:eastAsia="仿宋_GB2312" w:cs="仿宋_GB2312"/>
          <w:i w:val="0"/>
          <w:iCs w:val="0"/>
          <w:caps w:val="0"/>
          <w:color w:val="000000"/>
          <w:spacing w:val="0"/>
          <w:sz w:val="32"/>
          <w:szCs w:val="32"/>
          <w:shd w:val="clear" w:fill="FFFFFF"/>
        </w:rPr>
        <w:t>万元，商品和服务支出</w:t>
      </w:r>
      <w:r>
        <w:rPr>
          <w:rFonts w:hint="eastAsia" w:ascii="仿宋_GB2312" w:hAnsi="微软雅黑" w:eastAsia="仿宋_GB2312" w:cs="仿宋_GB2312"/>
          <w:i w:val="0"/>
          <w:iCs w:val="0"/>
          <w:caps w:val="0"/>
          <w:color w:val="000000"/>
          <w:spacing w:val="0"/>
          <w:sz w:val="32"/>
          <w:szCs w:val="32"/>
          <w:shd w:val="clear" w:fill="FFFFFF"/>
          <w:lang w:val="en-US" w:eastAsia="zh-CN"/>
        </w:rPr>
        <w:t>4.79</w:t>
      </w:r>
      <w:r>
        <w:rPr>
          <w:rFonts w:hint="eastAsia" w:ascii="仿宋_GB2312" w:hAnsi="微软雅黑" w:eastAsia="仿宋_GB2312" w:cs="仿宋_GB2312"/>
          <w:i w:val="0"/>
          <w:iCs w:val="0"/>
          <w:caps w:val="0"/>
          <w:color w:val="000000"/>
          <w:spacing w:val="0"/>
          <w:sz w:val="32"/>
          <w:szCs w:val="32"/>
          <w:shd w:val="clear" w:fill="FFFFFF"/>
        </w:rPr>
        <w:t>万元，对个人和家庭的补助</w:t>
      </w:r>
      <w:r>
        <w:rPr>
          <w:rFonts w:hint="eastAsia" w:ascii="仿宋_GB2312" w:hAnsi="微软雅黑" w:eastAsia="仿宋_GB2312" w:cs="仿宋_GB2312"/>
          <w:i w:val="0"/>
          <w:iCs w:val="0"/>
          <w:caps w:val="0"/>
          <w:color w:val="000000"/>
          <w:spacing w:val="0"/>
          <w:sz w:val="32"/>
          <w:szCs w:val="32"/>
          <w:shd w:val="clear" w:fill="FFFFFF"/>
          <w:lang w:val="en-US" w:eastAsia="zh-CN"/>
        </w:rPr>
        <w:t>0.35</w:t>
      </w:r>
      <w:r>
        <w:rPr>
          <w:rFonts w:hint="eastAsia" w:ascii="仿宋_GB2312" w:hAnsi="微软雅黑" w:eastAsia="仿宋_GB2312" w:cs="仿宋_GB2312"/>
          <w:i w:val="0"/>
          <w:iCs w:val="0"/>
          <w:caps w:val="0"/>
          <w:color w:val="000000"/>
          <w:spacing w:val="0"/>
          <w:sz w:val="32"/>
          <w:szCs w:val="32"/>
          <w:shd w:val="clear" w:fill="FFFFFF"/>
        </w:rPr>
        <w:t>万元。</w:t>
      </w:r>
    </w:p>
    <w:p w14:paraId="6E2E3F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人员经费（即工资福利支出与对个人和家庭补助支出之和）</w:t>
      </w:r>
      <w:r>
        <w:rPr>
          <w:rFonts w:hint="eastAsia" w:ascii="仿宋_GB2312" w:hAnsi="微软雅黑" w:eastAsia="仿宋_GB2312" w:cs="仿宋_GB2312"/>
          <w:i w:val="0"/>
          <w:iCs w:val="0"/>
          <w:caps w:val="0"/>
          <w:color w:val="000000"/>
          <w:spacing w:val="0"/>
          <w:sz w:val="32"/>
          <w:szCs w:val="32"/>
          <w:shd w:val="clear" w:fill="FFFFFF"/>
          <w:lang w:val="en-US" w:eastAsia="zh-CN"/>
        </w:rPr>
        <w:t>50.71</w:t>
      </w:r>
      <w:r>
        <w:rPr>
          <w:rFonts w:hint="eastAsia" w:ascii="仿宋_GB2312" w:hAnsi="微软雅黑" w:eastAsia="仿宋_GB2312" w:cs="仿宋_GB2312"/>
          <w:i w:val="0"/>
          <w:iCs w:val="0"/>
          <w:caps w:val="0"/>
          <w:color w:val="000000"/>
          <w:spacing w:val="0"/>
          <w:sz w:val="32"/>
          <w:szCs w:val="32"/>
          <w:shd w:val="clear" w:fill="FFFFFF"/>
        </w:rPr>
        <w:t>万元，主要包括：基本工资、津贴补贴（含购房补贴、在职个人取暖费等）、奖金、绩效工资、机关事业单位基本养老保险、职业年金缴费、职工基本医疗保险缴费、住房公积金、其他社会保障缴费、其他工资福利支出、</w:t>
      </w:r>
      <w:r>
        <w:rPr>
          <w:rFonts w:hint="eastAsia" w:ascii="仿宋_GB2312" w:hAnsi="微软雅黑" w:eastAsia="仿宋_GB2312" w:cs="仿宋_GB2312"/>
          <w:i w:val="0"/>
          <w:iCs w:val="0"/>
          <w:caps w:val="0"/>
          <w:color w:val="000000"/>
          <w:spacing w:val="0"/>
          <w:sz w:val="31"/>
          <w:szCs w:val="31"/>
          <w:shd w:val="clear" w:fill="FFFFFF"/>
        </w:rPr>
        <w:t>离休费、退休费、抚恤金、生活补助、医疗费补助、奖励金、其他对个人和家庭的补助支出。</w:t>
      </w:r>
    </w:p>
    <w:p w14:paraId="13959E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公用经费（即商品和服务支出）</w:t>
      </w:r>
      <w:r>
        <w:rPr>
          <w:rFonts w:hint="eastAsia" w:ascii="仿宋_GB2312" w:hAnsi="微软雅黑" w:eastAsia="仿宋_GB2312" w:cs="仿宋_GB2312"/>
          <w:i w:val="0"/>
          <w:iCs w:val="0"/>
          <w:caps w:val="0"/>
          <w:color w:val="000000"/>
          <w:spacing w:val="0"/>
          <w:sz w:val="32"/>
          <w:szCs w:val="32"/>
          <w:shd w:val="clear" w:fill="FFFFFF"/>
          <w:lang w:val="en-US" w:eastAsia="zh-CN"/>
        </w:rPr>
        <w:t>1.85</w:t>
      </w:r>
      <w:r>
        <w:rPr>
          <w:rFonts w:hint="eastAsia" w:ascii="仿宋_GB2312" w:hAnsi="微软雅黑" w:eastAsia="仿宋_GB2312" w:cs="仿宋_GB2312"/>
          <w:i w:val="0"/>
          <w:iCs w:val="0"/>
          <w:caps w:val="0"/>
          <w:color w:val="000000"/>
          <w:spacing w:val="0"/>
          <w:sz w:val="32"/>
          <w:szCs w:val="32"/>
          <w:shd w:val="clear" w:fill="FFFFFF"/>
        </w:rPr>
        <w:t>万元，主要包括：办公费、印刷费、咨询费、手续费、水费、电费、邮电费、办公取暖费、物业管理费、差旅费、因公出国（境）费用、维修（护）费、租赁费、会议费、培训费、公务接待费、专用材料费、被装购置费、专用燃料费、劳务费、委托业务费、工会经费、福利费、公务用车运行维护费、其他交通费用和其他商品服务支出等。</w:t>
      </w:r>
    </w:p>
    <w:p w14:paraId="1FD2E0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四、“三公”经费预算情况说明（请注意增减原因要与数字逻辑关系相符）</w:t>
      </w:r>
      <w:r>
        <w:rPr>
          <w:rFonts w:hint="eastAsia" w:ascii="楷体" w:hAnsi="楷体" w:eastAsia="楷体" w:cs="楷体"/>
          <w:i w:val="0"/>
          <w:iCs w:val="0"/>
          <w:caps w:val="0"/>
          <w:color w:val="000000"/>
          <w:spacing w:val="0"/>
          <w:sz w:val="32"/>
          <w:szCs w:val="32"/>
          <w:shd w:val="clear" w:fill="FFFFFF"/>
        </w:rPr>
        <w:t> </w:t>
      </w:r>
    </w:p>
    <w:p w14:paraId="1833CB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2025年财政拨款预算安排的“三公”经费预算数</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万元，比上年预算数减少</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051057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1.因公出国（境）费</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万元，与上年持平，无增减变化。</w:t>
      </w:r>
    </w:p>
    <w:p w14:paraId="5E2F91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2.公务接待费</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万元，比上年预算数减少</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万元。主要是树立过紧日子思想，严格控制三公经费支出，压减公务接待费。</w:t>
      </w:r>
    </w:p>
    <w:p w14:paraId="4EFD64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3.公务用车购置及运行费</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万元，比上年预算数减少</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61F79C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（1）公务用车购置</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万元，与上年持平，无增减变化。</w:t>
      </w:r>
    </w:p>
    <w:p w14:paraId="4027F3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（2）公务用车运行费</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万元，比上年预算数减少</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万元。主要原因是树立过紧日子思想，按照厉行节约、改进作风等政策要求，严格控制三公经费支出，加强公务用车管理，减少公车运行费支出。</w:t>
      </w:r>
    </w:p>
    <w:p w14:paraId="06F219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五、其他重要事项情况说明</w:t>
      </w:r>
      <w:r>
        <w:rPr>
          <w:rFonts w:hint="eastAsia" w:ascii="楷体" w:hAnsi="楷体" w:eastAsia="楷体" w:cs="楷体"/>
          <w:i w:val="0"/>
          <w:iCs w:val="0"/>
          <w:caps w:val="0"/>
          <w:color w:val="000000"/>
          <w:spacing w:val="0"/>
          <w:sz w:val="32"/>
          <w:szCs w:val="32"/>
          <w:shd w:val="clear" w:fill="FFFFFF"/>
        </w:rPr>
        <w:t> </w:t>
      </w:r>
    </w:p>
    <w:p w14:paraId="281AA5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（一）机关（事业）运行经费安排情况 </w:t>
      </w:r>
    </w:p>
    <w:p w14:paraId="6F56D2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2025年机关（事业）运行经费预算为</w:t>
      </w:r>
      <w:r>
        <w:rPr>
          <w:rFonts w:hint="eastAsia" w:ascii="仿宋_GB2312" w:hAnsi="微软雅黑" w:eastAsia="仿宋_GB2312" w:cs="仿宋_GB2312"/>
          <w:i w:val="0"/>
          <w:iCs w:val="0"/>
          <w:caps w:val="0"/>
          <w:color w:val="000000"/>
          <w:spacing w:val="0"/>
          <w:sz w:val="32"/>
          <w:szCs w:val="32"/>
          <w:shd w:val="clear" w:fill="FFFFFF"/>
          <w:lang w:val="en-US" w:eastAsia="zh-CN"/>
        </w:rPr>
        <w:t>1.1</w:t>
      </w:r>
      <w:r>
        <w:rPr>
          <w:rFonts w:hint="eastAsia" w:ascii="仿宋_GB2312" w:hAnsi="微软雅黑" w:eastAsia="仿宋_GB2312" w:cs="仿宋_GB2312"/>
          <w:i w:val="0"/>
          <w:iCs w:val="0"/>
          <w:caps w:val="0"/>
          <w:color w:val="000000"/>
          <w:spacing w:val="0"/>
          <w:sz w:val="32"/>
          <w:szCs w:val="32"/>
          <w:shd w:val="clear" w:fill="FFFFFF"/>
        </w:rPr>
        <w:t>万元，主要包括本部门的办公及印刷费、邮电费、差旅费、会议费、福利费、日常维修费、专用材料及一般设备购置费、办公用房水电费、办公用房取暖费、办公用房物业管理费、公务用车运行维护费以及其他费用。</w:t>
      </w:r>
    </w:p>
    <w:p w14:paraId="7EC51D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2025年政府采购预算</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万元，其中：货物采购</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万元，工程采购</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万元，服务采购</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3C810C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（三）政府购买服务预算安排情况 </w:t>
      </w:r>
    </w:p>
    <w:p w14:paraId="6900D6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2025年政府购买服务预算</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 。 </w:t>
      </w:r>
    </w:p>
    <w:p w14:paraId="394E26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（四）国有资产占有使用情况 </w:t>
      </w:r>
    </w:p>
    <w:p w14:paraId="20C802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仿宋_GB2312" w:hAnsi="微软雅黑" w:eastAsia="仿宋_GB2312" w:cs="仿宋_GB2312"/>
          <w:i w:val="0"/>
          <w:iCs w:val="0"/>
          <w:caps w:val="0"/>
          <w:color w:val="000000"/>
          <w:spacing w:val="0"/>
          <w:sz w:val="32"/>
          <w:szCs w:val="32"/>
          <w:shd w:val="clear" w:fill="FFFFFF"/>
          <w:lang w:eastAsia="zh-CN"/>
        </w:rPr>
      </w:pPr>
      <w:r>
        <w:rPr>
          <w:rFonts w:hint="eastAsia" w:ascii="仿宋_GB2312" w:hAnsi="微软雅黑" w:eastAsia="仿宋_GB2312" w:cs="仿宋_GB2312"/>
          <w:i w:val="0"/>
          <w:iCs w:val="0"/>
          <w:caps w:val="0"/>
          <w:color w:val="000000"/>
          <w:spacing w:val="0"/>
          <w:sz w:val="32"/>
          <w:szCs w:val="32"/>
          <w:shd w:val="clear" w:fill="FFFFFF"/>
        </w:rPr>
        <w:t> 截至2024年12月，</w:t>
      </w:r>
      <w:r>
        <w:rPr>
          <w:rFonts w:hint="eastAsia" w:ascii="仿宋_GB2312" w:hAnsi="微软雅黑" w:eastAsia="仿宋_GB2312" w:cs="仿宋_GB2312"/>
          <w:i w:val="0"/>
          <w:iCs w:val="0"/>
          <w:caps w:val="0"/>
          <w:color w:val="000000"/>
          <w:spacing w:val="0"/>
          <w:sz w:val="32"/>
          <w:szCs w:val="32"/>
          <w:shd w:val="clear" w:fill="FFFFFF"/>
          <w:lang w:eastAsia="zh-CN"/>
        </w:rPr>
        <w:t>区妇联</w:t>
      </w:r>
      <w:r>
        <w:rPr>
          <w:rFonts w:hint="eastAsia" w:ascii="仿宋_GB2312" w:hAnsi="微软雅黑" w:eastAsia="仿宋_GB2312" w:cs="仿宋_GB2312"/>
          <w:i w:val="0"/>
          <w:iCs w:val="0"/>
          <w:caps w:val="0"/>
          <w:color w:val="000000"/>
          <w:spacing w:val="0"/>
          <w:sz w:val="32"/>
          <w:szCs w:val="32"/>
          <w:shd w:val="clear" w:fill="FFFFFF"/>
        </w:rPr>
        <w:t>及所属单位共有车辆</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辆</w:t>
      </w:r>
      <w:r>
        <w:rPr>
          <w:rFonts w:hint="eastAsia" w:ascii="仿宋_GB2312" w:hAnsi="微软雅黑" w:eastAsia="仿宋_GB2312" w:cs="仿宋_GB2312"/>
          <w:i w:val="0"/>
          <w:iCs w:val="0"/>
          <w:caps w:val="0"/>
          <w:color w:val="000000"/>
          <w:spacing w:val="0"/>
          <w:sz w:val="32"/>
          <w:szCs w:val="32"/>
          <w:shd w:val="clear" w:fill="FFFFFF"/>
          <w:lang w:eastAsia="zh-CN"/>
        </w:rPr>
        <w:t>。</w:t>
      </w:r>
    </w:p>
    <w:p w14:paraId="0C1E48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（五）预算资金绩效目标情况 </w:t>
      </w:r>
    </w:p>
    <w:p w14:paraId="473BA8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根据预算绩效管理要求，</w:t>
      </w: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eastAsia="zh-CN"/>
        </w:rPr>
        <w:t>应编制部门（单位）整体绩效目标共</w:t>
      </w:r>
      <w:r>
        <w:rPr>
          <w:rFonts w:hint="eastAsia" w:ascii="仿宋_GB2312" w:hAnsi="宋体" w:eastAsia="仿宋_GB2312" w:cs="宋体"/>
          <w:kern w:val="0"/>
          <w:sz w:val="32"/>
          <w:szCs w:val="32"/>
          <w:lang w:val="en-US" w:eastAsia="zh-CN"/>
        </w:rPr>
        <w:t>4个，实际</w:t>
      </w:r>
      <w:r>
        <w:rPr>
          <w:rFonts w:hint="eastAsia" w:ascii="仿宋_GB2312" w:hAnsi="宋体" w:eastAsia="仿宋_GB2312" w:cs="宋体"/>
          <w:kern w:val="0"/>
          <w:sz w:val="32"/>
          <w:szCs w:val="32"/>
          <w:lang w:eastAsia="zh-CN"/>
        </w:rPr>
        <w:t>编制部门（单位）整体绩效目标共</w:t>
      </w:r>
      <w:r>
        <w:rPr>
          <w:rFonts w:hint="eastAsia" w:ascii="仿宋_GB2312" w:hAnsi="宋体" w:eastAsia="仿宋_GB2312" w:cs="宋体"/>
          <w:kern w:val="0"/>
          <w:sz w:val="32"/>
          <w:szCs w:val="32"/>
          <w:lang w:val="en-US" w:eastAsia="zh-CN"/>
        </w:rPr>
        <w:t>4 个，编制覆盖率（实际</w:t>
      </w:r>
      <w:r>
        <w:rPr>
          <w:rFonts w:hint="eastAsia" w:ascii="仿宋_GB2312" w:hAnsi="宋体" w:eastAsia="仿宋_GB2312" w:cs="宋体"/>
          <w:kern w:val="0"/>
          <w:sz w:val="32"/>
          <w:szCs w:val="32"/>
          <w:lang w:eastAsia="zh-CN"/>
        </w:rPr>
        <w:t>编制部门（单位）整体绩效目标</w:t>
      </w:r>
      <w:r>
        <w:rPr>
          <w:rFonts w:hint="eastAsia" w:ascii="仿宋_GB2312" w:hAnsi="宋体" w:eastAsia="仿宋_GB2312" w:cs="宋体"/>
          <w:kern w:val="0"/>
          <w:sz w:val="32"/>
          <w:szCs w:val="32"/>
          <w:lang w:val="en-US" w:eastAsia="zh-CN"/>
        </w:rPr>
        <w:t>/应</w:t>
      </w:r>
      <w:r>
        <w:rPr>
          <w:rFonts w:hint="eastAsia" w:ascii="仿宋_GB2312" w:hAnsi="宋体" w:eastAsia="仿宋_GB2312" w:cs="宋体"/>
          <w:kern w:val="0"/>
          <w:sz w:val="32"/>
          <w:szCs w:val="32"/>
          <w:lang w:eastAsia="zh-CN"/>
        </w:rPr>
        <w:t>编制部门（单位）整体绩效目标）为</w:t>
      </w:r>
      <w:r>
        <w:rPr>
          <w:rFonts w:hint="eastAsia" w:ascii="仿宋_GB2312" w:hAnsi="宋体" w:eastAsia="仿宋_GB2312" w:cs="宋体"/>
          <w:kern w:val="0"/>
          <w:sz w:val="32"/>
          <w:szCs w:val="32"/>
          <w:lang w:val="en-US" w:eastAsia="zh-CN"/>
        </w:rPr>
        <w:t>100%。</w:t>
      </w:r>
    </w:p>
    <w:p w14:paraId="115021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shd w:val="clear" w:fill="FFFFFF"/>
        </w:rPr>
        <w:t>2025年应编制项目绩效目标（包括特定目标类和其他运转类）</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1"/>
          <w:szCs w:val="31"/>
          <w:shd w:val="clear" w:fill="FFFFFF"/>
        </w:rPr>
        <w:t>个，实际编制项目绩效目标</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1"/>
          <w:szCs w:val="31"/>
          <w:shd w:val="clear" w:fill="FFFFFF"/>
        </w:rPr>
        <w:t>个，涉及资金</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1"/>
          <w:szCs w:val="31"/>
          <w:shd w:val="clear" w:fill="FFFFFF"/>
        </w:rPr>
        <w:t>万元，编制项目绩效目标的项目覆盖率（实际编制绩效目标的数量/应编制绩效目标的数量）为</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1"/>
          <w:szCs w:val="31"/>
          <w:shd w:val="clear" w:fill="FFFFFF"/>
        </w:rPr>
        <w:t>%。</w:t>
      </w:r>
    </w:p>
    <w:p w14:paraId="49D7BD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（六）预算公开表数据中没有数据的情况说明 </w:t>
      </w:r>
    </w:p>
    <w:p w14:paraId="3172C3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2025年预算中无政府性基金预算拨款支出，项目支出中无特定目标类项目，无债务支出预算，无政府采购预算，无购买服务预算，因此“政府性基金预算支出表”、“部门预算项目（政策）绩效目标表”、“债务支出预算表”、“政府采购支出预算表”、“政府购买服务支出预算表”</w:t>
      </w:r>
      <w:r>
        <w:rPr>
          <w:rFonts w:hint="eastAsia" w:ascii="仿宋_GB2312" w:hAnsi="微软雅黑" w:eastAsia="仿宋_GB2312" w:cs="仿宋_GB2312"/>
          <w:i w:val="0"/>
          <w:iCs w:val="0"/>
          <w:caps w:val="0"/>
          <w:color w:val="000000"/>
          <w:spacing w:val="0"/>
          <w:sz w:val="32"/>
          <w:szCs w:val="32"/>
          <w:shd w:val="clear" w:fill="FFFFFF"/>
          <w:lang w:eastAsia="zh-CN"/>
        </w:rPr>
        <w:t>五</w:t>
      </w:r>
      <w:r>
        <w:rPr>
          <w:rFonts w:hint="eastAsia" w:ascii="仿宋_GB2312" w:hAnsi="微软雅黑" w:eastAsia="仿宋_GB2312" w:cs="仿宋_GB2312"/>
          <w:i w:val="0"/>
          <w:iCs w:val="0"/>
          <w:caps w:val="0"/>
          <w:color w:val="000000"/>
          <w:spacing w:val="0"/>
          <w:sz w:val="32"/>
          <w:szCs w:val="32"/>
          <w:shd w:val="clear" w:fill="FFFFFF"/>
        </w:rPr>
        <w:t>张表中没有数据。</w:t>
      </w:r>
    </w:p>
    <w:p w14:paraId="79DCD9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6DDC11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2E9C9A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36BA3D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59B9B0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第五部分 名词解释</w:t>
      </w:r>
      <w:r>
        <w:rPr>
          <w:rFonts w:hint="eastAsia" w:ascii="楷体" w:hAnsi="楷体" w:eastAsia="楷体" w:cs="楷体"/>
          <w:i w:val="0"/>
          <w:iCs w:val="0"/>
          <w:caps w:val="0"/>
          <w:color w:val="000000"/>
          <w:spacing w:val="0"/>
          <w:sz w:val="32"/>
          <w:szCs w:val="32"/>
          <w:shd w:val="clear" w:fill="FFFFFF"/>
        </w:rPr>
        <w:t> </w:t>
      </w:r>
    </w:p>
    <w:p w14:paraId="5F676C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（以下内容各部门根据使用科目进行说明）</w:t>
      </w:r>
    </w:p>
    <w:p w14:paraId="2102B1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1.一般公共预算拨款收入：指市级财政当年拨付的资金。</w:t>
      </w:r>
    </w:p>
    <w:p w14:paraId="076208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2.政府性基金收入：反映各级政府及其所属部门根据法律、行政法规规定并经国务院或财政部批准，向公民、法人和其他组织征收的政府性基金，以及参照政府性基金管理或纳入基金预算、具有特定用途的财政资金。</w:t>
      </w:r>
    </w:p>
    <w:p w14:paraId="39E889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3.财政专户管理的资金收入：反映缴入财政专户、实行专项管理的教育收费收入。</w:t>
      </w:r>
    </w:p>
    <w:p w14:paraId="37E30D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4.单位资金收入：包括事业收入、上级补助收入、附属单位上缴收入、事业单位经营收入及其他收入。</w:t>
      </w:r>
    </w:p>
    <w:p w14:paraId="5ABA1E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事业收入：是指事业单位开展专业业务活动及其辅助活动取得的收入，不包括教育收费。</w:t>
      </w:r>
    </w:p>
    <w:p w14:paraId="2B5F63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上级补助收入：是指从主管部门或上级单位取得的财政拨款以外的其他补助收入。</w:t>
      </w:r>
    </w:p>
    <w:p w14:paraId="0E7A5A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附属单位上缴收入：是指本单位所属下级单位上缴给本单位的全部收入（包括下级事业单位上缴的事业收入、其他收入和下级企业单位上缴的利润等）。</w:t>
      </w:r>
    </w:p>
    <w:p w14:paraId="5BEE09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事业单位经营收入：是指事业单位在专业业务活动及辅助活动之外开展非独立核算经营活动取得的收入。</w:t>
      </w:r>
    </w:p>
    <w:p w14:paraId="028199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其他收入：债务收入（不含政府债券、政府向外国政府贷款和国际组织贷款）、投资收益等收入。</w:t>
      </w:r>
    </w:p>
    <w:p w14:paraId="7D0476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5.上年结转：反映以前年度安排尚未使用完毕，结转到本年仍按原规定用途继续使用的资金。</w:t>
      </w:r>
    </w:p>
    <w:p w14:paraId="3C70C6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6.基本支出：指保障机构正常运转、完成日常工作任务而发生的人员支出和公用支出。</w:t>
      </w:r>
    </w:p>
    <w:p w14:paraId="13EF63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7.项目支出：指在基本支出之外为完成特定行政任务和事业发展目标所发生的支出。</w:t>
      </w:r>
    </w:p>
    <w:p w14:paraId="292EC9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8.机关运行经费：是指各部门的公用经费，包括办公及印刷费、邮电费、差旅费、会议费、福利费、日常维护费、专用材料及一般设备购置费、办公用房水电费、办公用房取暖费、办公用房物业管理费、办公用车运行维护费以及其他费用。</w:t>
      </w:r>
    </w:p>
    <w:p w14:paraId="2A5336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9.“三公”经费：指用一般预算拨款安排的因公出国（境）费、公务用车购置及运行费和公务接待费。其中，因公出国（境）费反映单位公务出国（境）的国际旅费、国外城市间交通费、</w:t>
      </w:r>
      <w:r>
        <w:rPr>
          <w:rFonts w:hint="eastAsia" w:ascii="仿宋_GB2312" w:hAnsi="微软雅黑" w:eastAsia="仿宋_GB2312" w:cs="仿宋_GB2312"/>
          <w:i w:val="0"/>
          <w:iCs w:val="0"/>
          <w:caps w:val="0"/>
          <w:color w:val="000000"/>
          <w:spacing w:val="0"/>
          <w:sz w:val="31"/>
          <w:szCs w:val="31"/>
          <w:shd w:val="clear" w:fill="FFFFFF"/>
        </w:rPr>
        <w:t>住宿费、伙食费</w:t>
      </w:r>
      <w:r>
        <w:rPr>
          <w:rFonts w:hint="eastAsia" w:ascii="仿宋_GB2312" w:hAnsi="微软雅黑" w:eastAsia="仿宋_GB2312" w:cs="仿宋_GB2312"/>
          <w:i w:val="0"/>
          <w:iCs w:val="0"/>
          <w:caps w:val="0"/>
          <w:color w:val="000000"/>
          <w:spacing w:val="0"/>
          <w:sz w:val="32"/>
          <w:szCs w:val="32"/>
          <w:shd w:val="clear" w:fill="FFFFFF"/>
        </w:rPr>
        <w:t>、培训费、公杂费等支出；公务用车购置及运行费反映单位公务用车车辆购置支出（含车辆购置税）、燃料费、维修费、过路过桥费、保险费、安全奖励费用等支出；公务接待费反映单位为执行公务或开展业务活动需要合理开支的接待费用。 </w:t>
      </w:r>
    </w:p>
    <w:p w14:paraId="599549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10.部门管理专项资金：包括由部门主导分配的市本级项目和市对下转移支付项目。</w:t>
      </w:r>
    </w:p>
    <w:p w14:paraId="148039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11.社会保障和就业（类）行政事业单位养老支出（款）行政单位离退休（项）：反映行政单位（包括实行公务员管理的事业单位）开支的离退休经费。 </w:t>
      </w:r>
    </w:p>
    <w:p w14:paraId="0FBBB4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12.社会保障和就业（类）行政事业单位养老支出（款）事业单位离退休（项）：反映事业单位开支的离退休经费。</w:t>
      </w:r>
    </w:p>
    <w:p w14:paraId="26E01B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13.社会保障和就业（类）行政事业单位养老支出（款）机关事业单位基本养老保险缴费支出（项）：反映机关事业单位实施养老保险制度由单位缴纳的基本养老保险费支出。</w:t>
      </w:r>
    </w:p>
    <w:p w14:paraId="11FD1B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14.社会保障和就业（类）行政事业单位养老支出（款）机关事业单位职业年金缴费支出（项）：反映机关事业单位实施养老保险制度由单位实际缴纳的职业年金支出。</w:t>
      </w:r>
    </w:p>
    <w:p w14:paraId="528EE5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15.卫生健康支出（类）行政事业单位医疗（款）行政单位医疗（项）：反映财政部门安排的行政单位（包括实行公务员管理的事业单位）基本医疗保险缴费经费、未参加医疗保险的行政单位的公费医疗经费、按国家规定享受离休人员、红军老战士待遇人员的医疗经费。</w:t>
      </w:r>
    </w:p>
    <w:p w14:paraId="325D33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16.卫生健康支出（类）行政事业单位医疗（款）事业单位医疗（项）：反映财政部门安排的事业单位基本医疗保险缴费经费、未参加医疗保险的事业单位的公费医疗经费、按国家规定享受离休人员待遇的医疗经费。</w:t>
      </w:r>
    </w:p>
    <w:p w14:paraId="42A183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17.卫生健康支出（类）行政事业单位医疗（款）其他行政事业单位医疗支出（项）：反映其他用于行政事业单位医疗方面的支出。</w:t>
      </w:r>
    </w:p>
    <w:p w14:paraId="0E5C0E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18.住房保障（类）住房改革（款）住房公积金（项）：反映行政事业单位按人力资源和社会保障部、财政部规定的基本工资和津贴补贴以及规定比例为职工缴纳的住房公积金。 </w:t>
      </w:r>
    </w:p>
    <w:p w14:paraId="7C1944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19.住房保障（类）住房改革（款）购房补贴（项）：反映按房改政策规定，行政事业单位向符合条件职工（含离退休人员）、军队（含武警）向转役复员离退休人员发放的用于购买住房的补贴。</w:t>
      </w:r>
    </w:p>
    <w:p w14:paraId="489906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w:t>
      </w:r>
    </w:p>
    <w:p w14:paraId="38B1DF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744EF"/>
    <w:rsid w:val="10964617"/>
    <w:rsid w:val="1487314A"/>
    <w:rsid w:val="187B091F"/>
    <w:rsid w:val="30E948E4"/>
    <w:rsid w:val="4D952D2E"/>
    <w:rsid w:val="500D5A3F"/>
    <w:rsid w:val="51AD0DB6"/>
    <w:rsid w:val="6FBE3549"/>
    <w:rsid w:val="7F1F4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paragraph" w:customStyle="1" w:styleId="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6094</Words>
  <Characters>6306</Characters>
  <Lines>0</Lines>
  <Paragraphs>0</Paragraphs>
  <TotalTime>4</TotalTime>
  <ScaleCrop>false</ScaleCrop>
  <LinksUpToDate>false</LinksUpToDate>
  <CharactersWithSpaces>6547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2025-01-07T06:03:00Z</dcterms:created>
  <dc:creator>86136</dc:creator>
  <cp:lastModifiedBy>超</cp:lastModifiedBy>
  <dcterms:modified xsi:type="dcterms:W3CDTF">2025-01-19T06:35:37Z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eyJoZGlkIjoiODViY2JkMjU3NGYzZTEwMzZmMGFkZWViYmNkYWU3NDIiLCJ1c2VySWQiOiIxMTIyMjc3NjI0In0=</vt:lpwstr>
  </property>
  <property fmtid="{D5CDD505-2E9C-101B-9397-08002B2CF9AE}" pid="4" name="ICV">
    <vt:lpwstr>B8C5117FB8014E44A865199339766739_12</vt:lpwstr>
  </property>
</Properties>
</file>