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618C0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微软雅黑" w:hAnsi="微软雅黑" w:eastAsia="微软雅黑" w:cs="微软雅黑"/>
          <w:i w:val="0"/>
          <w:iCs w:val="0"/>
          <w:caps w:val="0"/>
          <w:color w:val="000000"/>
          <w:spacing w:val="0"/>
          <w:sz w:val="24"/>
          <w:szCs w:val="24"/>
        </w:rPr>
      </w:pPr>
      <w:r>
        <w:rPr>
          <w:rFonts w:hint="eastAsia" w:ascii="宋体" w:hAnsi="宋体" w:eastAsia="宋体" w:cs="宋体"/>
          <w:b/>
          <w:bCs/>
          <w:i w:val="0"/>
          <w:iCs w:val="0"/>
          <w:caps w:val="0"/>
          <w:color w:val="000000"/>
          <w:spacing w:val="0"/>
          <w:sz w:val="32"/>
          <w:szCs w:val="32"/>
          <w:shd w:val="clear" w:fill="FFFFFF"/>
        </w:rPr>
        <w:t>附件2</w:t>
      </w:r>
    </w:p>
    <w:p w14:paraId="3F0E0C2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000000"/>
          <w:spacing w:val="0"/>
          <w:sz w:val="44"/>
          <w:szCs w:val="44"/>
          <w:shd w:val="clear" w:fill="FFFFFF"/>
          <w:lang w:val="en-US" w:eastAsia="zh-CN"/>
        </w:rPr>
      </w:pPr>
    </w:p>
    <w:p w14:paraId="1C2B1D1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000000"/>
          <w:spacing w:val="0"/>
          <w:sz w:val="44"/>
          <w:szCs w:val="44"/>
          <w:shd w:val="clear" w:fill="FFFFFF"/>
          <w:lang w:val="en-US" w:eastAsia="zh-CN"/>
        </w:rPr>
      </w:pPr>
    </w:p>
    <w:p w14:paraId="5351E5E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000000"/>
          <w:spacing w:val="0"/>
          <w:sz w:val="44"/>
          <w:szCs w:val="44"/>
          <w:shd w:val="clear" w:fill="FFFFFF"/>
          <w:lang w:val="en-US" w:eastAsia="zh-CN"/>
        </w:rPr>
      </w:pPr>
    </w:p>
    <w:p w14:paraId="3A0D986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000000"/>
          <w:spacing w:val="0"/>
          <w:sz w:val="44"/>
          <w:szCs w:val="44"/>
          <w:shd w:val="clear" w:fill="FFFFFF"/>
          <w:lang w:val="en-US" w:eastAsia="zh-CN"/>
        </w:rPr>
      </w:pPr>
    </w:p>
    <w:p w14:paraId="39041B9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000000"/>
          <w:spacing w:val="0"/>
          <w:sz w:val="44"/>
          <w:szCs w:val="44"/>
          <w:shd w:val="clear" w:fill="FFFFFF"/>
          <w:lang w:val="en-US" w:eastAsia="zh-CN"/>
        </w:rPr>
      </w:pPr>
    </w:p>
    <w:p w14:paraId="40262D8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000000"/>
          <w:spacing w:val="0"/>
          <w:sz w:val="44"/>
          <w:szCs w:val="44"/>
          <w:shd w:val="clear" w:fill="FFFFFF"/>
          <w:lang w:val="en-US" w:eastAsia="zh-CN"/>
        </w:rPr>
      </w:pPr>
    </w:p>
    <w:p w14:paraId="11CD592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000000"/>
          <w:spacing w:val="0"/>
          <w:sz w:val="44"/>
          <w:szCs w:val="44"/>
          <w:shd w:val="clear" w:fill="FFFFFF"/>
          <w:lang w:val="en-US" w:eastAsia="zh-CN"/>
        </w:rPr>
      </w:pPr>
    </w:p>
    <w:p w14:paraId="53D0F4F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000000"/>
          <w:spacing w:val="0"/>
          <w:sz w:val="44"/>
          <w:szCs w:val="44"/>
          <w:shd w:val="clear" w:fill="FFFFFF"/>
          <w:lang w:val="en-US" w:eastAsia="zh-CN"/>
        </w:rPr>
      </w:pPr>
      <w:r>
        <w:rPr>
          <w:rFonts w:hint="eastAsia" w:ascii="宋体" w:hAnsi="宋体" w:eastAsia="宋体" w:cs="宋体"/>
          <w:b/>
          <w:bCs/>
          <w:i w:val="0"/>
          <w:iCs w:val="0"/>
          <w:caps w:val="0"/>
          <w:color w:val="000000"/>
          <w:spacing w:val="0"/>
          <w:sz w:val="44"/>
          <w:szCs w:val="44"/>
          <w:shd w:val="clear" w:fill="FFFFFF"/>
          <w:lang w:val="en-US" w:eastAsia="zh-CN"/>
        </w:rPr>
        <w:t>鞍山市千山区残疾人联合会</w:t>
      </w:r>
    </w:p>
    <w:p w14:paraId="7322484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000000"/>
          <w:spacing w:val="0"/>
          <w:sz w:val="44"/>
          <w:szCs w:val="44"/>
          <w:shd w:val="clear" w:fill="FFFFFF"/>
        </w:rPr>
      </w:pPr>
      <w:r>
        <w:rPr>
          <w:rFonts w:hint="eastAsia" w:ascii="宋体" w:hAnsi="宋体" w:eastAsia="宋体" w:cs="宋体"/>
          <w:b/>
          <w:bCs/>
          <w:i w:val="0"/>
          <w:iCs w:val="0"/>
          <w:caps w:val="0"/>
          <w:color w:val="000000"/>
          <w:spacing w:val="0"/>
          <w:sz w:val="44"/>
          <w:szCs w:val="44"/>
          <w:shd w:val="clear" w:fill="FFFFFF"/>
        </w:rPr>
        <w:t>2025年度部门预算</w:t>
      </w:r>
    </w:p>
    <w:p w14:paraId="1F53E53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000000"/>
          <w:spacing w:val="0"/>
          <w:sz w:val="44"/>
          <w:szCs w:val="44"/>
          <w:shd w:val="clear" w:fill="FFFFFF"/>
        </w:rPr>
      </w:pPr>
    </w:p>
    <w:p w14:paraId="480D354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3F342DC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4C89DFE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3D84348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23F252F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2628EF0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69CCB23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733AA56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5DC39BE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37C2877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5EF41C3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4F64688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4"/>
          <w:szCs w:val="24"/>
        </w:rPr>
      </w:pPr>
      <w:r>
        <w:rPr>
          <w:rFonts w:ascii="黑体" w:hAnsi="宋体" w:eastAsia="黑体" w:cs="黑体"/>
          <w:b/>
          <w:bCs/>
          <w:i w:val="0"/>
          <w:iCs w:val="0"/>
          <w:caps w:val="0"/>
          <w:color w:val="000000"/>
          <w:spacing w:val="0"/>
          <w:sz w:val="32"/>
          <w:szCs w:val="32"/>
          <w:shd w:val="clear" w:fill="FFFFFF"/>
        </w:rPr>
        <w:t>目</w:t>
      </w:r>
      <w:r>
        <w:rPr>
          <w:rFonts w:hint="eastAsia" w:ascii="黑体" w:hAnsi="宋体" w:eastAsia="黑体" w:cs="黑体"/>
          <w:b/>
          <w:bCs/>
          <w:i w:val="0"/>
          <w:iCs w:val="0"/>
          <w:caps w:val="0"/>
          <w:color w:val="000000"/>
          <w:spacing w:val="0"/>
          <w:sz w:val="32"/>
          <w:szCs w:val="32"/>
          <w:shd w:val="clear" w:fill="FFFFFF"/>
        </w:rPr>
        <w:t>  录</w:t>
      </w:r>
    </w:p>
    <w:p w14:paraId="33A67CE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2"/>
        <w:jc w:val="left"/>
        <w:rPr>
          <w:rFonts w:hint="eastAsia" w:ascii="微软雅黑" w:hAnsi="微软雅黑" w:eastAsia="微软雅黑" w:cs="微软雅黑"/>
          <w:i w:val="0"/>
          <w:iCs w:val="0"/>
          <w:caps w:val="0"/>
          <w:color w:val="000000"/>
          <w:spacing w:val="0"/>
          <w:sz w:val="24"/>
          <w:szCs w:val="24"/>
        </w:rPr>
      </w:pPr>
      <w:r>
        <w:rPr>
          <w:rFonts w:ascii="楷体" w:hAnsi="楷体" w:eastAsia="楷体" w:cs="楷体"/>
          <w:b/>
          <w:bCs/>
          <w:i w:val="0"/>
          <w:iCs w:val="0"/>
          <w:caps w:val="0"/>
          <w:color w:val="000000"/>
          <w:spacing w:val="0"/>
          <w:sz w:val="32"/>
          <w:szCs w:val="32"/>
          <w:shd w:val="clear" w:fill="FFFFFF"/>
        </w:rPr>
        <w:t>第一部</w:t>
      </w:r>
      <w:r>
        <w:rPr>
          <w:rFonts w:hint="eastAsia" w:ascii="楷体" w:hAnsi="楷体" w:eastAsia="楷体" w:cs="楷体"/>
          <w:b/>
          <w:bCs/>
          <w:i w:val="0"/>
          <w:iCs w:val="0"/>
          <w:caps w:val="0"/>
          <w:color w:val="000000"/>
          <w:spacing w:val="0"/>
          <w:sz w:val="32"/>
          <w:szCs w:val="32"/>
          <w:shd w:val="clear" w:fill="FFFFFF"/>
        </w:rPr>
        <w:t>分 部门预算公开管理文件</w:t>
      </w:r>
      <w:r>
        <w:rPr>
          <w:rFonts w:hint="eastAsia" w:ascii="楷体" w:hAnsi="楷体" w:eastAsia="楷体" w:cs="楷体"/>
          <w:i w:val="0"/>
          <w:iCs w:val="0"/>
          <w:caps w:val="0"/>
          <w:color w:val="000000"/>
          <w:spacing w:val="0"/>
          <w:sz w:val="32"/>
          <w:szCs w:val="32"/>
          <w:shd w:val="clear" w:fill="FFFFFF"/>
        </w:rPr>
        <w:t> </w:t>
      </w:r>
    </w:p>
    <w:p w14:paraId="6F8EB4E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2"/>
        <w:jc w:val="left"/>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第二部分 部门（单位）概况</w:t>
      </w:r>
    </w:p>
    <w:p w14:paraId="5FD064A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ascii="仿宋_GB2312" w:hAnsi="微软雅黑" w:eastAsia="仿宋_GB2312" w:cs="仿宋_GB2312"/>
          <w:i w:val="0"/>
          <w:iCs w:val="0"/>
          <w:caps w:val="0"/>
          <w:color w:val="000000"/>
          <w:spacing w:val="0"/>
          <w:sz w:val="32"/>
          <w:szCs w:val="32"/>
          <w:shd w:val="clear" w:fill="FFFFFF"/>
        </w:rPr>
        <w:t>一、部门</w:t>
      </w:r>
      <w:r>
        <w:rPr>
          <w:rFonts w:hint="eastAsia" w:ascii="仿宋_GB2312" w:hAnsi="微软雅黑" w:eastAsia="仿宋_GB2312" w:cs="仿宋_GB2312"/>
          <w:i w:val="0"/>
          <w:iCs w:val="0"/>
          <w:caps w:val="0"/>
          <w:color w:val="000000"/>
          <w:spacing w:val="0"/>
          <w:sz w:val="32"/>
          <w:szCs w:val="32"/>
          <w:shd w:val="clear" w:fill="FFFFFF"/>
        </w:rPr>
        <w:t>（单位）职责 </w:t>
      </w:r>
    </w:p>
    <w:p w14:paraId="2601537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二、机构设置 </w:t>
      </w:r>
    </w:p>
    <w:p w14:paraId="4CA207D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2"/>
        <w:jc w:val="left"/>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第三部分 2025年部门（单位）预算表</w:t>
      </w:r>
      <w:r>
        <w:rPr>
          <w:rFonts w:hint="eastAsia" w:ascii="楷体" w:hAnsi="楷体" w:eastAsia="楷体" w:cs="楷体"/>
          <w:i w:val="0"/>
          <w:iCs w:val="0"/>
          <w:caps w:val="0"/>
          <w:color w:val="000000"/>
          <w:spacing w:val="0"/>
          <w:sz w:val="32"/>
          <w:szCs w:val="32"/>
          <w:shd w:val="clear" w:fill="FFFFFF"/>
        </w:rPr>
        <w:t> </w:t>
      </w:r>
    </w:p>
    <w:p w14:paraId="680D9AE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一、收支预算总表</w:t>
      </w:r>
    </w:p>
    <w:p w14:paraId="1746A48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二、收入预算总表</w:t>
      </w:r>
    </w:p>
    <w:p w14:paraId="5A10126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三、支出预算总表</w:t>
      </w:r>
    </w:p>
    <w:p w14:paraId="40C5EC5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四、财政拨款收支预算总表</w:t>
      </w:r>
    </w:p>
    <w:p w14:paraId="449DFD6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五、一般公共预算支出表</w:t>
      </w:r>
    </w:p>
    <w:p w14:paraId="54D2731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六、一般公共预算基本支出表</w:t>
      </w:r>
    </w:p>
    <w:p w14:paraId="49A0B5D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七、财政拨款预算“三公”经费支出表</w:t>
      </w:r>
    </w:p>
    <w:p w14:paraId="40D5F45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八、政府性基金预算支出表</w:t>
      </w:r>
    </w:p>
    <w:p w14:paraId="02E91F5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九、国有资本经营预算支出表</w:t>
      </w:r>
    </w:p>
    <w:p w14:paraId="70BDB9B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十、项目支出预算表</w:t>
      </w:r>
    </w:p>
    <w:p w14:paraId="683149B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十一、支出功能分类预算表</w:t>
      </w:r>
    </w:p>
    <w:p w14:paraId="4E4DE0B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十二、支出经济分类预算表（政府预算）</w:t>
      </w:r>
    </w:p>
    <w:p w14:paraId="1236325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十三、支出经济分类预算表（部门预算）</w:t>
      </w:r>
    </w:p>
    <w:p w14:paraId="6605793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十四、债务支出预算表</w:t>
      </w:r>
    </w:p>
    <w:p w14:paraId="27329AF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十五、政府采购支出预算表</w:t>
      </w:r>
    </w:p>
    <w:p w14:paraId="2690C93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十六、政府购买服务支出预算表</w:t>
      </w:r>
    </w:p>
    <w:p w14:paraId="5C90126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十七、部门（单位）整体绩效目标表</w:t>
      </w:r>
    </w:p>
    <w:p w14:paraId="33E7012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十八、部门预算项目（政策）绩效目标表</w:t>
      </w:r>
    </w:p>
    <w:p w14:paraId="566574F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十九、部门管理专项资金预算表</w:t>
      </w:r>
    </w:p>
    <w:p w14:paraId="14820AF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2"/>
        <w:jc w:val="left"/>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第四部分 2025年部门（单位）预算情况说明</w:t>
      </w:r>
      <w:r>
        <w:rPr>
          <w:rFonts w:hint="eastAsia" w:ascii="楷体" w:hAnsi="楷体" w:eastAsia="楷体" w:cs="楷体"/>
          <w:i w:val="0"/>
          <w:iCs w:val="0"/>
          <w:caps w:val="0"/>
          <w:color w:val="000000"/>
          <w:spacing w:val="0"/>
          <w:sz w:val="32"/>
          <w:szCs w:val="32"/>
          <w:shd w:val="clear" w:fill="FFFFFF"/>
        </w:rPr>
        <w:t> </w:t>
      </w:r>
    </w:p>
    <w:p w14:paraId="45FC199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2"/>
        <w:jc w:val="left"/>
        <w:rPr>
          <w:rFonts w:hint="eastAsia" w:ascii="楷体" w:hAnsi="楷体" w:eastAsia="楷体" w:cs="楷体"/>
          <w:i w:val="0"/>
          <w:iCs w:val="0"/>
          <w:caps w:val="0"/>
          <w:color w:val="000000"/>
          <w:spacing w:val="0"/>
          <w:sz w:val="32"/>
          <w:szCs w:val="32"/>
          <w:shd w:val="clear" w:fill="FFFFFF"/>
        </w:rPr>
      </w:pPr>
      <w:r>
        <w:rPr>
          <w:rFonts w:hint="eastAsia" w:ascii="楷体" w:hAnsi="楷体" w:eastAsia="楷体" w:cs="楷体"/>
          <w:b/>
          <w:bCs/>
          <w:i w:val="0"/>
          <w:iCs w:val="0"/>
          <w:caps w:val="0"/>
          <w:color w:val="000000"/>
          <w:spacing w:val="0"/>
          <w:sz w:val="32"/>
          <w:szCs w:val="32"/>
          <w:shd w:val="clear" w:fill="FFFFFF"/>
        </w:rPr>
        <w:t>第五部分 名词解释</w:t>
      </w:r>
      <w:r>
        <w:rPr>
          <w:rFonts w:hint="eastAsia" w:ascii="楷体" w:hAnsi="楷体" w:eastAsia="楷体" w:cs="楷体"/>
          <w:i w:val="0"/>
          <w:iCs w:val="0"/>
          <w:caps w:val="0"/>
          <w:color w:val="000000"/>
          <w:spacing w:val="0"/>
          <w:sz w:val="32"/>
          <w:szCs w:val="32"/>
          <w:shd w:val="clear" w:fill="FFFFFF"/>
        </w:rPr>
        <w:t> </w:t>
      </w:r>
    </w:p>
    <w:p w14:paraId="18694F5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2"/>
        <w:jc w:val="left"/>
        <w:rPr>
          <w:rFonts w:hint="eastAsia" w:ascii="楷体" w:hAnsi="楷体" w:eastAsia="楷体" w:cs="楷体"/>
          <w:i w:val="0"/>
          <w:iCs w:val="0"/>
          <w:caps w:val="0"/>
          <w:color w:val="000000"/>
          <w:spacing w:val="0"/>
          <w:sz w:val="32"/>
          <w:szCs w:val="32"/>
          <w:shd w:val="clear" w:fill="FFFFFF"/>
        </w:rPr>
      </w:pPr>
    </w:p>
    <w:p w14:paraId="17E9960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2"/>
        <w:jc w:val="left"/>
        <w:rPr>
          <w:rFonts w:hint="eastAsia" w:ascii="楷体" w:hAnsi="楷体" w:eastAsia="楷体" w:cs="楷体"/>
          <w:i w:val="0"/>
          <w:iCs w:val="0"/>
          <w:caps w:val="0"/>
          <w:color w:val="000000"/>
          <w:spacing w:val="0"/>
          <w:sz w:val="32"/>
          <w:szCs w:val="32"/>
          <w:shd w:val="clear" w:fill="FFFFFF"/>
        </w:rPr>
      </w:pPr>
    </w:p>
    <w:p w14:paraId="49B88BA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2"/>
        <w:jc w:val="left"/>
        <w:rPr>
          <w:rFonts w:hint="eastAsia" w:ascii="楷体" w:hAnsi="楷体" w:eastAsia="楷体" w:cs="楷体"/>
          <w:i w:val="0"/>
          <w:iCs w:val="0"/>
          <w:caps w:val="0"/>
          <w:color w:val="000000"/>
          <w:spacing w:val="0"/>
          <w:sz w:val="32"/>
          <w:szCs w:val="32"/>
          <w:shd w:val="clear" w:fill="FFFFFF"/>
        </w:rPr>
      </w:pPr>
    </w:p>
    <w:p w14:paraId="7DA0063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2"/>
        <w:jc w:val="left"/>
        <w:rPr>
          <w:rFonts w:hint="eastAsia" w:ascii="楷体" w:hAnsi="楷体" w:eastAsia="楷体" w:cs="楷体"/>
          <w:i w:val="0"/>
          <w:iCs w:val="0"/>
          <w:caps w:val="0"/>
          <w:color w:val="000000"/>
          <w:spacing w:val="0"/>
          <w:sz w:val="32"/>
          <w:szCs w:val="32"/>
          <w:shd w:val="clear" w:fill="FFFFFF"/>
        </w:rPr>
      </w:pPr>
    </w:p>
    <w:p w14:paraId="311C83A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2"/>
        <w:jc w:val="left"/>
        <w:rPr>
          <w:rFonts w:hint="eastAsia" w:ascii="楷体" w:hAnsi="楷体" w:eastAsia="楷体" w:cs="楷体"/>
          <w:i w:val="0"/>
          <w:iCs w:val="0"/>
          <w:caps w:val="0"/>
          <w:color w:val="000000"/>
          <w:spacing w:val="0"/>
          <w:sz w:val="32"/>
          <w:szCs w:val="32"/>
          <w:shd w:val="clear" w:fill="FFFFFF"/>
        </w:rPr>
      </w:pPr>
    </w:p>
    <w:p w14:paraId="6BFFD42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2"/>
        <w:jc w:val="left"/>
        <w:rPr>
          <w:rFonts w:hint="eastAsia" w:ascii="楷体" w:hAnsi="楷体" w:eastAsia="楷体" w:cs="楷体"/>
          <w:i w:val="0"/>
          <w:iCs w:val="0"/>
          <w:caps w:val="0"/>
          <w:color w:val="000000"/>
          <w:spacing w:val="0"/>
          <w:sz w:val="32"/>
          <w:szCs w:val="32"/>
          <w:shd w:val="clear" w:fill="FFFFFF"/>
        </w:rPr>
      </w:pPr>
    </w:p>
    <w:p w14:paraId="61C4EE7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2"/>
        <w:jc w:val="left"/>
        <w:rPr>
          <w:rFonts w:hint="eastAsia" w:ascii="楷体" w:hAnsi="楷体" w:eastAsia="楷体" w:cs="楷体"/>
          <w:i w:val="0"/>
          <w:iCs w:val="0"/>
          <w:caps w:val="0"/>
          <w:color w:val="000000"/>
          <w:spacing w:val="0"/>
          <w:sz w:val="32"/>
          <w:szCs w:val="32"/>
          <w:shd w:val="clear" w:fill="FFFFFF"/>
        </w:rPr>
      </w:pPr>
    </w:p>
    <w:p w14:paraId="5B088BE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2"/>
        <w:jc w:val="left"/>
        <w:rPr>
          <w:rFonts w:hint="eastAsia" w:ascii="楷体" w:hAnsi="楷体" w:eastAsia="楷体" w:cs="楷体"/>
          <w:i w:val="0"/>
          <w:iCs w:val="0"/>
          <w:caps w:val="0"/>
          <w:color w:val="000000"/>
          <w:spacing w:val="0"/>
          <w:sz w:val="32"/>
          <w:szCs w:val="32"/>
          <w:shd w:val="clear" w:fill="FFFFFF"/>
        </w:rPr>
      </w:pPr>
    </w:p>
    <w:p w14:paraId="5DD6095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2"/>
        <w:jc w:val="left"/>
        <w:rPr>
          <w:rFonts w:hint="eastAsia" w:ascii="楷体" w:hAnsi="楷体" w:eastAsia="楷体" w:cs="楷体"/>
          <w:i w:val="0"/>
          <w:iCs w:val="0"/>
          <w:caps w:val="0"/>
          <w:color w:val="000000"/>
          <w:spacing w:val="0"/>
          <w:sz w:val="32"/>
          <w:szCs w:val="32"/>
          <w:shd w:val="clear" w:fill="FFFFFF"/>
        </w:rPr>
      </w:pPr>
    </w:p>
    <w:p w14:paraId="4FE3C04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2"/>
        <w:jc w:val="left"/>
        <w:rPr>
          <w:rFonts w:hint="eastAsia" w:ascii="楷体" w:hAnsi="楷体" w:eastAsia="楷体" w:cs="楷体"/>
          <w:i w:val="0"/>
          <w:iCs w:val="0"/>
          <w:caps w:val="0"/>
          <w:color w:val="000000"/>
          <w:spacing w:val="0"/>
          <w:sz w:val="32"/>
          <w:szCs w:val="32"/>
          <w:shd w:val="clear" w:fill="FFFFFF"/>
        </w:rPr>
      </w:pPr>
    </w:p>
    <w:p w14:paraId="7D040C5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2"/>
        <w:jc w:val="left"/>
        <w:rPr>
          <w:rFonts w:hint="eastAsia" w:ascii="楷体" w:hAnsi="楷体" w:eastAsia="楷体" w:cs="楷体"/>
          <w:i w:val="0"/>
          <w:iCs w:val="0"/>
          <w:caps w:val="0"/>
          <w:color w:val="000000"/>
          <w:spacing w:val="0"/>
          <w:sz w:val="32"/>
          <w:szCs w:val="32"/>
          <w:shd w:val="clear" w:fill="FFFFFF"/>
        </w:rPr>
      </w:pPr>
    </w:p>
    <w:p w14:paraId="0742940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2"/>
        <w:jc w:val="left"/>
        <w:rPr>
          <w:rFonts w:hint="eastAsia" w:ascii="楷体" w:hAnsi="楷体" w:eastAsia="楷体" w:cs="楷体"/>
          <w:i w:val="0"/>
          <w:iCs w:val="0"/>
          <w:caps w:val="0"/>
          <w:color w:val="000000"/>
          <w:spacing w:val="0"/>
          <w:sz w:val="32"/>
          <w:szCs w:val="32"/>
          <w:shd w:val="clear" w:fill="FFFFFF"/>
        </w:rPr>
      </w:pPr>
    </w:p>
    <w:p w14:paraId="047E212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2"/>
        <w:jc w:val="left"/>
        <w:rPr>
          <w:rFonts w:hint="eastAsia" w:ascii="楷体" w:hAnsi="楷体" w:eastAsia="楷体" w:cs="楷体"/>
          <w:i w:val="0"/>
          <w:iCs w:val="0"/>
          <w:caps w:val="0"/>
          <w:color w:val="000000"/>
          <w:spacing w:val="0"/>
          <w:sz w:val="32"/>
          <w:szCs w:val="32"/>
          <w:shd w:val="clear" w:fill="FFFFFF"/>
        </w:rPr>
      </w:pPr>
    </w:p>
    <w:p w14:paraId="38637DF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第一部分  部门预算公开管理文件</w:t>
      </w:r>
    </w:p>
    <w:p w14:paraId="64509CF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ascii="仿宋" w:hAnsi="仿宋" w:eastAsia="仿宋" w:cs="仿宋"/>
          <w:i w:val="0"/>
          <w:iCs w:val="0"/>
          <w:caps w:val="0"/>
          <w:color w:val="333333"/>
          <w:spacing w:val="0"/>
          <w:sz w:val="32"/>
          <w:szCs w:val="32"/>
          <w:shd w:val="clear" w:fill="FFFFFF"/>
        </w:rPr>
        <w:t>鞍山市</w:t>
      </w:r>
      <w:r>
        <w:rPr>
          <w:rFonts w:hint="eastAsia" w:ascii="仿宋" w:hAnsi="仿宋" w:eastAsia="仿宋" w:cs="仿宋"/>
          <w:i w:val="0"/>
          <w:iCs w:val="0"/>
          <w:caps w:val="0"/>
          <w:color w:val="333333"/>
          <w:spacing w:val="0"/>
          <w:sz w:val="32"/>
          <w:szCs w:val="32"/>
          <w:shd w:val="clear" w:fill="FFFFFF"/>
        </w:rPr>
        <w:t>预决算信息公开管理办法</w:t>
      </w:r>
    </w:p>
    <w:p w14:paraId="5EB66DA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（鞍</w:t>
      </w:r>
      <w:r>
        <w:rPr>
          <w:rFonts w:hint="eastAsia" w:ascii="仿宋" w:hAnsi="仿宋" w:eastAsia="仿宋" w:cs="仿宋"/>
          <w:i w:val="0"/>
          <w:iCs w:val="0"/>
          <w:caps w:val="0"/>
          <w:color w:val="333333"/>
          <w:spacing w:val="0"/>
          <w:sz w:val="32"/>
          <w:szCs w:val="32"/>
          <w:shd w:val="clear" w:fill="FFFFFF"/>
          <w:lang w:val="en-US" w:eastAsia="zh-CN"/>
        </w:rPr>
        <w:t>财预</w:t>
      </w:r>
      <w:r>
        <w:rPr>
          <w:rFonts w:hint="eastAsia" w:ascii="仿宋" w:hAnsi="仿宋" w:eastAsia="仿宋" w:cs="仿宋"/>
          <w:i w:val="0"/>
          <w:iCs w:val="0"/>
          <w:caps w:val="0"/>
          <w:color w:val="333333"/>
          <w:spacing w:val="0"/>
          <w:sz w:val="32"/>
          <w:szCs w:val="32"/>
          <w:shd w:val="clear" w:fill="FFFFFF"/>
        </w:rPr>
        <w:t>〔</w:t>
      </w:r>
      <w:r>
        <w:rPr>
          <w:rFonts w:hint="eastAsia" w:ascii="仿宋" w:hAnsi="仿宋" w:eastAsia="仿宋" w:cs="仿宋"/>
          <w:i w:val="0"/>
          <w:iCs w:val="0"/>
          <w:caps w:val="0"/>
          <w:color w:val="333333"/>
          <w:spacing w:val="0"/>
          <w:sz w:val="32"/>
          <w:szCs w:val="32"/>
          <w:shd w:val="clear" w:fill="FFFFFF"/>
          <w:lang w:val="en-US" w:eastAsia="zh-CN"/>
        </w:rPr>
        <w:t>2019</w:t>
      </w:r>
      <w:r>
        <w:rPr>
          <w:rFonts w:hint="eastAsia" w:ascii="仿宋" w:hAnsi="仿宋" w:eastAsia="仿宋" w:cs="仿宋"/>
          <w:i w:val="0"/>
          <w:iCs w:val="0"/>
          <w:caps w:val="0"/>
          <w:color w:val="333333"/>
          <w:spacing w:val="0"/>
          <w:sz w:val="32"/>
          <w:szCs w:val="32"/>
          <w:shd w:val="clear" w:fill="FFFFFF"/>
        </w:rPr>
        <w:t>〕</w:t>
      </w:r>
      <w:r>
        <w:rPr>
          <w:rFonts w:hint="eastAsia" w:ascii="仿宋" w:hAnsi="仿宋" w:eastAsia="仿宋" w:cs="仿宋"/>
          <w:i w:val="0"/>
          <w:iCs w:val="0"/>
          <w:caps w:val="0"/>
          <w:color w:val="333333"/>
          <w:spacing w:val="0"/>
          <w:sz w:val="32"/>
          <w:szCs w:val="32"/>
          <w:shd w:val="clear" w:fill="FFFFFF"/>
          <w:lang w:val="en-US" w:eastAsia="zh-CN"/>
        </w:rPr>
        <w:t>313</w:t>
      </w:r>
      <w:r>
        <w:rPr>
          <w:rFonts w:hint="eastAsia" w:ascii="仿宋" w:hAnsi="仿宋" w:eastAsia="仿宋" w:cs="仿宋"/>
          <w:i w:val="0"/>
          <w:iCs w:val="0"/>
          <w:caps w:val="0"/>
          <w:color w:val="333333"/>
          <w:spacing w:val="0"/>
          <w:sz w:val="32"/>
          <w:szCs w:val="32"/>
          <w:shd w:val="clear" w:fill="FFFFFF"/>
        </w:rPr>
        <w:t>号）</w:t>
      </w:r>
    </w:p>
    <w:p w14:paraId="68C6D59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6"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333333"/>
          <w:spacing w:val="0"/>
          <w:sz w:val="32"/>
          <w:szCs w:val="32"/>
          <w:shd w:val="clear" w:fill="FFFFFF"/>
        </w:rPr>
        <w:t>第一章  公开原则</w:t>
      </w:r>
    </w:p>
    <w:p w14:paraId="40925A6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2"/>
          <w:szCs w:val="32"/>
          <w:shd w:val="clear" w:fill="FFFFFF"/>
        </w:rPr>
        <w:t>   </w:t>
      </w:r>
      <w:r>
        <w:rPr>
          <w:rFonts w:hint="eastAsia" w:ascii="仿宋" w:hAnsi="仿宋" w:eastAsia="仿宋" w:cs="仿宋"/>
          <w:i w:val="0"/>
          <w:iCs w:val="0"/>
          <w:caps w:val="0"/>
          <w:color w:val="333333"/>
          <w:spacing w:val="0"/>
          <w:sz w:val="32"/>
          <w:szCs w:val="32"/>
          <w:shd w:val="clear" w:fill="FFFFFF"/>
        </w:rPr>
        <w:t> 第一条  为推进和规范预决算信息公开工作，强化社会监督，转变政府职能，建立透明预决算制度，根据《中华人民共和国预算法》、《中华人民共和国政府信息公开条例》及《地方预决算公开操作规程》等有关规定和要求，结合本部门实际，制定本办法。</w:t>
      </w:r>
    </w:p>
    <w:p w14:paraId="5762B0C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    第二条  预决算信息以公开为常态，不公开为例外，依法依规公开预决算信息。除涉及国家秘密外，不得少公开、不公开应当公开的事项，保证公开内容全面、真实、完整。</w:t>
      </w:r>
    </w:p>
    <w:p w14:paraId="5CA3709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    第三条  公开及时，内容准确，形式规范。方便社会监督，公开内容让公众找得着、看得懂、能监督。</w:t>
      </w:r>
    </w:p>
    <w:p w14:paraId="4368B8C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6"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ascii="Tahoma" w:hAnsi="Tahoma" w:eastAsia="Tahoma" w:cs="Tahoma"/>
          <w:i w:val="0"/>
          <w:iCs w:val="0"/>
          <w:caps w:val="0"/>
          <w:color w:val="111111"/>
          <w:spacing w:val="0"/>
          <w:sz w:val="18"/>
          <w:szCs w:val="18"/>
          <w:shd w:val="clear" w:fill="FFFFFF"/>
        </w:rPr>
        <w:t>　</w:t>
      </w:r>
      <w:r>
        <w:rPr>
          <w:rFonts w:hint="eastAsia" w:ascii="黑体" w:hAnsi="宋体" w:eastAsia="黑体" w:cs="黑体"/>
          <w:i w:val="0"/>
          <w:iCs w:val="0"/>
          <w:caps w:val="0"/>
          <w:color w:val="333333"/>
          <w:spacing w:val="0"/>
          <w:sz w:val="32"/>
          <w:szCs w:val="32"/>
          <w:shd w:val="clear" w:fill="FFFFFF"/>
        </w:rPr>
        <w:t>第二章</w:t>
      </w:r>
      <w:r>
        <w:rPr>
          <w:rFonts w:hint="eastAsia" w:ascii="宋体" w:hAnsi="宋体" w:eastAsia="宋体" w:cs="宋体"/>
          <w:i w:val="0"/>
          <w:iCs w:val="0"/>
          <w:caps w:val="0"/>
          <w:color w:val="333333"/>
          <w:spacing w:val="0"/>
          <w:sz w:val="32"/>
          <w:szCs w:val="32"/>
          <w:shd w:val="clear" w:fill="FFFFFF"/>
        </w:rPr>
        <w:t>  </w:t>
      </w:r>
      <w:r>
        <w:rPr>
          <w:rFonts w:hint="eastAsia" w:ascii="黑体" w:hAnsi="宋体" w:eastAsia="黑体" w:cs="黑体"/>
          <w:i w:val="0"/>
          <w:iCs w:val="0"/>
          <w:caps w:val="0"/>
          <w:color w:val="333333"/>
          <w:spacing w:val="0"/>
          <w:sz w:val="32"/>
          <w:szCs w:val="32"/>
          <w:shd w:val="clear" w:fill="FFFFFF"/>
        </w:rPr>
        <w:t>公开主体和职责</w:t>
      </w:r>
      <w:r>
        <w:rPr>
          <w:rFonts w:hint="default" w:ascii="Tahoma" w:hAnsi="Tahoma" w:eastAsia="Tahoma" w:cs="Tahoma"/>
          <w:i w:val="0"/>
          <w:iCs w:val="0"/>
          <w:caps w:val="0"/>
          <w:color w:val="111111"/>
          <w:spacing w:val="0"/>
          <w:sz w:val="18"/>
          <w:szCs w:val="18"/>
          <w:shd w:val="clear" w:fill="FFFFFF"/>
        </w:rPr>
        <w:t> </w:t>
      </w:r>
    </w:p>
    <w:p w14:paraId="44D5757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第四条  部门负责本单位及所属单位的预决算信息公开工作，履行下列职责：</w:t>
      </w:r>
      <w:r>
        <w:rPr>
          <w:rFonts w:hint="eastAsia" w:ascii="宋体" w:hAnsi="宋体" w:eastAsia="宋体" w:cs="宋体"/>
          <w:i w:val="0"/>
          <w:iCs w:val="0"/>
          <w:caps w:val="0"/>
          <w:color w:val="333333"/>
          <w:spacing w:val="0"/>
          <w:sz w:val="32"/>
          <w:szCs w:val="32"/>
          <w:shd w:val="clear" w:fill="FFFFFF"/>
        </w:rPr>
        <w:t> </w:t>
      </w:r>
      <w:r>
        <w:rPr>
          <w:rFonts w:hint="default" w:ascii="Tahoma" w:hAnsi="Tahoma" w:eastAsia="Tahoma" w:cs="Tahoma"/>
          <w:i w:val="0"/>
          <w:iCs w:val="0"/>
          <w:caps w:val="0"/>
          <w:color w:val="111111"/>
          <w:spacing w:val="0"/>
          <w:sz w:val="18"/>
          <w:szCs w:val="18"/>
          <w:shd w:val="clear" w:fill="FFFFFF"/>
        </w:rPr>
        <w:t> </w:t>
      </w:r>
    </w:p>
    <w:p w14:paraId="5037CCF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（一）制定本单位及所属单位预决算信息公开的工作方案；</w:t>
      </w:r>
    </w:p>
    <w:p w14:paraId="57C5A42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（二）按规定公开本单位及所属单位的预决算信息；</w:t>
      </w:r>
      <w:r>
        <w:rPr>
          <w:rFonts w:hint="eastAsia" w:ascii="宋体" w:hAnsi="宋体" w:eastAsia="宋体" w:cs="宋体"/>
          <w:i w:val="0"/>
          <w:iCs w:val="0"/>
          <w:caps w:val="0"/>
          <w:color w:val="333333"/>
          <w:spacing w:val="0"/>
          <w:sz w:val="32"/>
          <w:szCs w:val="32"/>
          <w:shd w:val="clear" w:fill="FFFFFF"/>
        </w:rPr>
        <w:t> </w:t>
      </w:r>
      <w:r>
        <w:rPr>
          <w:rFonts w:hint="default" w:ascii="Tahoma" w:hAnsi="Tahoma" w:eastAsia="Tahoma" w:cs="Tahoma"/>
          <w:i w:val="0"/>
          <w:iCs w:val="0"/>
          <w:caps w:val="0"/>
          <w:color w:val="111111"/>
          <w:spacing w:val="0"/>
          <w:sz w:val="18"/>
          <w:szCs w:val="18"/>
          <w:shd w:val="clear" w:fill="FFFFFF"/>
        </w:rPr>
        <w:t> </w:t>
      </w:r>
    </w:p>
    <w:p w14:paraId="6B42F73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（三）对所属单位预决算信息公开工作进行指导、监督和检查；</w:t>
      </w:r>
      <w:r>
        <w:rPr>
          <w:rFonts w:hint="eastAsia" w:ascii="宋体" w:hAnsi="宋体" w:eastAsia="宋体" w:cs="宋体"/>
          <w:i w:val="0"/>
          <w:iCs w:val="0"/>
          <w:caps w:val="0"/>
          <w:color w:val="333333"/>
          <w:spacing w:val="0"/>
          <w:sz w:val="32"/>
          <w:szCs w:val="32"/>
          <w:shd w:val="clear" w:fill="FFFFFF"/>
        </w:rPr>
        <w:t> </w:t>
      </w:r>
      <w:r>
        <w:rPr>
          <w:rFonts w:hint="default" w:ascii="Tahoma" w:hAnsi="Tahoma" w:eastAsia="Tahoma" w:cs="Tahoma"/>
          <w:i w:val="0"/>
          <w:iCs w:val="0"/>
          <w:caps w:val="0"/>
          <w:color w:val="111111"/>
          <w:spacing w:val="0"/>
          <w:sz w:val="18"/>
          <w:szCs w:val="18"/>
          <w:shd w:val="clear" w:fill="FFFFFF"/>
        </w:rPr>
        <w:t> </w:t>
      </w:r>
    </w:p>
    <w:p w14:paraId="60BC15D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（四）按规定做好本单位及所属单位预决算信息公开中的答复工作；</w:t>
      </w:r>
      <w:r>
        <w:rPr>
          <w:rFonts w:hint="eastAsia" w:ascii="宋体" w:hAnsi="宋体" w:eastAsia="宋体" w:cs="宋体"/>
          <w:i w:val="0"/>
          <w:iCs w:val="0"/>
          <w:caps w:val="0"/>
          <w:color w:val="333333"/>
          <w:spacing w:val="0"/>
          <w:sz w:val="32"/>
          <w:szCs w:val="32"/>
          <w:shd w:val="clear" w:fill="FFFFFF"/>
        </w:rPr>
        <w:t> </w:t>
      </w:r>
      <w:r>
        <w:rPr>
          <w:rFonts w:hint="default" w:ascii="Tahoma" w:hAnsi="Tahoma" w:eastAsia="Tahoma" w:cs="Tahoma"/>
          <w:i w:val="0"/>
          <w:iCs w:val="0"/>
          <w:caps w:val="0"/>
          <w:color w:val="111111"/>
          <w:spacing w:val="0"/>
          <w:sz w:val="18"/>
          <w:szCs w:val="18"/>
          <w:shd w:val="clear" w:fill="FFFFFF"/>
        </w:rPr>
        <w:t> </w:t>
      </w:r>
    </w:p>
    <w:p w14:paraId="13C5E1B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（五）法律、法规、规章规定的其他职责。</w:t>
      </w:r>
      <w:r>
        <w:rPr>
          <w:rFonts w:hint="eastAsia" w:ascii="宋体" w:hAnsi="宋体" w:eastAsia="宋体" w:cs="宋体"/>
          <w:i w:val="0"/>
          <w:iCs w:val="0"/>
          <w:caps w:val="0"/>
          <w:color w:val="333333"/>
          <w:spacing w:val="0"/>
          <w:sz w:val="32"/>
          <w:szCs w:val="32"/>
          <w:shd w:val="clear" w:fill="FFFFFF"/>
        </w:rPr>
        <w:t> </w:t>
      </w:r>
    </w:p>
    <w:p w14:paraId="5C13414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333333"/>
          <w:spacing w:val="0"/>
          <w:sz w:val="32"/>
          <w:szCs w:val="32"/>
          <w:shd w:val="clear" w:fill="FFFFFF"/>
        </w:rPr>
        <w:t>第三章  公开内容</w:t>
      </w:r>
    </w:p>
    <w:p w14:paraId="0B2A46F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2"/>
          <w:szCs w:val="32"/>
          <w:shd w:val="clear" w:fill="FFFFFF"/>
        </w:rPr>
        <w:t>  </w:t>
      </w:r>
      <w:r>
        <w:rPr>
          <w:rFonts w:hint="eastAsia" w:ascii="仿宋" w:hAnsi="仿宋" w:eastAsia="仿宋" w:cs="仿宋"/>
          <w:i w:val="0"/>
          <w:iCs w:val="0"/>
          <w:caps w:val="0"/>
          <w:color w:val="333333"/>
          <w:spacing w:val="0"/>
          <w:sz w:val="32"/>
          <w:szCs w:val="32"/>
          <w:shd w:val="clear" w:fill="FFFFFF"/>
        </w:rPr>
        <w:t>  第五条  部门预算信息（涉密信息除外）公开内容包括：</w:t>
      </w:r>
    </w:p>
    <w:p w14:paraId="5C0B0C0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    （一）部门概况：主要包括部门主要职责、预算单位构成等。</w:t>
      </w:r>
    </w:p>
    <w:p w14:paraId="0D0AC38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2"/>
          <w:szCs w:val="32"/>
          <w:shd w:val="clear" w:fill="FFFFFF"/>
        </w:rPr>
        <w:t>    </w:t>
      </w:r>
      <w:r>
        <w:rPr>
          <w:rFonts w:hint="eastAsia" w:ascii="仿宋" w:hAnsi="仿宋" w:eastAsia="仿宋" w:cs="仿宋"/>
          <w:i w:val="0"/>
          <w:iCs w:val="0"/>
          <w:caps w:val="0"/>
          <w:color w:val="333333"/>
          <w:spacing w:val="0"/>
          <w:sz w:val="32"/>
          <w:szCs w:val="32"/>
          <w:shd w:val="clear" w:fill="FFFFFF"/>
        </w:rPr>
        <w:t>（二）部门预算表。主要包括</w:t>
      </w:r>
      <w:r>
        <w:rPr>
          <w:rFonts w:hint="eastAsia" w:ascii="仿宋" w:hAnsi="仿宋" w:eastAsia="仿宋" w:cs="仿宋"/>
          <w:i w:val="0"/>
          <w:iCs w:val="0"/>
          <w:caps w:val="0"/>
          <w:color w:val="000000"/>
          <w:spacing w:val="0"/>
          <w:sz w:val="32"/>
          <w:szCs w:val="32"/>
          <w:shd w:val="clear" w:fill="FFFFFF"/>
        </w:rPr>
        <w:t>部门收支预算总表、部门收入预算总表、部门支出预算总表、一般公共预算支出表、财政拨款预算支出表、政府性基金预算支出表、一般公共预算基本支出表、项目支出预算表、政府采购支出预算表等。</w:t>
      </w:r>
      <w:r>
        <w:rPr>
          <w:rFonts w:hint="default" w:ascii="Tahoma" w:hAnsi="Tahoma" w:eastAsia="Tahoma" w:cs="Tahoma"/>
          <w:i w:val="0"/>
          <w:iCs w:val="0"/>
          <w:caps w:val="0"/>
          <w:color w:val="000000"/>
          <w:spacing w:val="0"/>
          <w:sz w:val="18"/>
          <w:szCs w:val="18"/>
          <w:shd w:val="clear" w:fill="FFFFFF"/>
        </w:rPr>
        <w:t> </w:t>
      </w:r>
    </w:p>
    <w:p w14:paraId="4DF5BB3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6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（三）部门预算情况说明。主要包括</w:t>
      </w:r>
      <w:r>
        <w:rPr>
          <w:rFonts w:hint="eastAsia" w:ascii="仿宋" w:hAnsi="仿宋" w:eastAsia="仿宋" w:cs="仿宋"/>
          <w:i w:val="0"/>
          <w:iCs w:val="0"/>
          <w:caps w:val="0"/>
          <w:color w:val="000000"/>
          <w:spacing w:val="0"/>
          <w:sz w:val="32"/>
          <w:szCs w:val="32"/>
          <w:shd w:val="clear" w:fill="FFFFFF"/>
        </w:rPr>
        <w:t>部门预算收支增减变化情况说明、</w:t>
      </w:r>
      <w:r>
        <w:rPr>
          <w:rFonts w:hint="eastAsia" w:ascii="仿宋" w:hAnsi="仿宋" w:eastAsia="仿宋" w:cs="仿宋"/>
          <w:i w:val="0"/>
          <w:iCs w:val="0"/>
          <w:caps w:val="0"/>
          <w:color w:val="333333"/>
          <w:spacing w:val="0"/>
          <w:sz w:val="32"/>
          <w:szCs w:val="32"/>
          <w:shd w:val="clear" w:fill="FFFFFF"/>
        </w:rPr>
        <w:t>“三公经费”预算增减变化情况说明、</w:t>
      </w:r>
      <w:r>
        <w:rPr>
          <w:rFonts w:hint="eastAsia" w:ascii="仿宋" w:hAnsi="仿宋" w:eastAsia="仿宋" w:cs="仿宋"/>
          <w:i w:val="0"/>
          <w:iCs w:val="0"/>
          <w:caps w:val="0"/>
          <w:color w:val="000000"/>
          <w:spacing w:val="0"/>
          <w:sz w:val="32"/>
          <w:szCs w:val="32"/>
          <w:shd w:val="clear" w:fill="FFFFFF"/>
        </w:rPr>
        <w:t>机关运行经费安排情况说明、政府采购安排情况说明、国有资产占有使用情况说明、预算绩效目标情况说明等。</w:t>
      </w:r>
    </w:p>
    <w:p w14:paraId="60D58EC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6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（四）名词解释。主要对涉及本部门预算公开表中的专业名词进行解释说明。</w:t>
      </w:r>
    </w:p>
    <w:p w14:paraId="70B6D2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default" w:ascii="Tahoma" w:hAnsi="Tahoma" w:eastAsia="Tahoma" w:cs="Tahoma"/>
          <w:i w:val="0"/>
          <w:iCs w:val="0"/>
          <w:caps w:val="0"/>
          <w:color w:val="000000"/>
          <w:spacing w:val="0"/>
          <w:sz w:val="18"/>
          <w:szCs w:val="18"/>
          <w:shd w:val="clear" w:fill="FFFFFF"/>
        </w:rPr>
        <w:t>　</w:t>
      </w:r>
      <w:r>
        <w:rPr>
          <w:rFonts w:hint="eastAsia" w:ascii="仿宋" w:hAnsi="仿宋" w:eastAsia="仿宋" w:cs="仿宋"/>
          <w:i w:val="0"/>
          <w:iCs w:val="0"/>
          <w:caps w:val="0"/>
          <w:color w:val="000000"/>
          <w:spacing w:val="0"/>
          <w:sz w:val="32"/>
          <w:szCs w:val="32"/>
          <w:shd w:val="clear" w:fill="FFFFFF"/>
        </w:rPr>
        <w:t>第六条 部门决算信息（涉密信息除外）公开内容包括：</w:t>
      </w:r>
      <w:r>
        <w:rPr>
          <w:rFonts w:hint="default" w:ascii="Tahoma" w:hAnsi="Tahoma" w:eastAsia="Tahoma" w:cs="Tahoma"/>
          <w:i w:val="0"/>
          <w:iCs w:val="0"/>
          <w:caps w:val="0"/>
          <w:color w:val="000000"/>
          <w:spacing w:val="0"/>
          <w:sz w:val="18"/>
          <w:szCs w:val="18"/>
          <w:shd w:val="clear" w:fill="FFFFFF"/>
        </w:rPr>
        <w:t> </w:t>
      </w:r>
    </w:p>
    <w:p w14:paraId="3C4C566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2"/>
          <w:szCs w:val="32"/>
          <w:shd w:val="clear" w:fill="FFFFFF"/>
        </w:rPr>
        <w:t>（一）部门概况。主要包括部门主要职能、部门决算单位构成情况等。</w:t>
      </w:r>
      <w:r>
        <w:rPr>
          <w:rFonts w:hint="default" w:ascii="Tahoma" w:hAnsi="Tahoma" w:eastAsia="Tahoma" w:cs="Tahoma"/>
          <w:i w:val="0"/>
          <w:iCs w:val="0"/>
          <w:caps w:val="0"/>
          <w:color w:val="000000"/>
          <w:spacing w:val="0"/>
          <w:sz w:val="18"/>
          <w:szCs w:val="18"/>
          <w:shd w:val="clear" w:fill="FFFFFF"/>
        </w:rPr>
        <w:t> </w:t>
      </w:r>
    </w:p>
    <w:p w14:paraId="54FF5AB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2"/>
          <w:szCs w:val="32"/>
          <w:shd w:val="clear" w:fill="FFFFFF"/>
        </w:rPr>
        <w:t>（二）部门决算表。主要包括收入支出决算总表、财政拨款支出决算表（按功能分类到项级）、财政拨款基本支出决算表（按经济分类到款级）、政府性基金预算财政拨款收入支出决算表、一般公共预算财政拨款“三公”经费等。</w:t>
      </w:r>
      <w:r>
        <w:rPr>
          <w:rFonts w:hint="default" w:ascii="Tahoma" w:hAnsi="Tahoma" w:eastAsia="Tahoma" w:cs="Tahoma"/>
          <w:i w:val="0"/>
          <w:iCs w:val="0"/>
          <w:caps w:val="0"/>
          <w:color w:val="000000"/>
          <w:spacing w:val="0"/>
          <w:sz w:val="18"/>
          <w:szCs w:val="18"/>
          <w:shd w:val="clear" w:fill="FFFFFF"/>
        </w:rPr>
        <w:t> </w:t>
      </w:r>
    </w:p>
    <w:p w14:paraId="76C9A5D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2"/>
          <w:szCs w:val="32"/>
          <w:shd w:val="clear" w:fill="FFFFFF"/>
        </w:rPr>
        <w:t>（三）部门决算情况说明。包括：部门决算年度收支情况、财政拨款预算执行情况和“三公”经费、机关运行经费、政府采购支出决算情况及其说明。“三公”经费决算公开要说明因公出国（境）团组数及人数，公务用车购置数及保有量，国内公务接待的批次、人数、经费总额以及“三公”经费增减变化原因等情况等相关信息。</w:t>
      </w:r>
      <w:r>
        <w:rPr>
          <w:rFonts w:hint="default" w:ascii="Tahoma" w:hAnsi="Tahoma" w:eastAsia="Tahoma" w:cs="Tahoma"/>
          <w:i w:val="0"/>
          <w:iCs w:val="0"/>
          <w:caps w:val="0"/>
          <w:color w:val="000000"/>
          <w:spacing w:val="0"/>
          <w:sz w:val="18"/>
          <w:szCs w:val="18"/>
          <w:shd w:val="clear" w:fill="FFFFFF"/>
        </w:rPr>
        <w:t> </w:t>
      </w:r>
    </w:p>
    <w:p w14:paraId="4029B3F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6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2"/>
          <w:szCs w:val="32"/>
          <w:shd w:val="clear" w:fill="FFFFFF"/>
        </w:rPr>
        <w:t>（四）名词解释。主要对涉及本部门决算公开表中的专业名称进行解释说明。</w:t>
      </w:r>
    </w:p>
    <w:p w14:paraId="55BD4D9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2"/>
          <w:szCs w:val="32"/>
          <w:shd w:val="clear" w:fill="FFFFFF"/>
        </w:rPr>
        <w:t>第四章  公开方式</w:t>
      </w:r>
    </w:p>
    <w:p w14:paraId="16914C7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2"/>
          <w:szCs w:val="32"/>
          <w:shd w:val="clear" w:fill="FFFFFF"/>
        </w:rPr>
        <w:t> </w:t>
      </w:r>
      <w:r>
        <w:rPr>
          <w:rFonts w:hint="eastAsia" w:ascii="仿宋" w:hAnsi="仿宋" w:eastAsia="仿宋" w:cs="仿宋"/>
          <w:i w:val="0"/>
          <w:iCs w:val="0"/>
          <w:caps w:val="0"/>
          <w:color w:val="333333"/>
          <w:spacing w:val="0"/>
          <w:sz w:val="32"/>
          <w:szCs w:val="32"/>
          <w:shd w:val="clear" w:fill="FFFFFF"/>
        </w:rPr>
        <w:t>   第七条  预决算信息在本部门门户网站和市政府门户网站设立的“预决算公开”专栏进行公开，并保持长期公开状态，便于社会公众查阅和监督。</w:t>
      </w:r>
    </w:p>
    <w:p w14:paraId="1F2317E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2"/>
          <w:szCs w:val="32"/>
          <w:shd w:val="clear" w:fill="FFFFFF"/>
        </w:rPr>
        <w:t>第五章  公开程序</w:t>
      </w:r>
    </w:p>
    <w:p w14:paraId="41CC104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2"/>
          <w:szCs w:val="32"/>
          <w:shd w:val="clear" w:fill="FFFFFF"/>
        </w:rPr>
        <w:t>   </w:t>
      </w:r>
      <w:r>
        <w:rPr>
          <w:rFonts w:hint="eastAsia" w:ascii="仿宋" w:hAnsi="仿宋" w:eastAsia="仿宋" w:cs="仿宋"/>
          <w:i w:val="0"/>
          <w:iCs w:val="0"/>
          <w:caps w:val="0"/>
          <w:color w:val="333333"/>
          <w:spacing w:val="0"/>
          <w:sz w:val="32"/>
          <w:szCs w:val="32"/>
          <w:shd w:val="clear" w:fill="FFFFFF"/>
        </w:rPr>
        <w:t> 第八条  根据本级财政部门批复的部门预算、部门决算及报表，应当在批复后20日内由本部门公开预决算信息。</w:t>
      </w:r>
    </w:p>
    <w:p w14:paraId="31857ED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2"/>
          <w:szCs w:val="32"/>
          <w:shd w:val="clear" w:fill="FFFFFF"/>
        </w:rPr>
        <w:t>第六章  附  则</w:t>
      </w:r>
    </w:p>
    <w:p w14:paraId="38CA3D9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第九条  本办法自印发之日起实行。</w:t>
      </w:r>
    </w:p>
    <w:p w14:paraId="7D0EC9A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rPr>
          <w:rFonts w:hint="eastAsia" w:ascii="仿宋" w:hAnsi="仿宋" w:eastAsia="仿宋" w:cs="仿宋"/>
          <w:i w:val="0"/>
          <w:iCs w:val="0"/>
          <w:caps w:val="0"/>
          <w:color w:val="333333"/>
          <w:spacing w:val="0"/>
          <w:sz w:val="32"/>
          <w:szCs w:val="32"/>
          <w:shd w:val="clear" w:fill="FFFFFF"/>
        </w:rPr>
      </w:pPr>
    </w:p>
    <w:p w14:paraId="309E77D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第二部分  部门（单位）概况</w:t>
      </w:r>
    </w:p>
    <w:p w14:paraId="657D784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b/>
          <w:bCs/>
          <w:i w:val="0"/>
          <w:iCs w:val="0"/>
          <w:caps w:val="0"/>
          <w:color w:val="000000"/>
          <w:spacing w:val="0"/>
          <w:sz w:val="32"/>
          <w:szCs w:val="32"/>
          <w:shd w:val="clear" w:fill="FFFFFF"/>
        </w:rPr>
        <w:t>   </w:t>
      </w:r>
      <w:r>
        <w:rPr>
          <w:rFonts w:hint="eastAsia" w:ascii="楷体" w:hAnsi="楷体" w:eastAsia="楷体" w:cs="楷体"/>
          <w:b/>
          <w:bCs/>
          <w:i w:val="0"/>
          <w:iCs w:val="0"/>
          <w:caps w:val="0"/>
          <w:color w:val="000000"/>
          <w:spacing w:val="0"/>
          <w:sz w:val="32"/>
          <w:szCs w:val="32"/>
          <w:shd w:val="clear" w:fill="FFFFFF"/>
        </w:rPr>
        <w:t> 一、部门（单位）职责</w:t>
      </w:r>
      <w:r>
        <w:rPr>
          <w:rFonts w:hint="eastAsia" w:ascii="仿宋_GB2312" w:hAnsi="微软雅黑" w:eastAsia="仿宋_GB2312" w:cs="仿宋_GB2312"/>
          <w:i w:val="0"/>
          <w:iCs w:val="0"/>
          <w:caps w:val="0"/>
          <w:color w:val="000000"/>
          <w:spacing w:val="0"/>
          <w:sz w:val="32"/>
          <w:szCs w:val="32"/>
          <w:shd w:val="clear" w:fill="FFFFFF"/>
        </w:rPr>
        <w:t> </w:t>
      </w:r>
    </w:p>
    <w:p w14:paraId="0132B1C5">
      <w:pPr>
        <w:ind w:firstLine="640" w:firstLineChars="200"/>
        <w:rPr>
          <w:rFonts w:hint="eastAsia" w:ascii="仿宋_GB2312" w:hAnsi="宋体" w:eastAsia="仿宋_GB2312" w:cs="宋体"/>
          <w:kern w:val="0"/>
          <w:sz w:val="32"/>
          <w:szCs w:val="32"/>
        </w:rPr>
      </w:pPr>
      <w:r>
        <w:rPr>
          <w:rFonts w:hint="eastAsia" w:ascii="仿宋" w:hAnsi="仿宋" w:eastAsia="仿宋"/>
          <w:sz w:val="32"/>
          <w:szCs w:val="32"/>
        </w:rPr>
        <w:t>（一）</w:t>
      </w:r>
      <w:r>
        <w:rPr>
          <w:rFonts w:hint="eastAsia" w:ascii="仿宋_GB2312" w:hAnsi="宋体" w:eastAsia="仿宋_GB2312" w:cs="宋体"/>
          <w:kern w:val="0"/>
          <w:sz w:val="32"/>
          <w:szCs w:val="32"/>
        </w:rPr>
        <w:t>听取残疾人意见，反应残疾人需求，维护残疾人权益，为残疾人服务。</w:t>
      </w:r>
    </w:p>
    <w:p w14:paraId="45C692D0">
      <w:pPr>
        <w:ind w:firstLine="640" w:firstLineChars="200"/>
        <w:rPr>
          <w:rFonts w:hint="eastAsia" w:ascii="仿宋_GB2312" w:hAnsi="宋体" w:eastAsia="仿宋_GB2312" w:cs="宋体"/>
          <w:kern w:val="0"/>
          <w:sz w:val="32"/>
          <w:szCs w:val="32"/>
        </w:rPr>
      </w:pPr>
      <w:r>
        <w:rPr>
          <w:rFonts w:hint="eastAsia" w:ascii="仿宋" w:hAnsi="仿宋" w:eastAsia="仿宋"/>
          <w:sz w:val="32"/>
          <w:szCs w:val="32"/>
        </w:rPr>
        <w:t>（二）</w:t>
      </w:r>
      <w:r>
        <w:rPr>
          <w:rFonts w:hint="eastAsia" w:ascii="仿宋_GB2312" w:hAnsi="宋体" w:eastAsia="仿宋_GB2312" w:cs="宋体"/>
          <w:kern w:val="0"/>
          <w:sz w:val="32"/>
          <w:szCs w:val="32"/>
        </w:rPr>
        <w:t>团结、教育残疾人遵守法律，履行应尽的义务，发扬乐观进取的精神，自尊、自信、自强、自立，为社会主义建设贡献力量。</w:t>
      </w:r>
    </w:p>
    <w:p w14:paraId="17D0E763">
      <w:pPr>
        <w:ind w:firstLine="640" w:firstLineChars="200"/>
        <w:rPr>
          <w:rFonts w:hint="eastAsia"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eastAsia="zh-CN"/>
        </w:rPr>
        <w:t>三</w:t>
      </w:r>
      <w:r>
        <w:rPr>
          <w:rFonts w:hint="eastAsia" w:ascii="仿宋" w:hAnsi="仿宋" w:eastAsia="仿宋"/>
          <w:sz w:val="32"/>
          <w:szCs w:val="32"/>
        </w:rPr>
        <w:t>）</w:t>
      </w:r>
      <w:r>
        <w:rPr>
          <w:rFonts w:hint="eastAsia" w:ascii="仿宋_GB2312" w:hAnsi="宋体" w:eastAsia="仿宋_GB2312" w:cs="宋体"/>
          <w:kern w:val="0"/>
          <w:sz w:val="32"/>
          <w:szCs w:val="32"/>
        </w:rPr>
        <w:t>弘扬人道主义，宣传残疾人事业，沟通政府、社会与残疾人之间的联系，动员社会理解、尊重、关心、帮助残疾人。</w:t>
      </w:r>
    </w:p>
    <w:p w14:paraId="60B30998">
      <w:pPr>
        <w:ind w:firstLine="640" w:firstLineChars="200"/>
        <w:rPr>
          <w:rFonts w:hint="eastAsia"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eastAsia="zh-CN"/>
        </w:rPr>
        <w:t>四</w:t>
      </w:r>
      <w:r>
        <w:rPr>
          <w:rFonts w:hint="eastAsia" w:ascii="仿宋" w:hAnsi="仿宋" w:eastAsia="仿宋"/>
          <w:sz w:val="32"/>
          <w:szCs w:val="32"/>
        </w:rPr>
        <w:t>）</w:t>
      </w:r>
      <w:r>
        <w:rPr>
          <w:rFonts w:hint="eastAsia" w:ascii="仿宋_GB2312" w:hAnsi="宋体" w:eastAsia="仿宋_GB2312" w:cs="宋体"/>
          <w:kern w:val="0"/>
          <w:sz w:val="32"/>
          <w:szCs w:val="32"/>
        </w:rPr>
        <w:t>开展残疾人康复、教育劳动就业、扶贫、文化、体育用品用具供应、残疾人社会保障、残疾人培训、社区残协组织建设、福利、 社会服务、无障碍设施和残疾预防等工作，创造良好的环境和条件，扶助残疾人平等参与社会生活。</w:t>
      </w:r>
    </w:p>
    <w:p w14:paraId="5D9C7D58">
      <w:pPr>
        <w:ind w:firstLine="640" w:firstLineChars="200"/>
        <w:rPr>
          <w:rFonts w:hint="eastAsia"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eastAsia="zh-CN"/>
        </w:rPr>
        <w:t>五</w:t>
      </w:r>
      <w:r>
        <w:rPr>
          <w:rFonts w:hint="eastAsia" w:ascii="仿宋" w:hAnsi="仿宋" w:eastAsia="仿宋"/>
          <w:sz w:val="32"/>
          <w:szCs w:val="32"/>
        </w:rPr>
        <w:t>）</w:t>
      </w:r>
      <w:r>
        <w:rPr>
          <w:rFonts w:hint="eastAsia" w:ascii="仿宋_GB2312" w:hAnsi="宋体" w:eastAsia="仿宋_GB2312" w:cs="宋体"/>
          <w:kern w:val="0"/>
          <w:sz w:val="32"/>
          <w:szCs w:val="32"/>
        </w:rPr>
        <w:t>协助政府研究、制定和实施残疾人事业的法规、政策、规划，对有关业务领域进行指导和管理。</w:t>
      </w:r>
    </w:p>
    <w:p w14:paraId="7699495D">
      <w:pPr>
        <w:ind w:firstLine="640" w:firstLineChars="200"/>
        <w:rPr>
          <w:rFonts w:hint="eastAsia"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eastAsia="zh-CN"/>
        </w:rPr>
        <w:t>六</w:t>
      </w:r>
      <w:r>
        <w:rPr>
          <w:rFonts w:hint="eastAsia" w:ascii="仿宋" w:hAnsi="仿宋" w:eastAsia="仿宋"/>
          <w:sz w:val="32"/>
          <w:szCs w:val="32"/>
        </w:rPr>
        <w:t>）</w:t>
      </w:r>
      <w:r>
        <w:rPr>
          <w:rFonts w:hint="eastAsia" w:ascii="仿宋_GB2312" w:hAnsi="宋体" w:eastAsia="仿宋_GB2312" w:cs="宋体"/>
          <w:kern w:val="0"/>
          <w:sz w:val="32"/>
          <w:szCs w:val="32"/>
        </w:rPr>
        <w:t>承担区政府残疾人工作委员会的日常工作，做好综合、组织、协调和服务。</w:t>
      </w:r>
    </w:p>
    <w:p w14:paraId="226A7DE1">
      <w:pPr>
        <w:ind w:firstLine="640" w:firstLineChars="200"/>
        <w:rPr>
          <w:rFonts w:hint="eastAsia"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eastAsia="zh-CN"/>
        </w:rPr>
        <w:t>七</w:t>
      </w:r>
      <w:r>
        <w:rPr>
          <w:rFonts w:hint="eastAsia" w:ascii="仿宋" w:hAnsi="仿宋" w:eastAsia="仿宋"/>
          <w:sz w:val="32"/>
          <w:szCs w:val="32"/>
        </w:rPr>
        <w:t>）</w:t>
      </w:r>
      <w:r>
        <w:rPr>
          <w:rFonts w:hint="eastAsia" w:ascii="仿宋_GB2312" w:hAnsi="宋体" w:eastAsia="仿宋_GB2312" w:cs="宋体"/>
          <w:kern w:val="0"/>
          <w:sz w:val="32"/>
          <w:szCs w:val="32"/>
        </w:rPr>
        <w:t>负责对各类残疾人社会团体组织进行监督管理。</w:t>
      </w:r>
    </w:p>
    <w:p w14:paraId="4564195D">
      <w:pPr>
        <w:widowControl/>
        <w:spacing w:line="560" w:lineRule="exact"/>
        <w:ind w:firstLine="640" w:firstLineChars="200"/>
        <w:jc w:val="left"/>
        <w:rPr>
          <w:rFonts w:hint="eastAsia" w:ascii="仿宋_GB2312" w:hAnsi="宋体" w:eastAsia="仿宋_GB2312" w:cs="宋体"/>
          <w:kern w:val="0"/>
          <w:sz w:val="32"/>
          <w:szCs w:val="32"/>
          <w:lang w:eastAsia="zh-CN"/>
        </w:rPr>
      </w:pPr>
      <w:r>
        <w:rPr>
          <w:rFonts w:hint="eastAsia" w:ascii="仿宋" w:hAnsi="仿宋" w:eastAsia="仿宋"/>
          <w:sz w:val="32"/>
          <w:szCs w:val="32"/>
        </w:rPr>
        <w:t>（</w:t>
      </w:r>
      <w:r>
        <w:rPr>
          <w:rFonts w:hint="eastAsia" w:ascii="仿宋" w:hAnsi="仿宋" w:eastAsia="仿宋"/>
          <w:sz w:val="32"/>
          <w:szCs w:val="32"/>
          <w:lang w:eastAsia="zh-CN"/>
        </w:rPr>
        <w:t>八</w:t>
      </w:r>
      <w:r>
        <w:rPr>
          <w:rFonts w:hint="eastAsia" w:ascii="仿宋" w:hAnsi="仿宋" w:eastAsia="仿宋"/>
          <w:sz w:val="32"/>
          <w:szCs w:val="32"/>
        </w:rPr>
        <w:t>）</w:t>
      </w:r>
      <w:r>
        <w:rPr>
          <w:rFonts w:hint="eastAsia" w:ascii="仿宋_GB2312" w:hAnsi="宋体" w:eastAsia="仿宋_GB2312" w:cs="宋体"/>
          <w:kern w:val="0"/>
          <w:sz w:val="32"/>
          <w:szCs w:val="32"/>
        </w:rPr>
        <w:t>承担区委、区政府交办的其他事项</w:t>
      </w:r>
      <w:r>
        <w:rPr>
          <w:rFonts w:hint="eastAsia" w:ascii="仿宋_GB2312" w:hAnsi="宋体" w:eastAsia="仿宋_GB2312" w:cs="宋体"/>
          <w:kern w:val="0"/>
          <w:sz w:val="32"/>
          <w:szCs w:val="32"/>
          <w:lang w:eastAsia="zh-CN"/>
        </w:rPr>
        <w:t>。</w:t>
      </w:r>
    </w:p>
    <w:p w14:paraId="71B9222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b/>
          <w:bCs/>
          <w:i w:val="0"/>
          <w:iCs w:val="0"/>
          <w:caps w:val="0"/>
          <w:color w:val="000000"/>
          <w:spacing w:val="0"/>
          <w:sz w:val="32"/>
          <w:szCs w:val="32"/>
          <w:shd w:val="clear" w:fill="FFFFFF"/>
        </w:rPr>
        <w:t>    二、机构设置</w:t>
      </w:r>
      <w:r>
        <w:rPr>
          <w:rFonts w:hint="eastAsia" w:ascii="仿宋_GB2312" w:hAnsi="微软雅黑" w:eastAsia="仿宋_GB2312" w:cs="仿宋_GB2312"/>
          <w:i w:val="0"/>
          <w:iCs w:val="0"/>
          <w:caps w:val="0"/>
          <w:color w:val="000000"/>
          <w:spacing w:val="0"/>
          <w:sz w:val="32"/>
          <w:szCs w:val="32"/>
          <w:shd w:val="clear" w:fill="FFFFFF"/>
        </w:rPr>
        <w:t> </w:t>
      </w:r>
    </w:p>
    <w:p w14:paraId="02E07E1C">
      <w:pPr>
        <w:widowControl/>
        <w:spacing w:line="560" w:lineRule="exact"/>
        <w:ind w:firstLine="640"/>
        <w:jc w:val="left"/>
        <w:rPr>
          <w:rFonts w:hint="eastAsia" w:ascii="仿宋_GB2312" w:hAnsi="宋体" w:eastAsia="仿宋_GB2312" w:cs="宋体"/>
          <w:kern w:val="0"/>
          <w:sz w:val="32"/>
          <w:szCs w:val="32"/>
          <w:lang w:eastAsia="zh-CN"/>
        </w:rPr>
      </w:pPr>
      <w:r>
        <w:rPr>
          <w:rFonts w:hint="eastAsia" w:ascii="仿宋_GB2312" w:hAnsi="宋体" w:eastAsia="仿宋_GB2312" w:cs="宋体"/>
          <w:b w:val="0"/>
          <w:bCs w:val="0"/>
          <w:kern w:val="0"/>
          <w:sz w:val="32"/>
          <w:szCs w:val="32"/>
          <w:lang w:eastAsia="zh-CN"/>
        </w:rPr>
        <w:t>鞍山市千山区残疾人联合会</w:t>
      </w:r>
      <w:r>
        <w:rPr>
          <w:rFonts w:hint="eastAsia" w:ascii="仿宋_GB2312" w:hAnsi="宋体" w:eastAsia="仿宋_GB2312" w:cs="宋体"/>
          <w:kern w:val="0"/>
          <w:sz w:val="32"/>
          <w:szCs w:val="32"/>
        </w:rPr>
        <w:t>202</w:t>
      </w:r>
      <w:r>
        <w:rPr>
          <w:rFonts w:hint="eastAsia" w:ascii="仿宋_GB2312" w:hAnsi="宋体" w:eastAsia="仿宋_GB2312" w:cs="宋体"/>
          <w:kern w:val="0"/>
          <w:sz w:val="32"/>
          <w:szCs w:val="32"/>
          <w:lang w:val="en-US" w:eastAsia="zh-CN"/>
        </w:rPr>
        <w:t>5</w:t>
      </w:r>
      <w:r>
        <w:rPr>
          <w:rFonts w:hint="eastAsia" w:ascii="仿宋_GB2312" w:hAnsi="宋体" w:eastAsia="仿宋_GB2312" w:cs="宋体"/>
          <w:kern w:val="0"/>
          <w:sz w:val="32"/>
          <w:szCs w:val="32"/>
        </w:rPr>
        <w:t>年</w:t>
      </w:r>
      <w:r>
        <w:rPr>
          <w:rFonts w:hint="eastAsia" w:ascii="仿宋_GB2312" w:hAnsi="宋体" w:eastAsia="仿宋_GB2312" w:cs="宋体"/>
          <w:kern w:val="0"/>
          <w:sz w:val="32"/>
          <w:szCs w:val="32"/>
          <w:lang w:eastAsia="zh-CN"/>
        </w:rPr>
        <w:t>度</w:t>
      </w:r>
      <w:r>
        <w:rPr>
          <w:rFonts w:hint="eastAsia" w:ascii="仿宋_GB2312" w:hAnsi="宋体" w:eastAsia="仿宋_GB2312" w:cs="宋体"/>
          <w:kern w:val="0"/>
          <w:sz w:val="32"/>
          <w:szCs w:val="32"/>
        </w:rPr>
        <w:t>部门预算</w:t>
      </w:r>
      <w:r>
        <w:rPr>
          <w:rFonts w:hint="eastAsia" w:ascii="仿宋_GB2312" w:hAnsi="宋体" w:eastAsia="仿宋_GB2312" w:cs="宋体"/>
          <w:kern w:val="0"/>
          <w:sz w:val="32"/>
          <w:szCs w:val="32"/>
          <w:lang w:eastAsia="zh-CN"/>
        </w:rPr>
        <w:t>包括</w:t>
      </w:r>
      <w:r>
        <w:rPr>
          <w:rFonts w:hint="eastAsia" w:ascii="仿宋_GB2312" w:hAnsi="宋体" w:eastAsia="仿宋_GB2312" w:cs="宋体"/>
          <w:b w:val="0"/>
          <w:bCs w:val="0"/>
          <w:kern w:val="0"/>
          <w:sz w:val="32"/>
          <w:szCs w:val="32"/>
          <w:lang w:eastAsia="zh-CN"/>
        </w:rPr>
        <w:t>鞍山市千山区残疾人联合会本级预算和所属单位</w:t>
      </w:r>
      <w:r>
        <w:rPr>
          <w:rFonts w:hint="eastAsia" w:ascii="仿宋_GB2312" w:hAnsi="宋体" w:eastAsia="仿宋_GB2312" w:cs="宋体"/>
          <w:kern w:val="0"/>
          <w:sz w:val="32"/>
          <w:szCs w:val="32"/>
        </w:rPr>
        <w:t>预算</w:t>
      </w:r>
      <w:r>
        <w:rPr>
          <w:rFonts w:hint="eastAsia" w:ascii="仿宋_GB2312" w:hAnsi="宋体" w:eastAsia="仿宋_GB2312" w:cs="宋体"/>
          <w:kern w:val="0"/>
          <w:sz w:val="32"/>
          <w:szCs w:val="32"/>
          <w:lang w:eastAsia="zh-CN"/>
        </w:rPr>
        <w:t>。</w:t>
      </w:r>
    </w:p>
    <w:p w14:paraId="25CC4D34">
      <w:pPr>
        <w:widowControl/>
        <w:spacing w:line="560" w:lineRule="exact"/>
        <w:ind w:firstLine="64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纳入</w:t>
      </w:r>
      <w:r>
        <w:rPr>
          <w:rFonts w:hint="eastAsia" w:ascii="仿宋_GB2312" w:hAnsi="宋体" w:eastAsia="仿宋_GB2312" w:cs="宋体"/>
          <w:b w:val="0"/>
          <w:bCs w:val="0"/>
          <w:kern w:val="0"/>
          <w:sz w:val="32"/>
          <w:szCs w:val="32"/>
          <w:lang w:eastAsia="zh-CN"/>
        </w:rPr>
        <w:t>鞍山市千山区残疾人联合会</w:t>
      </w:r>
      <w:r>
        <w:rPr>
          <w:rFonts w:hint="eastAsia" w:ascii="仿宋_GB2312" w:hAnsi="宋体" w:eastAsia="仿宋_GB2312" w:cs="宋体"/>
          <w:kern w:val="0"/>
          <w:sz w:val="32"/>
          <w:szCs w:val="32"/>
        </w:rPr>
        <w:t>202</w:t>
      </w:r>
      <w:r>
        <w:rPr>
          <w:rFonts w:hint="eastAsia" w:ascii="仿宋_GB2312" w:hAnsi="宋体" w:eastAsia="仿宋_GB2312" w:cs="宋体"/>
          <w:kern w:val="0"/>
          <w:sz w:val="32"/>
          <w:szCs w:val="32"/>
          <w:lang w:val="en-US" w:eastAsia="zh-CN"/>
        </w:rPr>
        <w:t>5</w:t>
      </w:r>
      <w:r>
        <w:rPr>
          <w:rFonts w:hint="eastAsia" w:ascii="仿宋_GB2312" w:hAnsi="宋体" w:eastAsia="仿宋_GB2312" w:cs="宋体"/>
          <w:kern w:val="0"/>
          <w:sz w:val="32"/>
          <w:szCs w:val="32"/>
        </w:rPr>
        <w:t>年</w:t>
      </w:r>
      <w:r>
        <w:rPr>
          <w:rFonts w:hint="eastAsia" w:ascii="仿宋_GB2312" w:hAnsi="宋体" w:eastAsia="仿宋_GB2312" w:cs="宋体"/>
          <w:kern w:val="0"/>
          <w:sz w:val="32"/>
          <w:szCs w:val="32"/>
          <w:lang w:eastAsia="zh-CN"/>
        </w:rPr>
        <w:t>度</w:t>
      </w:r>
      <w:r>
        <w:rPr>
          <w:rFonts w:hint="eastAsia" w:ascii="仿宋_GB2312" w:hAnsi="宋体" w:eastAsia="仿宋_GB2312" w:cs="宋体"/>
          <w:kern w:val="0"/>
          <w:sz w:val="32"/>
          <w:szCs w:val="32"/>
        </w:rPr>
        <w:t>部门预算编制</w:t>
      </w:r>
      <w:r>
        <w:rPr>
          <w:rFonts w:hint="eastAsia" w:ascii="仿宋_GB2312" w:hAnsi="宋体" w:eastAsia="仿宋_GB2312" w:cs="宋体"/>
          <w:kern w:val="0"/>
          <w:sz w:val="32"/>
          <w:szCs w:val="32"/>
          <w:lang w:eastAsia="zh-CN"/>
        </w:rPr>
        <w:t>范围的二级预算单位</w:t>
      </w:r>
      <w:r>
        <w:rPr>
          <w:rFonts w:hint="eastAsia" w:ascii="仿宋_GB2312" w:hAnsi="宋体" w:eastAsia="仿宋_GB2312" w:cs="宋体"/>
          <w:kern w:val="0"/>
          <w:sz w:val="32"/>
          <w:szCs w:val="32"/>
        </w:rPr>
        <w:t xml:space="preserve">包括： </w:t>
      </w:r>
    </w:p>
    <w:p w14:paraId="1C96FB71">
      <w:pPr>
        <w:widowControl/>
        <w:numPr>
          <w:ilvl w:val="0"/>
          <w:numId w:val="1"/>
        </w:numPr>
        <w:spacing w:line="560" w:lineRule="exact"/>
        <w:ind w:left="1280" w:leftChars="0" w:firstLine="0" w:firstLineChars="0"/>
        <w:jc w:val="left"/>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eastAsia="zh-CN"/>
        </w:rPr>
        <w:t>鞍山市千山区残疾人联合会本级</w:t>
      </w:r>
    </w:p>
    <w:p w14:paraId="5C076E1D">
      <w:pPr>
        <w:widowControl/>
        <w:numPr>
          <w:ilvl w:val="0"/>
          <w:numId w:val="1"/>
        </w:numPr>
        <w:spacing w:line="560" w:lineRule="exact"/>
        <w:ind w:left="1280" w:leftChars="0" w:firstLine="0" w:firstLineChars="0"/>
        <w:jc w:val="left"/>
        <w:rPr>
          <w:rFonts w:hint="default"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eastAsia="zh-CN"/>
        </w:rPr>
        <w:t>鞍山市千山区残疾人服务中心</w:t>
      </w:r>
    </w:p>
    <w:p w14:paraId="0DE3787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jc w:val="left"/>
        <w:rPr>
          <w:rFonts w:hint="eastAsia" w:ascii="仿宋_GB2312" w:hAnsi="微软雅黑" w:eastAsia="仿宋_GB2312" w:cs="仿宋_GB2312"/>
          <w:b w:val="0"/>
          <w:bCs w:val="0"/>
          <w:i w:val="0"/>
          <w:iCs w:val="0"/>
          <w:caps w:val="0"/>
          <w:color w:val="000000"/>
          <w:spacing w:val="0"/>
          <w:sz w:val="32"/>
          <w:szCs w:val="32"/>
          <w:shd w:val="clear" w:fill="FFFFFF"/>
        </w:rPr>
      </w:pPr>
    </w:p>
    <w:p w14:paraId="670193F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第三部分 部门（单位）预算表</w:t>
      </w:r>
      <w:r>
        <w:rPr>
          <w:rFonts w:hint="eastAsia" w:ascii="楷体" w:hAnsi="楷体" w:eastAsia="楷体" w:cs="楷体"/>
          <w:i w:val="0"/>
          <w:iCs w:val="0"/>
          <w:caps w:val="0"/>
          <w:color w:val="000000"/>
          <w:spacing w:val="0"/>
          <w:sz w:val="32"/>
          <w:szCs w:val="32"/>
          <w:shd w:val="clear" w:fill="FFFFFF"/>
        </w:rPr>
        <w:t> </w:t>
      </w:r>
    </w:p>
    <w:p w14:paraId="419E9C1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仿宋_GB2312" w:hAnsi="微软雅黑" w:eastAsia="仿宋_GB2312" w:cs="仿宋_GB2312"/>
          <w:i w:val="0"/>
          <w:iCs w:val="0"/>
          <w:caps w:val="0"/>
          <w:color w:val="000000"/>
          <w:spacing w:val="0"/>
          <w:sz w:val="32"/>
          <w:szCs w:val="32"/>
          <w:shd w:val="clear" w:fill="FFFFFF"/>
        </w:rPr>
      </w:pPr>
      <w:r>
        <w:rPr>
          <w:rFonts w:hint="eastAsia" w:ascii="仿宋_GB2312" w:hAnsi="微软雅黑" w:eastAsia="仿宋_GB2312" w:cs="仿宋_GB2312"/>
          <w:i w:val="0"/>
          <w:iCs w:val="0"/>
          <w:caps w:val="0"/>
          <w:color w:val="000000"/>
          <w:spacing w:val="0"/>
          <w:sz w:val="32"/>
          <w:szCs w:val="32"/>
          <w:shd w:val="clear" w:fill="FFFFFF"/>
        </w:rPr>
        <w:t>2025年部门（单位）预算表（具体明细见附表） </w:t>
      </w:r>
    </w:p>
    <w:p w14:paraId="300A64A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仿宋_GB2312" w:hAnsi="微软雅黑" w:eastAsia="仿宋_GB2312" w:cs="仿宋_GB2312"/>
          <w:i w:val="0"/>
          <w:iCs w:val="0"/>
          <w:caps w:val="0"/>
          <w:color w:val="000000"/>
          <w:spacing w:val="0"/>
          <w:sz w:val="32"/>
          <w:szCs w:val="32"/>
          <w:shd w:val="clear" w:fill="FFFFFF"/>
        </w:rPr>
      </w:pPr>
    </w:p>
    <w:p w14:paraId="5420196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仿宋_GB2312" w:hAnsi="微软雅黑" w:eastAsia="仿宋_GB2312" w:cs="仿宋_GB2312"/>
          <w:i w:val="0"/>
          <w:iCs w:val="0"/>
          <w:caps w:val="0"/>
          <w:color w:val="000000"/>
          <w:spacing w:val="0"/>
          <w:sz w:val="32"/>
          <w:szCs w:val="32"/>
          <w:shd w:val="clear" w:fill="FFFFFF"/>
        </w:rPr>
      </w:pPr>
      <w:bookmarkStart w:id="0" w:name="_GoBack"/>
      <w:bookmarkEnd w:id="0"/>
    </w:p>
    <w:p w14:paraId="7923A59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仿宋_GB2312" w:hAnsi="微软雅黑" w:eastAsia="仿宋_GB2312" w:cs="仿宋_GB2312"/>
          <w:i w:val="0"/>
          <w:iCs w:val="0"/>
          <w:caps w:val="0"/>
          <w:color w:val="000000"/>
          <w:spacing w:val="0"/>
          <w:sz w:val="32"/>
          <w:szCs w:val="32"/>
          <w:shd w:val="clear" w:fill="FFFFFF"/>
        </w:rPr>
      </w:pPr>
    </w:p>
    <w:p w14:paraId="2AEC6D0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仿宋_GB2312" w:hAnsi="微软雅黑" w:eastAsia="仿宋_GB2312" w:cs="仿宋_GB2312"/>
          <w:i w:val="0"/>
          <w:iCs w:val="0"/>
          <w:caps w:val="0"/>
          <w:color w:val="000000"/>
          <w:spacing w:val="0"/>
          <w:sz w:val="32"/>
          <w:szCs w:val="32"/>
          <w:shd w:val="clear" w:fill="FFFFFF"/>
        </w:rPr>
      </w:pPr>
    </w:p>
    <w:p w14:paraId="26F2F8F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仿宋_GB2312" w:hAnsi="微软雅黑" w:eastAsia="仿宋_GB2312" w:cs="仿宋_GB2312"/>
          <w:i w:val="0"/>
          <w:iCs w:val="0"/>
          <w:caps w:val="0"/>
          <w:color w:val="000000"/>
          <w:spacing w:val="0"/>
          <w:sz w:val="32"/>
          <w:szCs w:val="32"/>
          <w:shd w:val="clear" w:fill="FFFFFF"/>
        </w:rPr>
      </w:pPr>
    </w:p>
    <w:p w14:paraId="7C2729E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第四部分</w:t>
      </w:r>
      <w:r>
        <w:rPr>
          <w:rFonts w:hint="eastAsia" w:ascii="宋体" w:hAnsi="宋体" w:eastAsia="宋体" w:cs="宋体"/>
          <w:b/>
          <w:bCs/>
          <w:i w:val="0"/>
          <w:iCs w:val="0"/>
          <w:caps w:val="0"/>
          <w:color w:val="000000"/>
          <w:spacing w:val="0"/>
          <w:sz w:val="32"/>
          <w:szCs w:val="32"/>
          <w:shd w:val="clear" w:fill="FFFFFF"/>
        </w:rPr>
        <w:t> </w:t>
      </w:r>
      <w:r>
        <w:rPr>
          <w:rFonts w:hint="eastAsia" w:ascii="楷体" w:hAnsi="楷体" w:eastAsia="楷体" w:cs="楷体"/>
          <w:b/>
          <w:bCs/>
          <w:i w:val="0"/>
          <w:iCs w:val="0"/>
          <w:caps w:val="0"/>
          <w:color w:val="000000"/>
          <w:spacing w:val="0"/>
          <w:sz w:val="32"/>
          <w:szCs w:val="32"/>
          <w:shd w:val="clear" w:fill="FFFFFF"/>
        </w:rPr>
        <w:t>部门（单位）预算情况说明</w:t>
      </w:r>
    </w:p>
    <w:p w14:paraId="32C5D8A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    一、收支预算的总体说明</w:t>
      </w:r>
      <w:r>
        <w:rPr>
          <w:rFonts w:hint="eastAsia" w:ascii="楷体" w:hAnsi="楷体" w:eastAsia="楷体" w:cs="楷体"/>
          <w:i w:val="0"/>
          <w:iCs w:val="0"/>
          <w:caps w:val="0"/>
          <w:color w:val="000000"/>
          <w:spacing w:val="0"/>
          <w:sz w:val="32"/>
          <w:szCs w:val="32"/>
          <w:shd w:val="clear" w:fill="FFFFFF"/>
        </w:rPr>
        <w:t> </w:t>
      </w:r>
    </w:p>
    <w:p w14:paraId="3C6239E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按照综合预算的原则，</w:t>
      </w:r>
      <w:r>
        <w:rPr>
          <w:rFonts w:hint="eastAsia" w:ascii="仿宋_GB2312" w:hAnsi="微软雅黑" w:eastAsia="仿宋_GB2312" w:cs="仿宋_GB2312"/>
          <w:i w:val="0"/>
          <w:iCs w:val="0"/>
          <w:caps w:val="0"/>
          <w:color w:val="000000"/>
          <w:spacing w:val="0"/>
          <w:sz w:val="32"/>
          <w:szCs w:val="32"/>
          <w:shd w:val="clear" w:fill="FFFFFF"/>
          <w:lang w:val="en-US" w:eastAsia="zh-CN"/>
        </w:rPr>
        <w:t>鞍山市千山区残疾人联合会</w:t>
      </w:r>
      <w:r>
        <w:rPr>
          <w:rFonts w:hint="eastAsia" w:ascii="仿宋_GB2312" w:hAnsi="微软雅黑" w:eastAsia="仿宋_GB2312" w:cs="仿宋_GB2312"/>
          <w:i w:val="0"/>
          <w:iCs w:val="0"/>
          <w:caps w:val="0"/>
          <w:color w:val="000000"/>
          <w:spacing w:val="0"/>
          <w:sz w:val="32"/>
          <w:szCs w:val="32"/>
          <w:shd w:val="clear" w:fill="FFFFFF"/>
        </w:rPr>
        <w:t>部门及所属单位所有收入和支出均纳入部门预算管理，2025年收支总预算12</w:t>
      </w:r>
      <w:r>
        <w:rPr>
          <w:rFonts w:hint="eastAsia" w:ascii="仿宋_GB2312" w:hAnsi="微软雅黑" w:eastAsia="仿宋_GB2312" w:cs="仿宋_GB2312"/>
          <w:i w:val="0"/>
          <w:iCs w:val="0"/>
          <w:caps w:val="0"/>
          <w:color w:val="000000"/>
          <w:spacing w:val="0"/>
          <w:sz w:val="32"/>
          <w:szCs w:val="32"/>
          <w:shd w:val="clear" w:fill="FFFFFF"/>
          <w:lang w:val="en-US" w:eastAsia="zh-CN"/>
        </w:rPr>
        <w:t>9.54</w:t>
      </w:r>
      <w:r>
        <w:rPr>
          <w:rFonts w:hint="eastAsia" w:ascii="仿宋_GB2312" w:hAnsi="微软雅黑" w:eastAsia="仿宋_GB2312" w:cs="仿宋_GB2312"/>
          <w:i w:val="0"/>
          <w:iCs w:val="0"/>
          <w:caps w:val="0"/>
          <w:color w:val="000000"/>
          <w:spacing w:val="0"/>
          <w:sz w:val="32"/>
          <w:szCs w:val="32"/>
          <w:shd w:val="clear" w:fill="FFFFFF"/>
        </w:rPr>
        <w:t>万元。</w:t>
      </w:r>
    </w:p>
    <w:p w14:paraId="3DF9294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（一）收入预算12</w:t>
      </w:r>
      <w:r>
        <w:rPr>
          <w:rFonts w:hint="eastAsia" w:ascii="仿宋_GB2312" w:hAnsi="微软雅黑" w:eastAsia="仿宋_GB2312" w:cs="仿宋_GB2312"/>
          <w:i w:val="0"/>
          <w:iCs w:val="0"/>
          <w:caps w:val="0"/>
          <w:color w:val="000000"/>
          <w:spacing w:val="0"/>
          <w:sz w:val="32"/>
          <w:szCs w:val="32"/>
          <w:shd w:val="clear" w:fill="FFFFFF"/>
          <w:lang w:val="en-US" w:eastAsia="zh-CN"/>
        </w:rPr>
        <w:t>9.54</w:t>
      </w:r>
      <w:r>
        <w:rPr>
          <w:rFonts w:hint="eastAsia" w:ascii="仿宋_GB2312" w:hAnsi="微软雅黑" w:eastAsia="仿宋_GB2312" w:cs="仿宋_GB2312"/>
          <w:i w:val="0"/>
          <w:iCs w:val="0"/>
          <w:caps w:val="0"/>
          <w:color w:val="000000"/>
          <w:spacing w:val="0"/>
          <w:sz w:val="32"/>
          <w:szCs w:val="32"/>
          <w:shd w:val="clear" w:fill="FFFFFF"/>
        </w:rPr>
        <w:t>万元，其中：</w:t>
      </w:r>
    </w:p>
    <w:p w14:paraId="140E477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1.一般公共预算拨款收入120</w:t>
      </w:r>
      <w:r>
        <w:rPr>
          <w:rFonts w:hint="eastAsia" w:ascii="仿宋_GB2312" w:hAnsi="微软雅黑" w:eastAsia="仿宋_GB2312" w:cs="仿宋_GB2312"/>
          <w:i w:val="0"/>
          <w:iCs w:val="0"/>
          <w:caps w:val="0"/>
          <w:color w:val="000000"/>
          <w:spacing w:val="0"/>
          <w:sz w:val="32"/>
          <w:szCs w:val="32"/>
          <w:shd w:val="clear" w:fill="FFFFFF"/>
          <w:lang w:val="en-US" w:eastAsia="zh-CN"/>
        </w:rPr>
        <w:t>9.54</w:t>
      </w:r>
      <w:r>
        <w:rPr>
          <w:rFonts w:hint="eastAsia" w:ascii="仿宋_GB2312" w:hAnsi="微软雅黑" w:eastAsia="仿宋_GB2312" w:cs="仿宋_GB2312"/>
          <w:i w:val="0"/>
          <w:iCs w:val="0"/>
          <w:caps w:val="0"/>
          <w:color w:val="000000"/>
          <w:spacing w:val="0"/>
          <w:sz w:val="32"/>
          <w:szCs w:val="32"/>
          <w:shd w:val="clear" w:fill="FFFFFF"/>
        </w:rPr>
        <w:t>万元；</w:t>
      </w:r>
    </w:p>
    <w:p w14:paraId="64B9DBB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2.政府性基金预算拨款收入</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w:t>
      </w:r>
    </w:p>
    <w:p w14:paraId="008867A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3.国有资本经营预算拨款收入</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 </w:t>
      </w:r>
    </w:p>
    <w:p w14:paraId="1FDDD7D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4.财政专户管理资金收入</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w:t>
      </w:r>
    </w:p>
    <w:p w14:paraId="663FAAC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5.单位资金收入</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w:t>
      </w:r>
    </w:p>
    <w:p w14:paraId="06D9138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6.上年结转结余</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w:t>
      </w:r>
    </w:p>
    <w:p w14:paraId="16573EF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（二）支出预算12</w:t>
      </w:r>
      <w:r>
        <w:rPr>
          <w:rFonts w:hint="eastAsia" w:ascii="仿宋_GB2312" w:hAnsi="微软雅黑" w:eastAsia="仿宋_GB2312" w:cs="仿宋_GB2312"/>
          <w:i w:val="0"/>
          <w:iCs w:val="0"/>
          <w:caps w:val="0"/>
          <w:color w:val="000000"/>
          <w:spacing w:val="0"/>
          <w:sz w:val="32"/>
          <w:szCs w:val="32"/>
          <w:shd w:val="clear" w:fill="FFFFFF"/>
          <w:lang w:val="en-US" w:eastAsia="zh-CN"/>
        </w:rPr>
        <w:t>9.54</w:t>
      </w:r>
      <w:r>
        <w:rPr>
          <w:rFonts w:hint="eastAsia" w:ascii="仿宋_GB2312" w:hAnsi="微软雅黑" w:eastAsia="仿宋_GB2312" w:cs="仿宋_GB2312"/>
          <w:i w:val="0"/>
          <w:iCs w:val="0"/>
          <w:caps w:val="0"/>
          <w:color w:val="000000"/>
          <w:spacing w:val="0"/>
          <w:sz w:val="32"/>
          <w:szCs w:val="32"/>
          <w:shd w:val="clear" w:fill="FFFFFF"/>
        </w:rPr>
        <w:t>万元，其中：</w:t>
      </w:r>
    </w:p>
    <w:p w14:paraId="400DE63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1.基本支出125.39万元；</w:t>
      </w:r>
    </w:p>
    <w:p w14:paraId="124C6C5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2.项目支出4.15万元。</w:t>
      </w:r>
    </w:p>
    <w:p w14:paraId="3E9809D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在支出预算中，其中社会保障和就业支出114.35万元，</w:t>
      </w:r>
      <w:r>
        <w:rPr>
          <w:rFonts w:hint="eastAsia" w:ascii="仿宋_GB2312" w:hAnsi="微软雅黑" w:eastAsia="仿宋_GB2312" w:cs="仿宋_GB2312"/>
          <w:i w:val="0"/>
          <w:iCs w:val="0"/>
          <w:caps w:val="0"/>
          <w:color w:val="000000"/>
          <w:spacing w:val="0"/>
          <w:sz w:val="32"/>
          <w:szCs w:val="32"/>
          <w:shd w:val="clear" w:fill="FFFFFF"/>
          <w:lang w:val="en-US" w:eastAsia="zh-CN"/>
        </w:rPr>
        <w:t>卫生健康支出6.06万元，</w:t>
      </w:r>
      <w:r>
        <w:rPr>
          <w:rFonts w:hint="eastAsia" w:ascii="仿宋_GB2312" w:hAnsi="微软雅黑" w:eastAsia="仿宋_GB2312" w:cs="仿宋_GB2312"/>
          <w:i w:val="0"/>
          <w:iCs w:val="0"/>
          <w:caps w:val="0"/>
          <w:color w:val="000000"/>
          <w:spacing w:val="0"/>
          <w:sz w:val="32"/>
          <w:szCs w:val="32"/>
          <w:shd w:val="clear" w:fill="FFFFFF"/>
        </w:rPr>
        <w:t>住房保障支出9.13万元。</w:t>
      </w:r>
    </w:p>
    <w:p w14:paraId="1393A8E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在支出预算中，其中机关运行经费支出129.54万元，债务支出</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万元，国有资本经营预算支出</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万元，政府采购支出</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万元，政府购买服务支出</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w:t>
      </w:r>
    </w:p>
    <w:p w14:paraId="74FCC92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60"/>
        <w:rPr>
          <w:rFonts w:hint="default" w:ascii="微软雅黑" w:hAnsi="微软雅黑" w:eastAsia="仿宋_GB2312" w:cs="微软雅黑"/>
          <w:i w:val="0"/>
          <w:iCs w:val="0"/>
          <w:caps w:val="0"/>
          <w:color w:val="000000"/>
          <w:spacing w:val="0"/>
          <w:sz w:val="24"/>
          <w:szCs w:val="24"/>
          <w:lang w:val="en-US" w:eastAsia="zh-CN"/>
        </w:rPr>
      </w:pPr>
      <w:r>
        <w:rPr>
          <w:rFonts w:hint="eastAsia" w:ascii="仿宋_GB2312" w:hAnsi="微软雅黑" w:eastAsia="仿宋_GB2312" w:cs="仿宋_GB2312"/>
          <w:i w:val="0"/>
          <w:iCs w:val="0"/>
          <w:caps w:val="0"/>
          <w:color w:val="000000"/>
          <w:spacing w:val="0"/>
          <w:sz w:val="32"/>
          <w:szCs w:val="32"/>
          <w:shd w:val="clear" w:fill="FFFFFF"/>
        </w:rPr>
        <w:t>收支预算增减情况。2025年，</w:t>
      </w:r>
      <w:r>
        <w:rPr>
          <w:rFonts w:hint="eastAsia" w:ascii="仿宋_GB2312" w:hAnsi="微软雅黑" w:eastAsia="仿宋_GB2312" w:cs="仿宋_GB2312"/>
          <w:i w:val="0"/>
          <w:iCs w:val="0"/>
          <w:caps w:val="0"/>
          <w:color w:val="000000"/>
          <w:spacing w:val="0"/>
          <w:sz w:val="32"/>
          <w:szCs w:val="32"/>
          <w:shd w:val="clear" w:fill="FFFFFF"/>
          <w:lang w:val="en-US" w:eastAsia="zh-CN"/>
        </w:rPr>
        <w:t>鞍山市千山区残疾人联合会</w:t>
      </w:r>
      <w:r>
        <w:rPr>
          <w:rFonts w:hint="eastAsia" w:ascii="仿宋_GB2312" w:hAnsi="微软雅黑" w:eastAsia="仿宋_GB2312" w:cs="仿宋_GB2312"/>
          <w:i w:val="0"/>
          <w:iCs w:val="0"/>
          <w:caps w:val="0"/>
          <w:color w:val="000000"/>
          <w:spacing w:val="0"/>
          <w:sz w:val="32"/>
          <w:szCs w:val="32"/>
          <w:shd w:val="clear" w:fill="FFFFFF"/>
        </w:rPr>
        <w:t>部门及所属单位部门收支预算129.54万元，比上年</w:t>
      </w:r>
      <w:r>
        <w:rPr>
          <w:rFonts w:hint="eastAsia" w:ascii="仿宋_GB2312" w:hAnsi="微软雅黑" w:eastAsia="仿宋_GB2312" w:cs="仿宋_GB2312"/>
          <w:i w:val="0"/>
          <w:iCs w:val="0"/>
          <w:caps w:val="0"/>
          <w:color w:val="000000"/>
          <w:spacing w:val="0"/>
          <w:sz w:val="32"/>
          <w:szCs w:val="32"/>
          <w:shd w:val="clear" w:fill="FFFFFF"/>
          <w:lang w:val="en-US" w:eastAsia="zh-CN"/>
        </w:rPr>
        <w:t>增加24.19</w:t>
      </w:r>
      <w:r>
        <w:rPr>
          <w:rFonts w:hint="eastAsia" w:ascii="仿宋_GB2312" w:hAnsi="微软雅黑" w:eastAsia="仿宋_GB2312" w:cs="仿宋_GB2312"/>
          <w:i w:val="0"/>
          <w:iCs w:val="0"/>
          <w:caps w:val="0"/>
          <w:color w:val="000000"/>
          <w:spacing w:val="0"/>
          <w:sz w:val="32"/>
          <w:szCs w:val="32"/>
          <w:shd w:val="clear" w:fill="FFFFFF"/>
        </w:rPr>
        <w:t>万元</w:t>
      </w:r>
      <w:r>
        <w:rPr>
          <w:rFonts w:hint="eastAsia" w:ascii="仿宋_GB2312" w:hAnsi="微软雅黑" w:eastAsia="仿宋_GB2312" w:cs="仿宋_GB2312"/>
          <w:i w:val="0"/>
          <w:iCs w:val="0"/>
          <w:caps w:val="0"/>
          <w:color w:val="000000"/>
          <w:spacing w:val="0"/>
          <w:sz w:val="32"/>
          <w:szCs w:val="32"/>
          <w:shd w:val="clear" w:fill="FFFFFF"/>
          <w:lang w:eastAsia="zh-CN"/>
        </w:rPr>
        <w:t>，</w:t>
      </w:r>
      <w:r>
        <w:rPr>
          <w:rFonts w:hint="eastAsia" w:ascii="仿宋_GB2312" w:hAnsi="微软雅黑" w:eastAsia="仿宋_GB2312" w:cs="仿宋_GB2312"/>
          <w:i w:val="0"/>
          <w:iCs w:val="0"/>
          <w:caps w:val="0"/>
          <w:color w:val="000000"/>
          <w:spacing w:val="0"/>
          <w:sz w:val="32"/>
          <w:szCs w:val="32"/>
          <w:shd w:val="clear" w:fill="FFFFFF"/>
          <w:lang w:val="en-US" w:eastAsia="zh-CN"/>
        </w:rPr>
        <w:t>增长22.96</w:t>
      </w:r>
      <w:r>
        <w:rPr>
          <w:rFonts w:hint="eastAsia" w:ascii="仿宋_GB2312" w:hAnsi="微软雅黑" w:eastAsia="仿宋_GB2312" w:cs="仿宋_GB2312"/>
          <w:i w:val="0"/>
          <w:iCs w:val="0"/>
          <w:caps w:val="0"/>
          <w:color w:val="000000"/>
          <w:spacing w:val="0"/>
          <w:sz w:val="32"/>
          <w:szCs w:val="32"/>
          <w:shd w:val="clear" w:fill="FFFFFF"/>
        </w:rPr>
        <w:t>%，</w:t>
      </w:r>
      <w:r>
        <w:rPr>
          <w:rFonts w:hint="eastAsia" w:ascii="仿宋_GB2312" w:hAnsi="微软雅黑" w:eastAsia="仿宋_GB2312" w:cs="仿宋_GB2312"/>
          <w:i w:val="0"/>
          <w:iCs w:val="0"/>
          <w:caps w:val="0"/>
          <w:color w:val="000000"/>
          <w:spacing w:val="0"/>
          <w:sz w:val="32"/>
          <w:szCs w:val="32"/>
          <w:shd w:val="clear" w:fill="FFFFFF"/>
          <w:lang w:val="en-US" w:eastAsia="zh-CN"/>
        </w:rPr>
        <w:t>增长</w:t>
      </w:r>
      <w:r>
        <w:rPr>
          <w:rFonts w:hint="eastAsia" w:ascii="仿宋_GB2312" w:hAnsi="微软雅黑" w:eastAsia="仿宋_GB2312" w:cs="仿宋_GB2312"/>
          <w:i w:val="0"/>
          <w:iCs w:val="0"/>
          <w:caps w:val="0"/>
          <w:color w:val="000000"/>
          <w:spacing w:val="0"/>
          <w:sz w:val="32"/>
          <w:szCs w:val="32"/>
          <w:shd w:val="clear" w:fill="FFFFFF"/>
        </w:rPr>
        <w:t>的主要原因：</w:t>
      </w:r>
      <w:r>
        <w:rPr>
          <w:rFonts w:hint="eastAsia" w:ascii="仿宋_GB2312" w:hAnsi="微软雅黑" w:eastAsia="仿宋_GB2312" w:cs="仿宋_GB2312"/>
          <w:i w:val="0"/>
          <w:iCs w:val="0"/>
          <w:caps w:val="0"/>
          <w:color w:val="000000"/>
          <w:spacing w:val="0"/>
          <w:sz w:val="32"/>
          <w:szCs w:val="32"/>
          <w:shd w:val="clear" w:fill="FFFFFF"/>
          <w:lang w:val="en-US" w:eastAsia="zh-CN"/>
        </w:rPr>
        <w:t>1.残疾人联合会下属事业单位残疾人服务中心新招录一名工作人员。2.残疾人联合会本级本年度新增项目预算。</w:t>
      </w:r>
    </w:p>
    <w:p w14:paraId="60EA3B4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w:t>
      </w:r>
      <w:r>
        <w:rPr>
          <w:rFonts w:hint="eastAsia" w:ascii="楷体" w:hAnsi="楷体" w:eastAsia="楷体" w:cs="楷体"/>
          <w:b/>
          <w:bCs/>
          <w:i w:val="0"/>
          <w:iCs w:val="0"/>
          <w:caps w:val="0"/>
          <w:color w:val="000000"/>
          <w:spacing w:val="0"/>
          <w:sz w:val="32"/>
          <w:szCs w:val="32"/>
          <w:shd w:val="clear" w:fill="FFFFFF"/>
        </w:rPr>
        <w:t>  二、财政拨款收支预算情况说明</w:t>
      </w:r>
      <w:r>
        <w:rPr>
          <w:rFonts w:hint="eastAsia" w:ascii="楷体" w:hAnsi="楷体" w:eastAsia="楷体" w:cs="楷体"/>
          <w:i w:val="0"/>
          <w:iCs w:val="0"/>
          <w:caps w:val="0"/>
          <w:color w:val="000000"/>
          <w:spacing w:val="0"/>
          <w:sz w:val="32"/>
          <w:szCs w:val="32"/>
          <w:shd w:val="clear" w:fill="FFFFFF"/>
        </w:rPr>
        <w:t> </w:t>
      </w:r>
    </w:p>
    <w:p w14:paraId="2C3654E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w:t>
      </w:r>
      <w:r>
        <w:rPr>
          <w:rFonts w:hint="eastAsia" w:ascii="仿宋_GB2312" w:hAnsi="微软雅黑" w:eastAsia="仿宋_GB2312" w:cs="仿宋_GB2312"/>
          <w:i w:val="0"/>
          <w:iCs w:val="0"/>
          <w:caps w:val="0"/>
          <w:color w:val="000000"/>
          <w:spacing w:val="0"/>
          <w:sz w:val="32"/>
          <w:szCs w:val="32"/>
          <w:shd w:val="clear" w:fill="FFFFFF"/>
          <w:lang w:val="en-US" w:eastAsia="zh-CN"/>
        </w:rPr>
        <w:t>鞍山市千山区残疾人联合会</w:t>
      </w:r>
      <w:r>
        <w:rPr>
          <w:rFonts w:hint="eastAsia" w:ascii="仿宋_GB2312" w:hAnsi="微软雅黑" w:eastAsia="仿宋_GB2312" w:cs="仿宋_GB2312"/>
          <w:i w:val="0"/>
          <w:iCs w:val="0"/>
          <w:caps w:val="0"/>
          <w:color w:val="000000"/>
          <w:spacing w:val="0"/>
          <w:sz w:val="32"/>
          <w:szCs w:val="32"/>
          <w:shd w:val="clear" w:fill="FFFFFF"/>
        </w:rPr>
        <w:t>部门及所属单位2025年财政拨款收支总预算129.54万元。收入预算为一般公共预算拨款，无政府性基金预算拨款和国有资本经营预算拨款，包括：当年财政拨款收入129.54万元，上年结转结余</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万元；支出预算按功能支出包括：社会保障和就业支出114.35万元、</w:t>
      </w:r>
      <w:r>
        <w:rPr>
          <w:rFonts w:hint="eastAsia" w:ascii="仿宋_GB2312" w:hAnsi="微软雅黑" w:eastAsia="仿宋_GB2312" w:cs="仿宋_GB2312"/>
          <w:i w:val="0"/>
          <w:iCs w:val="0"/>
          <w:caps w:val="0"/>
          <w:color w:val="000000"/>
          <w:spacing w:val="0"/>
          <w:sz w:val="32"/>
          <w:szCs w:val="32"/>
          <w:shd w:val="clear" w:fill="FFFFFF"/>
          <w:lang w:val="en-US" w:eastAsia="zh-CN"/>
        </w:rPr>
        <w:t>卫生健康支出6.06万元、</w:t>
      </w:r>
      <w:r>
        <w:rPr>
          <w:rFonts w:hint="eastAsia" w:ascii="仿宋_GB2312" w:hAnsi="微软雅黑" w:eastAsia="仿宋_GB2312" w:cs="仿宋_GB2312"/>
          <w:i w:val="0"/>
          <w:iCs w:val="0"/>
          <w:caps w:val="0"/>
          <w:color w:val="000000"/>
          <w:spacing w:val="0"/>
          <w:sz w:val="32"/>
          <w:szCs w:val="32"/>
          <w:shd w:val="clear" w:fill="FFFFFF"/>
        </w:rPr>
        <w:t>住房保障支出9.13万元；按经济支出包括:工资福利支出113.11万元，商品和服务支出7.75万元，对个人和家庭的补助4.53万元，项目支出4.15万元。 </w:t>
      </w:r>
    </w:p>
    <w:p w14:paraId="663189B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60"/>
        <w:rPr>
          <w:rFonts w:hint="default" w:ascii="微软雅黑" w:hAnsi="微软雅黑" w:eastAsia="仿宋_GB2312" w:cs="微软雅黑"/>
          <w:i w:val="0"/>
          <w:iCs w:val="0"/>
          <w:caps w:val="0"/>
          <w:color w:val="000000"/>
          <w:spacing w:val="0"/>
          <w:sz w:val="24"/>
          <w:szCs w:val="24"/>
          <w:lang w:val="en-US" w:eastAsia="zh-CN"/>
        </w:rPr>
      </w:pPr>
      <w:r>
        <w:rPr>
          <w:rFonts w:hint="eastAsia" w:ascii="仿宋_GB2312" w:hAnsi="微软雅黑" w:eastAsia="仿宋_GB2312" w:cs="仿宋_GB2312"/>
          <w:i w:val="0"/>
          <w:iCs w:val="0"/>
          <w:caps w:val="0"/>
          <w:color w:val="000000"/>
          <w:spacing w:val="0"/>
          <w:sz w:val="32"/>
          <w:szCs w:val="32"/>
          <w:shd w:val="clear" w:fill="FFFFFF"/>
        </w:rPr>
        <w:t>    财政拨款收支预算增减情况。2025年，</w:t>
      </w:r>
      <w:r>
        <w:rPr>
          <w:rFonts w:hint="eastAsia" w:ascii="仿宋_GB2312" w:hAnsi="微软雅黑" w:eastAsia="仿宋_GB2312" w:cs="仿宋_GB2312"/>
          <w:i w:val="0"/>
          <w:iCs w:val="0"/>
          <w:caps w:val="0"/>
          <w:color w:val="000000"/>
          <w:spacing w:val="0"/>
          <w:sz w:val="32"/>
          <w:szCs w:val="32"/>
          <w:shd w:val="clear" w:fill="FFFFFF"/>
          <w:lang w:val="en-US" w:eastAsia="zh-CN"/>
        </w:rPr>
        <w:t>鞍山市千山区残疾人联合会</w:t>
      </w:r>
      <w:r>
        <w:rPr>
          <w:rFonts w:hint="eastAsia" w:ascii="仿宋_GB2312" w:hAnsi="微软雅黑" w:eastAsia="仿宋_GB2312" w:cs="仿宋_GB2312"/>
          <w:i w:val="0"/>
          <w:iCs w:val="0"/>
          <w:caps w:val="0"/>
          <w:color w:val="000000"/>
          <w:spacing w:val="0"/>
          <w:sz w:val="32"/>
          <w:szCs w:val="32"/>
          <w:shd w:val="clear" w:fill="FFFFFF"/>
        </w:rPr>
        <w:t>部门及所属单位部门财政拨款收支预算129.54万元，比上年</w:t>
      </w:r>
      <w:r>
        <w:rPr>
          <w:rFonts w:hint="eastAsia" w:ascii="仿宋_GB2312" w:hAnsi="微软雅黑" w:eastAsia="仿宋_GB2312" w:cs="仿宋_GB2312"/>
          <w:i w:val="0"/>
          <w:iCs w:val="0"/>
          <w:caps w:val="0"/>
          <w:color w:val="000000"/>
          <w:spacing w:val="0"/>
          <w:sz w:val="32"/>
          <w:szCs w:val="32"/>
          <w:shd w:val="clear" w:fill="FFFFFF"/>
          <w:lang w:val="en-US" w:eastAsia="zh-CN"/>
        </w:rPr>
        <w:t>增加24.19</w:t>
      </w:r>
      <w:r>
        <w:rPr>
          <w:rFonts w:hint="eastAsia" w:ascii="仿宋_GB2312" w:hAnsi="微软雅黑" w:eastAsia="仿宋_GB2312" w:cs="仿宋_GB2312"/>
          <w:i w:val="0"/>
          <w:iCs w:val="0"/>
          <w:caps w:val="0"/>
          <w:color w:val="000000"/>
          <w:spacing w:val="0"/>
          <w:sz w:val="32"/>
          <w:szCs w:val="32"/>
          <w:shd w:val="clear" w:fill="FFFFFF"/>
        </w:rPr>
        <w:t>万元</w:t>
      </w:r>
      <w:r>
        <w:rPr>
          <w:rFonts w:hint="eastAsia" w:ascii="仿宋_GB2312" w:hAnsi="微软雅黑" w:eastAsia="仿宋_GB2312" w:cs="仿宋_GB2312"/>
          <w:i w:val="0"/>
          <w:iCs w:val="0"/>
          <w:caps w:val="0"/>
          <w:color w:val="000000"/>
          <w:spacing w:val="0"/>
          <w:sz w:val="32"/>
          <w:szCs w:val="32"/>
          <w:shd w:val="clear" w:fill="FFFFFF"/>
          <w:lang w:eastAsia="zh-CN"/>
        </w:rPr>
        <w:t>，</w:t>
      </w:r>
      <w:r>
        <w:rPr>
          <w:rFonts w:hint="eastAsia" w:ascii="仿宋_GB2312" w:hAnsi="微软雅黑" w:eastAsia="仿宋_GB2312" w:cs="仿宋_GB2312"/>
          <w:i w:val="0"/>
          <w:iCs w:val="0"/>
          <w:caps w:val="0"/>
          <w:color w:val="000000"/>
          <w:spacing w:val="0"/>
          <w:sz w:val="32"/>
          <w:szCs w:val="32"/>
          <w:shd w:val="clear" w:fill="FFFFFF"/>
          <w:lang w:val="en-US" w:eastAsia="zh-CN"/>
        </w:rPr>
        <w:t>增长22.96</w:t>
      </w:r>
      <w:r>
        <w:rPr>
          <w:rFonts w:hint="eastAsia" w:ascii="仿宋_GB2312" w:hAnsi="微软雅黑" w:eastAsia="仿宋_GB2312" w:cs="仿宋_GB2312"/>
          <w:i w:val="0"/>
          <w:iCs w:val="0"/>
          <w:caps w:val="0"/>
          <w:color w:val="000000"/>
          <w:spacing w:val="0"/>
          <w:sz w:val="32"/>
          <w:szCs w:val="32"/>
          <w:shd w:val="clear" w:fill="FFFFFF"/>
        </w:rPr>
        <w:t>%，</w:t>
      </w:r>
      <w:r>
        <w:rPr>
          <w:rFonts w:hint="eastAsia" w:ascii="仿宋_GB2312" w:hAnsi="微软雅黑" w:eastAsia="仿宋_GB2312" w:cs="仿宋_GB2312"/>
          <w:i w:val="0"/>
          <w:iCs w:val="0"/>
          <w:caps w:val="0"/>
          <w:color w:val="000000"/>
          <w:spacing w:val="0"/>
          <w:sz w:val="32"/>
          <w:szCs w:val="32"/>
          <w:shd w:val="clear" w:fill="FFFFFF"/>
          <w:lang w:val="en-US" w:eastAsia="zh-CN"/>
        </w:rPr>
        <w:t>增长</w:t>
      </w:r>
      <w:r>
        <w:rPr>
          <w:rFonts w:hint="eastAsia" w:ascii="仿宋_GB2312" w:hAnsi="微软雅黑" w:eastAsia="仿宋_GB2312" w:cs="仿宋_GB2312"/>
          <w:i w:val="0"/>
          <w:iCs w:val="0"/>
          <w:caps w:val="0"/>
          <w:color w:val="000000"/>
          <w:spacing w:val="0"/>
          <w:sz w:val="32"/>
          <w:szCs w:val="32"/>
          <w:shd w:val="clear" w:fill="FFFFFF"/>
        </w:rPr>
        <w:t>的主要原因：</w:t>
      </w:r>
      <w:r>
        <w:rPr>
          <w:rFonts w:hint="eastAsia" w:ascii="仿宋_GB2312" w:hAnsi="微软雅黑" w:eastAsia="仿宋_GB2312" w:cs="仿宋_GB2312"/>
          <w:i w:val="0"/>
          <w:iCs w:val="0"/>
          <w:caps w:val="0"/>
          <w:color w:val="000000"/>
          <w:spacing w:val="0"/>
          <w:sz w:val="32"/>
          <w:szCs w:val="32"/>
          <w:shd w:val="clear" w:fill="FFFFFF"/>
          <w:lang w:val="en-US" w:eastAsia="zh-CN"/>
        </w:rPr>
        <w:t>1.残疾人联合会下属事业单位残疾人服务中心新招录一名工作人员。2.残疾人联合会本级本年度新增项目预算。</w:t>
      </w:r>
    </w:p>
    <w:p w14:paraId="09726B2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60"/>
        <w:rPr>
          <w:rFonts w:hint="eastAsia" w:ascii="微软雅黑" w:hAnsi="微软雅黑" w:eastAsia="微软雅黑" w:cs="微软雅黑"/>
          <w:i w:val="0"/>
          <w:iCs w:val="0"/>
          <w:caps w:val="0"/>
          <w:color w:val="000000"/>
          <w:spacing w:val="0"/>
          <w:sz w:val="24"/>
          <w:szCs w:val="24"/>
        </w:rPr>
      </w:pPr>
    </w:p>
    <w:p w14:paraId="4C3F22B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p>
    <w:p w14:paraId="1672021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i w:val="0"/>
          <w:iCs w:val="0"/>
          <w:caps w:val="0"/>
          <w:color w:val="000000"/>
          <w:spacing w:val="0"/>
          <w:sz w:val="32"/>
          <w:szCs w:val="32"/>
          <w:shd w:val="clear" w:fill="FFFFFF"/>
        </w:rPr>
        <w:t>    三、</w:t>
      </w:r>
      <w:r>
        <w:rPr>
          <w:rFonts w:hint="eastAsia" w:ascii="楷体" w:hAnsi="楷体" w:eastAsia="楷体" w:cs="楷体"/>
          <w:b/>
          <w:bCs/>
          <w:i w:val="0"/>
          <w:iCs w:val="0"/>
          <w:caps w:val="0"/>
          <w:color w:val="000000"/>
          <w:spacing w:val="0"/>
          <w:sz w:val="32"/>
          <w:szCs w:val="32"/>
          <w:shd w:val="clear" w:fill="FFFFFF"/>
        </w:rPr>
        <w:t>一般公共预算基本支出情况说明</w:t>
      </w:r>
    </w:p>
    <w:p w14:paraId="54A7214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b/>
          <w:bCs/>
          <w:i w:val="0"/>
          <w:iCs w:val="0"/>
          <w:caps w:val="0"/>
          <w:color w:val="000000"/>
          <w:spacing w:val="0"/>
          <w:sz w:val="32"/>
          <w:szCs w:val="32"/>
          <w:shd w:val="clear" w:fill="FFFFFF"/>
        </w:rPr>
        <w:t>    </w:t>
      </w:r>
      <w:r>
        <w:rPr>
          <w:rFonts w:hint="eastAsia" w:ascii="仿宋_GB2312" w:hAnsi="微软雅黑" w:eastAsia="仿宋_GB2312" w:cs="仿宋_GB2312"/>
          <w:i w:val="0"/>
          <w:iCs w:val="0"/>
          <w:caps w:val="0"/>
          <w:color w:val="000000"/>
          <w:spacing w:val="0"/>
          <w:sz w:val="32"/>
          <w:szCs w:val="32"/>
          <w:shd w:val="clear" w:fill="FFFFFF"/>
          <w:lang w:val="en-US" w:eastAsia="zh-CN"/>
        </w:rPr>
        <w:t>鞍山市千山区残疾人联合会</w:t>
      </w:r>
      <w:r>
        <w:rPr>
          <w:rFonts w:hint="eastAsia" w:ascii="仿宋_GB2312" w:hAnsi="微软雅黑" w:eastAsia="仿宋_GB2312" w:cs="仿宋_GB2312"/>
          <w:i w:val="0"/>
          <w:iCs w:val="0"/>
          <w:caps w:val="0"/>
          <w:color w:val="000000"/>
          <w:spacing w:val="0"/>
          <w:sz w:val="32"/>
          <w:szCs w:val="32"/>
          <w:shd w:val="clear" w:fill="FFFFFF"/>
        </w:rPr>
        <w:t>部门及所属单位2025年一般公共预算基本支出129.54 万元，其中工资福利支</w:t>
      </w:r>
      <w:r>
        <w:rPr>
          <w:rFonts w:hint="eastAsia" w:ascii="仿宋_GB2312" w:hAnsi="微软雅黑" w:eastAsia="仿宋_GB2312" w:cs="仿宋_GB2312"/>
          <w:i w:val="0"/>
          <w:iCs w:val="0"/>
          <w:caps w:val="0"/>
          <w:color w:val="000000"/>
          <w:spacing w:val="0"/>
          <w:sz w:val="32"/>
          <w:szCs w:val="32"/>
          <w:shd w:val="clear" w:fill="FFFFFF"/>
          <w:lang w:val="en-US" w:eastAsia="zh-CN"/>
        </w:rPr>
        <w:t>出</w:t>
      </w:r>
      <w:r>
        <w:rPr>
          <w:rFonts w:hint="eastAsia" w:ascii="仿宋_GB2312" w:hAnsi="微软雅黑" w:eastAsia="仿宋_GB2312" w:cs="仿宋_GB2312"/>
          <w:i w:val="0"/>
          <w:iCs w:val="0"/>
          <w:caps w:val="0"/>
          <w:color w:val="000000"/>
          <w:spacing w:val="0"/>
          <w:sz w:val="32"/>
          <w:szCs w:val="32"/>
          <w:shd w:val="clear" w:fill="FFFFFF"/>
        </w:rPr>
        <w:t>113.11万元，商品和服务支出7.75万元，对个人和家庭补助支出4.53万元。</w:t>
      </w:r>
    </w:p>
    <w:p w14:paraId="6E2E3F9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人员经费（即工资福利支出与对个人和家庭补助支出之和）120.76万元，主要包括：基本工资、津贴补贴（含购房补贴、在职个人取暖费等）、奖金、绩效工资、机关事业单位基本养老保险、职业年金缴费、职工基本医疗保险缴费、住房公积金、其他社会保障缴费、其他工资福利支出、</w:t>
      </w:r>
      <w:r>
        <w:rPr>
          <w:rFonts w:hint="eastAsia" w:ascii="仿宋_GB2312" w:hAnsi="微软雅黑" w:eastAsia="仿宋_GB2312" w:cs="仿宋_GB2312"/>
          <w:i w:val="0"/>
          <w:iCs w:val="0"/>
          <w:caps w:val="0"/>
          <w:color w:val="000000"/>
          <w:spacing w:val="0"/>
          <w:sz w:val="31"/>
          <w:szCs w:val="31"/>
          <w:shd w:val="clear" w:fill="FFFFFF"/>
        </w:rPr>
        <w:t>离休费、退休费、抚恤金、生活补助、医疗费补助、奖励金、其他对个人和家庭的补助支出。</w:t>
      </w:r>
    </w:p>
    <w:p w14:paraId="13959EB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公用经费（即商品和服务支出）4.63万元，主要包括：办公费、印刷费、咨询费、手续费、水费、电费、邮电费、办公取暖费、物业管理费、差旅费、因公出国（境）费用、维修（护）费、租赁费、会议费、培训费、公务接待费、专用材料费、被装购置费、专用燃料费、劳务费、委托业务费、工会经费、福利费、公务用车运行维护费、其他交通费用和其他商品服务支出等。</w:t>
      </w:r>
    </w:p>
    <w:p w14:paraId="1FD2E0F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四、“三公”经费预算情况说明（请注意增减原因要与数字逻辑关系相符）</w:t>
      </w:r>
      <w:r>
        <w:rPr>
          <w:rFonts w:hint="eastAsia" w:ascii="楷体" w:hAnsi="楷体" w:eastAsia="楷体" w:cs="楷体"/>
          <w:i w:val="0"/>
          <w:iCs w:val="0"/>
          <w:caps w:val="0"/>
          <w:color w:val="000000"/>
          <w:spacing w:val="0"/>
          <w:sz w:val="32"/>
          <w:szCs w:val="32"/>
          <w:shd w:val="clear" w:fill="FFFFFF"/>
        </w:rPr>
        <w:t> </w:t>
      </w:r>
    </w:p>
    <w:p w14:paraId="1833CBC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2025年财政拨款预算安排的“三公”经费预算数</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万元，与上年持平，无增减变化。</w:t>
      </w:r>
    </w:p>
    <w:p w14:paraId="0510570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1.因公出国（境）费</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万元，与上年持平，无增减变化。</w:t>
      </w:r>
    </w:p>
    <w:p w14:paraId="5697616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378"/>
        <w:jc w:val="left"/>
        <w:rPr>
          <w:rFonts w:hint="eastAsia" w:ascii="仿宋_GB2312" w:hAnsi="微软雅黑" w:eastAsia="仿宋_GB2312" w:cs="仿宋_GB2312"/>
          <w:i w:val="0"/>
          <w:iCs w:val="0"/>
          <w:caps w:val="0"/>
          <w:color w:val="000000"/>
          <w:spacing w:val="0"/>
          <w:sz w:val="32"/>
          <w:szCs w:val="32"/>
          <w:shd w:val="clear" w:fill="FFFFFF"/>
        </w:rPr>
      </w:pPr>
      <w:r>
        <w:rPr>
          <w:rFonts w:hint="eastAsia" w:ascii="仿宋_GB2312" w:hAnsi="微软雅黑" w:eastAsia="仿宋_GB2312" w:cs="仿宋_GB2312"/>
          <w:i w:val="0"/>
          <w:iCs w:val="0"/>
          <w:caps w:val="0"/>
          <w:color w:val="000000"/>
          <w:spacing w:val="0"/>
          <w:sz w:val="32"/>
          <w:szCs w:val="32"/>
          <w:shd w:val="clear" w:fill="FFFFFF"/>
        </w:rPr>
        <w:t>2.公务接待费</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万元，与上年持平，无增减变化。</w:t>
      </w:r>
    </w:p>
    <w:p w14:paraId="4EFD64D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3.公务用车购置及运行费</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万元，与上年持平，无增减变化。</w:t>
      </w:r>
    </w:p>
    <w:p w14:paraId="61F79CB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（1）公务用车购置</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万元，与上年持平，无增减变化。</w:t>
      </w:r>
    </w:p>
    <w:p w14:paraId="4027F30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（2）公务用车运行费</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万元，与上年持平，无增减变化。</w:t>
      </w:r>
    </w:p>
    <w:p w14:paraId="06F219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2"/>
        <w:jc w:val="left"/>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五、其他重要事项情况说明</w:t>
      </w:r>
      <w:r>
        <w:rPr>
          <w:rFonts w:hint="eastAsia" w:ascii="楷体" w:hAnsi="楷体" w:eastAsia="楷体" w:cs="楷体"/>
          <w:i w:val="0"/>
          <w:iCs w:val="0"/>
          <w:caps w:val="0"/>
          <w:color w:val="000000"/>
          <w:spacing w:val="0"/>
          <w:sz w:val="32"/>
          <w:szCs w:val="32"/>
          <w:shd w:val="clear" w:fill="FFFFFF"/>
        </w:rPr>
        <w:t> </w:t>
      </w:r>
    </w:p>
    <w:p w14:paraId="281AA5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2"/>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（一）机关（事业）运行经费安排情况 </w:t>
      </w:r>
    </w:p>
    <w:p w14:paraId="33825ACF">
      <w:pPr>
        <w:widowControl/>
        <w:spacing w:line="560" w:lineRule="exact"/>
        <w:jc w:val="left"/>
        <w:rPr>
          <w:rFonts w:hint="eastAsia" w:ascii="仿宋_GB2312" w:hAnsi="宋体" w:eastAsia="仿宋_GB2312" w:cs="宋体"/>
          <w:kern w:val="0"/>
          <w:sz w:val="32"/>
          <w:szCs w:val="32"/>
        </w:rPr>
      </w:pPr>
      <w:r>
        <w:rPr>
          <w:rFonts w:hint="eastAsia" w:ascii="仿宋_GB2312" w:hAnsi="微软雅黑" w:eastAsia="仿宋_GB2312" w:cs="仿宋_GB2312"/>
          <w:i w:val="0"/>
          <w:iCs w:val="0"/>
          <w:caps w:val="0"/>
          <w:color w:val="000000"/>
          <w:spacing w:val="0"/>
          <w:sz w:val="32"/>
          <w:szCs w:val="32"/>
          <w:shd w:val="clear" w:fill="FFFFFF"/>
        </w:rPr>
        <w:t>    2025年机关（事业）运行经费预算为</w:t>
      </w:r>
      <w:r>
        <w:rPr>
          <w:rFonts w:hint="eastAsia" w:ascii="仿宋_GB2312" w:hAnsi="微软雅黑" w:eastAsia="仿宋_GB2312" w:cs="仿宋_GB2312"/>
          <w:i w:val="0"/>
          <w:iCs w:val="0"/>
          <w:caps w:val="0"/>
          <w:color w:val="000000"/>
          <w:spacing w:val="0"/>
          <w:sz w:val="32"/>
          <w:szCs w:val="32"/>
          <w:shd w:val="clear" w:fill="FFFFFF"/>
          <w:lang w:val="en-US" w:eastAsia="zh-CN"/>
        </w:rPr>
        <w:t>2.85</w:t>
      </w:r>
      <w:r>
        <w:rPr>
          <w:rFonts w:hint="eastAsia" w:ascii="仿宋_GB2312" w:hAnsi="微软雅黑" w:eastAsia="仿宋_GB2312" w:cs="仿宋_GB2312"/>
          <w:i w:val="0"/>
          <w:iCs w:val="0"/>
          <w:caps w:val="0"/>
          <w:color w:val="000000"/>
          <w:spacing w:val="0"/>
          <w:sz w:val="32"/>
          <w:szCs w:val="32"/>
          <w:shd w:val="clear" w:fill="FFFFFF"/>
        </w:rPr>
        <w:t>万元，主要包括本部门的办公及印刷费、邮电费、差旅费、会议费、福利费、日常维修费、专用材料及一般设备购置费、办公用房水电费、办公用房取暖费、办公用房物业管理费、公务用车运行维护费以及其他费用。比上年预算</w:t>
      </w:r>
      <w:r>
        <w:rPr>
          <w:rFonts w:hint="eastAsia" w:ascii="仿宋_GB2312" w:hAnsi="微软雅黑" w:eastAsia="仿宋_GB2312" w:cs="仿宋_GB2312"/>
          <w:i w:val="0"/>
          <w:iCs w:val="0"/>
          <w:caps w:val="0"/>
          <w:color w:val="000000"/>
          <w:spacing w:val="0"/>
          <w:sz w:val="32"/>
          <w:szCs w:val="32"/>
          <w:shd w:val="clear" w:fill="FFFFFF"/>
          <w:lang w:val="en-US" w:eastAsia="zh-CN"/>
        </w:rPr>
        <w:t>减少4.51</w:t>
      </w:r>
      <w:r>
        <w:rPr>
          <w:rFonts w:hint="eastAsia" w:ascii="仿宋_GB2312" w:hAnsi="微软雅黑" w:eastAsia="仿宋_GB2312" w:cs="仿宋_GB2312"/>
          <w:i w:val="0"/>
          <w:iCs w:val="0"/>
          <w:caps w:val="0"/>
          <w:color w:val="000000"/>
          <w:spacing w:val="0"/>
          <w:sz w:val="32"/>
          <w:szCs w:val="32"/>
          <w:shd w:val="clear" w:fill="FFFFFF"/>
        </w:rPr>
        <w:t>万元，</w:t>
      </w:r>
      <w:r>
        <w:rPr>
          <w:rFonts w:hint="eastAsia" w:ascii="仿宋_GB2312" w:hAnsi="微软雅黑" w:eastAsia="仿宋_GB2312" w:cs="仿宋_GB2312"/>
          <w:i w:val="0"/>
          <w:iCs w:val="0"/>
          <w:caps w:val="0"/>
          <w:color w:val="000000"/>
          <w:spacing w:val="0"/>
          <w:sz w:val="32"/>
          <w:szCs w:val="32"/>
          <w:shd w:val="clear" w:fill="FFFFFF"/>
          <w:lang w:val="en-US" w:eastAsia="zh-CN"/>
        </w:rPr>
        <w:t>增长61.27</w:t>
      </w:r>
      <w:r>
        <w:rPr>
          <w:rFonts w:hint="eastAsia" w:ascii="仿宋_GB2312" w:hAnsi="微软雅黑" w:eastAsia="仿宋_GB2312" w:cs="仿宋_GB2312"/>
          <w:i w:val="0"/>
          <w:iCs w:val="0"/>
          <w:caps w:val="0"/>
          <w:color w:val="000000"/>
          <w:spacing w:val="0"/>
          <w:sz w:val="32"/>
          <w:szCs w:val="32"/>
          <w:shd w:val="clear" w:fill="FFFFFF"/>
        </w:rPr>
        <w:t>%。主要是</w:t>
      </w:r>
      <w:r>
        <w:rPr>
          <w:rFonts w:ascii="仿宋_GB2312" w:hAnsi="宋体" w:eastAsia="仿宋_GB2312" w:cs="宋体"/>
          <w:kern w:val="0"/>
          <w:sz w:val="32"/>
          <w:szCs w:val="32"/>
        </w:rPr>
        <w:t>落实过紧日子要求，</w:t>
      </w:r>
      <w:r>
        <w:rPr>
          <w:rFonts w:hint="eastAsia" w:ascii="仿宋_GB2312" w:hAnsi="宋体" w:eastAsia="仿宋_GB2312" w:cs="宋体"/>
          <w:kern w:val="0"/>
          <w:sz w:val="32"/>
          <w:szCs w:val="32"/>
          <w:lang w:eastAsia="zh-CN"/>
        </w:rPr>
        <w:t>厉行勤俭节约，</w:t>
      </w:r>
      <w:r>
        <w:rPr>
          <w:rFonts w:ascii="仿宋_GB2312" w:hAnsi="宋体" w:eastAsia="仿宋_GB2312" w:cs="宋体"/>
          <w:kern w:val="0"/>
          <w:sz w:val="32"/>
          <w:szCs w:val="32"/>
        </w:rPr>
        <w:t>压减</w:t>
      </w:r>
      <w:r>
        <w:rPr>
          <w:rFonts w:hint="eastAsia" w:ascii="仿宋_GB2312" w:hAnsi="宋体" w:eastAsia="仿宋_GB2312" w:cs="宋体"/>
          <w:kern w:val="0"/>
          <w:sz w:val="32"/>
          <w:szCs w:val="32"/>
        </w:rPr>
        <w:t>一般性支出</w:t>
      </w:r>
      <w:r>
        <w:rPr>
          <w:rFonts w:ascii="仿宋_GB2312" w:hAnsi="宋体" w:eastAsia="仿宋_GB2312" w:cs="宋体"/>
          <w:kern w:val="0"/>
          <w:sz w:val="32"/>
          <w:szCs w:val="32"/>
        </w:rPr>
        <w:t>。</w:t>
      </w:r>
    </w:p>
    <w:p w14:paraId="43140D9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60"/>
        <w:rPr>
          <w:rFonts w:hint="eastAsia" w:ascii="微软雅黑" w:hAnsi="微软雅黑" w:eastAsia="微软雅黑" w:cs="微软雅黑"/>
          <w:i w:val="0"/>
          <w:iCs w:val="0"/>
          <w:caps w:val="0"/>
          <w:color w:val="000000"/>
          <w:spacing w:val="0"/>
          <w:sz w:val="24"/>
          <w:szCs w:val="24"/>
        </w:rPr>
      </w:pPr>
    </w:p>
    <w:p w14:paraId="6F56D2B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（二）政府采购预算安排情况 </w:t>
      </w:r>
    </w:p>
    <w:p w14:paraId="7EC51D6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2025年政府采购预算</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万元，其中：货物采购</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万元，工程采购</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万元，服务采购</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w:t>
      </w:r>
    </w:p>
    <w:p w14:paraId="3C810CB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（三）政府购买服务预算安排情况 </w:t>
      </w:r>
    </w:p>
    <w:p w14:paraId="6900D64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仿宋_GB2312" w:cs="微软雅黑"/>
          <w:i w:val="0"/>
          <w:iCs w:val="0"/>
          <w:caps w:val="0"/>
          <w:color w:val="000000"/>
          <w:spacing w:val="0"/>
          <w:sz w:val="24"/>
          <w:szCs w:val="24"/>
          <w:lang w:eastAsia="zh-CN"/>
        </w:rPr>
      </w:pPr>
      <w:r>
        <w:rPr>
          <w:rFonts w:hint="eastAsia" w:ascii="仿宋_GB2312" w:hAnsi="微软雅黑" w:eastAsia="仿宋_GB2312" w:cs="仿宋_GB2312"/>
          <w:i w:val="0"/>
          <w:iCs w:val="0"/>
          <w:caps w:val="0"/>
          <w:color w:val="000000"/>
          <w:spacing w:val="0"/>
          <w:sz w:val="32"/>
          <w:szCs w:val="32"/>
          <w:shd w:val="clear" w:fill="FFFFFF"/>
        </w:rPr>
        <w:t>    2025年政府购买服务预算</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w:t>
      </w:r>
      <w:r>
        <w:rPr>
          <w:rFonts w:hint="eastAsia" w:ascii="仿宋_GB2312" w:hAnsi="微软雅黑" w:eastAsia="仿宋_GB2312" w:cs="仿宋_GB2312"/>
          <w:i w:val="0"/>
          <w:iCs w:val="0"/>
          <w:caps w:val="0"/>
          <w:color w:val="000000"/>
          <w:spacing w:val="0"/>
          <w:sz w:val="32"/>
          <w:szCs w:val="32"/>
          <w:shd w:val="clear" w:fill="FFFFFF"/>
          <w:lang w:eastAsia="zh-CN"/>
        </w:rPr>
        <w:t>。</w:t>
      </w:r>
    </w:p>
    <w:p w14:paraId="394E26A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（四）国有资产占有使用情况 </w:t>
      </w:r>
    </w:p>
    <w:p w14:paraId="329C313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截至2024年12月，</w:t>
      </w:r>
      <w:r>
        <w:rPr>
          <w:rFonts w:hint="eastAsia" w:ascii="仿宋_GB2312" w:hAnsi="微软雅黑" w:eastAsia="仿宋_GB2312" w:cs="仿宋_GB2312"/>
          <w:i w:val="0"/>
          <w:iCs w:val="0"/>
          <w:caps w:val="0"/>
          <w:color w:val="000000"/>
          <w:spacing w:val="0"/>
          <w:sz w:val="32"/>
          <w:szCs w:val="32"/>
          <w:shd w:val="clear" w:fill="FFFFFF"/>
          <w:lang w:val="en-US" w:eastAsia="zh-CN"/>
        </w:rPr>
        <w:t>中共鞍山市千山区委社会工作部</w:t>
      </w:r>
      <w:r>
        <w:rPr>
          <w:rFonts w:hint="eastAsia" w:ascii="仿宋_GB2312" w:hAnsi="微软雅黑" w:eastAsia="仿宋_GB2312" w:cs="仿宋_GB2312"/>
          <w:i w:val="0"/>
          <w:iCs w:val="0"/>
          <w:caps w:val="0"/>
          <w:color w:val="000000"/>
          <w:spacing w:val="0"/>
          <w:sz w:val="32"/>
          <w:szCs w:val="32"/>
          <w:shd w:val="clear" w:fill="FFFFFF"/>
        </w:rPr>
        <w:t>及所属单位共有车辆</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辆，其中：部级领导干部用车</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辆、一般公务用车</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辆、一般执法执勤用车</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辆、特种专业技术用车</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辆，其他用车</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辆。</w:t>
      </w:r>
    </w:p>
    <w:p w14:paraId="211BB00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单位价值50万元以上有通用设备</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台（套），单位价值100万元以上专业设备</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台（套）。 </w:t>
      </w:r>
    </w:p>
    <w:p w14:paraId="1FB0320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2025年年初预算购置车辆</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台，金额</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w:t>
      </w:r>
    </w:p>
    <w:p w14:paraId="0C1E48A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（五）预算资金绩效目标情况 </w:t>
      </w:r>
    </w:p>
    <w:p w14:paraId="473BA83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根据预算绩效管理要求，2025年应编制部门（单位）整体绩效目标共</w:t>
      </w:r>
      <w:r>
        <w:rPr>
          <w:rFonts w:hint="eastAsia" w:ascii="仿宋_GB2312" w:hAnsi="微软雅黑" w:eastAsia="仿宋_GB2312" w:cs="仿宋_GB2312"/>
          <w:i w:val="0"/>
          <w:iCs w:val="0"/>
          <w:caps w:val="0"/>
          <w:color w:val="000000"/>
          <w:spacing w:val="0"/>
          <w:sz w:val="32"/>
          <w:szCs w:val="32"/>
          <w:shd w:val="clear" w:fill="FFFFFF"/>
          <w:lang w:val="en-US" w:eastAsia="zh-CN"/>
        </w:rPr>
        <w:t>3</w:t>
      </w:r>
      <w:r>
        <w:rPr>
          <w:rFonts w:hint="eastAsia" w:ascii="仿宋_GB2312" w:hAnsi="微软雅黑" w:eastAsia="仿宋_GB2312" w:cs="仿宋_GB2312"/>
          <w:i w:val="0"/>
          <w:iCs w:val="0"/>
          <w:caps w:val="0"/>
          <w:color w:val="000000"/>
          <w:spacing w:val="0"/>
          <w:sz w:val="32"/>
          <w:szCs w:val="32"/>
          <w:shd w:val="clear" w:fill="FFFFFF"/>
        </w:rPr>
        <w:t>个，实际编制部门（单位）整体绩效目标共</w:t>
      </w:r>
      <w:r>
        <w:rPr>
          <w:rFonts w:hint="eastAsia" w:ascii="仿宋_GB2312" w:hAnsi="微软雅黑" w:eastAsia="仿宋_GB2312" w:cs="仿宋_GB2312"/>
          <w:i w:val="0"/>
          <w:iCs w:val="0"/>
          <w:caps w:val="0"/>
          <w:color w:val="000000"/>
          <w:spacing w:val="0"/>
          <w:sz w:val="32"/>
          <w:szCs w:val="32"/>
          <w:shd w:val="clear" w:fill="FFFFFF"/>
          <w:lang w:val="en-US" w:eastAsia="zh-CN"/>
        </w:rPr>
        <w:t>3</w:t>
      </w:r>
      <w:r>
        <w:rPr>
          <w:rFonts w:hint="eastAsia" w:ascii="仿宋_GB2312" w:hAnsi="微软雅黑" w:eastAsia="仿宋_GB2312" w:cs="仿宋_GB2312"/>
          <w:i w:val="0"/>
          <w:iCs w:val="0"/>
          <w:caps w:val="0"/>
          <w:color w:val="000000"/>
          <w:spacing w:val="0"/>
          <w:sz w:val="32"/>
          <w:szCs w:val="32"/>
          <w:shd w:val="clear" w:fill="FFFFFF"/>
        </w:rPr>
        <w:t>个，编制覆盖率（实际编制部门（单位）整体绩效目标/应编制部门（单位）整体绩效目标为</w:t>
      </w:r>
      <w:r>
        <w:rPr>
          <w:rFonts w:hint="eastAsia" w:ascii="仿宋_GB2312" w:hAnsi="微软雅黑" w:eastAsia="仿宋_GB2312" w:cs="仿宋_GB2312"/>
          <w:i w:val="0"/>
          <w:iCs w:val="0"/>
          <w:caps w:val="0"/>
          <w:color w:val="000000"/>
          <w:spacing w:val="0"/>
          <w:sz w:val="32"/>
          <w:szCs w:val="32"/>
          <w:shd w:val="clear" w:fill="FFFFFF"/>
          <w:lang w:val="en-US" w:eastAsia="zh-CN"/>
        </w:rPr>
        <w:t>100</w:t>
      </w:r>
      <w:r>
        <w:rPr>
          <w:rFonts w:hint="eastAsia" w:ascii="仿宋_GB2312" w:hAnsi="微软雅黑" w:eastAsia="仿宋_GB2312" w:cs="仿宋_GB2312"/>
          <w:i w:val="0"/>
          <w:iCs w:val="0"/>
          <w:caps w:val="0"/>
          <w:color w:val="000000"/>
          <w:spacing w:val="0"/>
          <w:sz w:val="32"/>
          <w:szCs w:val="32"/>
          <w:shd w:val="clear" w:fill="FFFFFF"/>
        </w:rPr>
        <w:t>%。</w:t>
      </w:r>
    </w:p>
    <w:p w14:paraId="115021F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1"/>
          <w:szCs w:val="31"/>
          <w:shd w:val="clear" w:fill="FFFFFF"/>
        </w:rPr>
        <w:t>2025年应编制项目绩效目标（包括特定目标类和其他运转类）</w:t>
      </w:r>
      <w:r>
        <w:rPr>
          <w:rFonts w:hint="eastAsia" w:ascii="仿宋_GB2312" w:hAnsi="微软雅黑" w:eastAsia="仿宋_GB2312" w:cs="仿宋_GB2312"/>
          <w:i w:val="0"/>
          <w:iCs w:val="0"/>
          <w:caps w:val="0"/>
          <w:color w:val="000000"/>
          <w:spacing w:val="0"/>
          <w:sz w:val="31"/>
          <w:szCs w:val="31"/>
          <w:shd w:val="clear" w:fill="FFFFFF"/>
          <w:lang w:val="en-US" w:eastAsia="zh-CN"/>
        </w:rPr>
        <w:t>6</w:t>
      </w:r>
      <w:r>
        <w:rPr>
          <w:rFonts w:hint="eastAsia" w:ascii="仿宋_GB2312" w:hAnsi="微软雅黑" w:eastAsia="仿宋_GB2312" w:cs="仿宋_GB2312"/>
          <w:i w:val="0"/>
          <w:iCs w:val="0"/>
          <w:caps w:val="0"/>
          <w:color w:val="000000"/>
          <w:spacing w:val="0"/>
          <w:sz w:val="31"/>
          <w:szCs w:val="31"/>
          <w:shd w:val="clear" w:fill="FFFFFF"/>
        </w:rPr>
        <w:t>个，实际编制项目绩效目标</w:t>
      </w:r>
      <w:r>
        <w:rPr>
          <w:rFonts w:hint="eastAsia" w:ascii="仿宋_GB2312" w:hAnsi="微软雅黑" w:eastAsia="仿宋_GB2312" w:cs="仿宋_GB2312"/>
          <w:i w:val="0"/>
          <w:iCs w:val="0"/>
          <w:caps w:val="0"/>
          <w:color w:val="000000"/>
          <w:spacing w:val="0"/>
          <w:sz w:val="31"/>
          <w:szCs w:val="31"/>
          <w:shd w:val="clear" w:fill="FFFFFF"/>
          <w:lang w:val="en-US" w:eastAsia="zh-CN"/>
        </w:rPr>
        <w:t>6</w:t>
      </w:r>
      <w:r>
        <w:rPr>
          <w:rFonts w:hint="eastAsia" w:ascii="仿宋_GB2312" w:hAnsi="微软雅黑" w:eastAsia="仿宋_GB2312" w:cs="仿宋_GB2312"/>
          <w:i w:val="0"/>
          <w:iCs w:val="0"/>
          <w:caps w:val="0"/>
          <w:color w:val="000000"/>
          <w:spacing w:val="0"/>
          <w:sz w:val="31"/>
          <w:szCs w:val="31"/>
          <w:shd w:val="clear" w:fill="FFFFFF"/>
        </w:rPr>
        <w:t>个，涉及资金</w:t>
      </w:r>
      <w:r>
        <w:rPr>
          <w:rFonts w:hint="eastAsia" w:ascii="仿宋_GB2312" w:hAnsi="微软雅黑" w:eastAsia="仿宋_GB2312" w:cs="仿宋_GB2312"/>
          <w:i w:val="0"/>
          <w:iCs w:val="0"/>
          <w:caps w:val="0"/>
          <w:color w:val="000000"/>
          <w:spacing w:val="0"/>
          <w:sz w:val="32"/>
          <w:szCs w:val="32"/>
          <w:shd w:val="clear" w:fill="FFFFFF"/>
        </w:rPr>
        <w:t>4.15</w:t>
      </w:r>
      <w:r>
        <w:rPr>
          <w:rFonts w:hint="eastAsia" w:ascii="仿宋_GB2312" w:hAnsi="微软雅黑" w:eastAsia="仿宋_GB2312" w:cs="仿宋_GB2312"/>
          <w:i w:val="0"/>
          <w:iCs w:val="0"/>
          <w:caps w:val="0"/>
          <w:color w:val="000000"/>
          <w:spacing w:val="0"/>
          <w:sz w:val="31"/>
          <w:szCs w:val="31"/>
          <w:shd w:val="clear" w:fill="FFFFFF"/>
        </w:rPr>
        <w:t>万元，编制项目绩效目标的项目覆盖率（实际编制绩效目标的数量/应编制绩效目标的数量）为</w:t>
      </w:r>
      <w:r>
        <w:rPr>
          <w:rFonts w:hint="eastAsia" w:ascii="仿宋_GB2312" w:hAnsi="微软雅黑" w:eastAsia="仿宋_GB2312" w:cs="仿宋_GB2312"/>
          <w:i w:val="0"/>
          <w:iCs w:val="0"/>
          <w:caps w:val="0"/>
          <w:color w:val="000000"/>
          <w:spacing w:val="0"/>
          <w:sz w:val="32"/>
          <w:szCs w:val="32"/>
          <w:shd w:val="clear" w:fill="FFFFFF"/>
          <w:lang w:val="en-US" w:eastAsia="zh-CN"/>
        </w:rPr>
        <w:t>100</w:t>
      </w:r>
      <w:r>
        <w:rPr>
          <w:rFonts w:hint="eastAsia" w:ascii="仿宋_GB2312" w:hAnsi="微软雅黑" w:eastAsia="仿宋_GB2312" w:cs="仿宋_GB2312"/>
          <w:i w:val="0"/>
          <w:iCs w:val="0"/>
          <w:caps w:val="0"/>
          <w:color w:val="000000"/>
          <w:spacing w:val="0"/>
          <w:sz w:val="31"/>
          <w:szCs w:val="31"/>
          <w:shd w:val="clear" w:fill="FFFFFF"/>
        </w:rPr>
        <w:t>%。</w:t>
      </w:r>
    </w:p>
    <w:p w14:paraId="49D7BD2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（六）预算公开表数据中没有数据的情况说明 </w:t>
      </w:r>
    </w:p>
    <w:p w14:paraId="3172C36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2025年预算中无政府性基金预算拨款支出，项目支出中无特定目标类项目，无债务支出预算，无政府采购预算，无购买服务预算，因此“政府性基金预算支出表”、“部门预算项目（政策）绩效目标表”、“债务支出预算表”、“政府采购支出预算表”、“政府购买服务支出预算表”</w:t>
      </w:r>
      <w:r>
        <w:rPr>
          <w:rFonts w:hint="eastAsia" w:ascii="仿宋_GB2312" w:hAnsi="微软雅黑" w:eastAsia="仿宋_GB2312" w:cs="仿宋_GB2312"/>
          <w:i w:val="0"/>
          <w:iCs w:val="0"/>
          <w:caps w:val="0"/>
          <w:color w:val="000000"/>
          <w:spacing w:val="0"/>
          <w:sz w:val="32"/>
          <w:szCs w:val="32"/>
          <w:shd w:val="clear" w:fill="FFFFFF"/>
          <w:lang w:val="en-US" w:eastAsia="zh-CN"/>
        </w:rPr>
        <w:t>5</w:t>
      </w:r>
      <w:r>
        <w:rPr>
          <w:rFonts w:hint="eastAsia" w:ascii="仿宋_GB2312" w:hAnsi="微软雅黑" w:eastAsia="仿宋_GB2312" w:cs="仿宋_GB2312"/>
          <w:i w:val="0"/>
          <w:iCs w:val="0"/>
          <w:caps w:val="0"/>
          <w:color w:val="000000"/>
          <w:spacing w:val="0"/>
          <w:sz w:val="32"/>
          <w:szCs w:val="32"/>
          <w:shd w:val="clear" w:fill="FFFFFF"/>
        </w:rPr>
        <w:t>张表中没有数据。</w:t>
      </w:r>
    </w:p>
    <w:p w14:paraId="59B9B0E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第五部分 名词解释</w:t>
      </w:r>
      <w:r>
        <w:rPr>
          <w:rFonts w:hint="eastAsia" w:ascii="楷体" w:hAnsi="楷体" w:eastAsia="楷体" w:cs="楷体"/>
          <w:i w:val="0"/>
          <w:iCs w:val="0"/>
          <w:caps w:val="0"/>
          <w:color w:val="000000"/>
          <w:spacing w:val="0"/>
          <w:sz w:val="32"/>
          <w:szCs w:val="32"/>
          <w:shd w:val="clear" w:fill="FFFFFF"/>
        </w:rPr>
        <w:t> </w:t>
      </w:r>
    </w:p>
    <w:p w14:paraId="5F676C2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（以下内容各部门根据使用科目进行说明）</w:t>
      </w:r>
    </w:p>
    <w:p w14:paraId="2102B1A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1.一般公共预算拨款收入：指市级财政当年拨付的资金。</w:t>
      </w:r>
    </w:p>
    <w:p w14:paraId="0762082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2.政府性基金收入：反映各级政府及其所属部门根据法律、行政法规规定并经国务院或财政部批准，向公民、法人和其他组织征收的政府性基金，以及参照政府性基金管理或纳入基金预算、具有特定用途的财政资金。</w:t>
      </w:r>
    </w:p>
    <w:p w14:paraId="39E889C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3.财政专户管理的资金收入：反映缴入财政专户、实行专项管理的教育收费收入。</w:t>
      </w:r>
    </w:p>
    <w:p w14:paraId="37E30DE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4.单位资金收入：包括事业收入、上级补助收入、附属单位上缴收入、事业单位经营收入及其他收入。</w:t>
      </w:r>
    </w:p>
    <w:p w14:paraId="5ABA1E7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事业收入：是指事业单位开展专业业务活动及其辅助活动取得的收入，不包括教育收费。</w:t>
      </w:r>
    </w:p>
    <w:p w14:paraId="2B5F637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上级补助收入：是指从主管部门或上级单位取得的财政拨款以外的其他补助收入。</w:t>
      </w:r>
    </w:p>
    <w:p w14:paraId="0E7A5A9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附属单位上缴收入：是指本单位所属下级单位上缴给本单位的全部收入（包括下级事业单位上缴的事业收入、其他收入和下级企业单位上缴的利润等）。</w:t>
      </w:r>
    </w:p>
    <w:p w14:paraId="5BEE097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事业单位经营收入：是指事业单位在专业业务活动及辅助活动之外开展非独立核算经营活动取得的收入。</w:t>
      </w:r>
    </w:p>
    <w:p w14:paraId="028199C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其他收入：债务收入（不含政府债券、政府向外国政府贷款和国际组织贷款）、投资收益等收入。</w:t>
      </w:r>
    </w:p>
    <w:p w14:paraId="7D04768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5.上年结转：反映以前年度安排尚未使用完毕，结转到本年仍按原规定用途继续使用的资金。</w:t>
      </w:r>
    </w:p>
    <w:p w14:paraId="3C70C64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6.基本支出：指保障机构正常运转、完成日常工作任务而发生的人员支出和公用支出。</w:t>
      </w:r>
    </w:p>
    <w:p w14:paraId="13EF637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7.项目支出：指在基本支出之外为完成特定行政任务和事业发展目标所发生的支出。</w:t>
      </w:r>
    </w:p>
    <w:p w14:paraId="292EC9B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8.机关运行经费：是指各部门的公用经费，包括办公及印刷费、邮电费、差旅费、会议费、福利费、日常维护费、专用材料及一般设备购置费、办公用房水电费、办公用房取暖费、办公用房物业管理费、办公用车运行维护费以及其他费用。</w:t>
      </w:r>
    </w:p>
    <w:p w14:paraId="2A53361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9.“三公”经费：指用一般预算拨款安排的因公出国（境）费、公务用车购置及运行费和公务接待费。其中，因公出国（境）费反映单位公务出国（境）的国际旅费、国外城市间交通费、</w:t>
      </w:r>
      <w:r>
        <w:rPr>
          <w:rFonts w:hint="eastAsia" w:ascii="仿宋_GB2312" w:hAnsi="微软雅黑" w:eastAsia="仿宋_GB2312" w:cs="仿宋_GB2312"/>
          <w:i w:val="0"/>
          <w:iCs w:val="0"/>
          <w:caps w:val="0"/>
          <w:color w:val="000000"/>
          <w:spacing w:val="0"/>
          <w:sz w:val="31"/>
          <w:szCs w:val="31"/>
          <w:shd w:val="clear" w:fill="FFFFFF"/>
        </w:rPr>
        <w:t>住宿费、伙食费</w:t>
      </w:r>
      <w:r>
        <w:rPr>
          <w:rFonts w:hint="eastAsia" w:ascii="仿宋_GB2312" w:hAnsi="微软雅黑" w:eastAsia="仿宋_GB2312" w:cs="仿宋_GB2312"/>
          <w:i w:val="0"/>
          <w:iCs w:val="0"/>
          <w:caps w:val="0"/>
          <w:color w:val="000000"/>
          <w:spacing w:val="0"/>
          <w:sz w:val="32"/>
          <w:szCs w:val="32"/>
          <w:shd w:val="clear" w:fill="FFFFFF"/>
        </w:rPr>
        <w:t>、培训费、公杂费等支出；公务用车购置及运行费反映单位公务用车车辆购置支出（含车辆购置税）、燃料费、维修费、过路过桥费、保险费、安全奖励费用等支出；公务接待费反映单位为执行公务或开展业务活动需要合理开支的接待费用。 </w:t>
      </w:r>
    </w:p>
    <w:p w14:paraId="599549F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10.部门管理专项资金：包括由部门主导分配的市本级项目和市对下转移支付项目。</w:t>
      </w:r>
    </w:p>
    <w:p w14:paraId="1480393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11.社会保障和就业（类）行政事业单位养老支出（款）行政单位离退休（项）：反映行政单位（包括实行公务员管理的事业单位）开支的离退休经费。 </w:t>
      </w:r>
    </w:p>
    <w:p w14:paraId="0FBBB44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12.社会保障和就业（类）行政事业单位养老支出（款）事业单位离退休（项）：反映事业单位开支的离退休经费。</w:t>
      </w:r>
    </w:p>
    <w:p w14:paraId="26E01BD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13.社会保障和就业（类）行政事业单位养老支出（款）机关事业单位基本养老保险缴费支出（项）：反映机关事业单位实施养老保险制度由单位缴纳的基本养老保险费支出。</w:t>
      </w:r>
    </w:p>
    <w:p w14:paraId="11FD1B6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14.社会保障和就业（类）行政事业单位养老支出（款）机关事业单位职业年金缴费支出（项）：反映机关事业单位实施养老保险制度由单位实际缴纳的职业年金支出。</w:t>
      </w:r>
    </w:p>
    <w:p w14:paraId="528EE5A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15.卫生健康支出（类）行政事业单位医疗（款）行政单位医疗（项）：反映财政部门安排的行政单位（包括实行公务员管理的事业单位）基本医疗保险缴费经费、未参加医疗保险的行政单位的公费医疗经费、按国家规定享受离休人员、红军老战士待遇人员的医疗经费。</w:t>
      </w:r>
    </w:p>
    <w:p w14:paraId="325D339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16.卫生健康支出（类）行政事业单位医疗（款）事业单位医疗（项）：反映财政部门安排的事业单位基本医疗保险缴费经费、未参加医疗保险的事业单位的公费医疗经费、按国家规定享受离休人员待遇的医疗经费。</w:t>
      </w:r>
    </w:p>
    <w:p w14:paraId="42A183B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17.卫生健康支出（类）行政事业单位医疗（款）其他行政事业单位医疗支出（项）：反映其他用于行政事业单位医疗方面的支出。</w:t>
      </w:r>
    </w:p>
    <w:p w14:paraId="0E5C0E1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18.住房保障（类）住房改革（款）住房公积金（项）：反映行政事业单位按人力资源和社会保障部、财政部规定的基本工资和津贴补贴以及规定比例为职工缴纳的住房公积金。 </w:t>
      </w:r>
    </w:p>
    <w:p w14:paraId="7C19440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19.住房保障（类）住房改革（款）购房补贴（项）：反映按房改政策规定，行政事业单位向符合条件职工（含离退休人员）、军队（含武警）向转役复员离退休人员发放的用于购买住房的补贴。</w:t>
      </w:r>
    </w:p>
    <w:p w14:paraId="38B1DF8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73FF25"/>
    <w:multiLevelType w:val="singleLevel"/>
    <w:tmpl w:val="4C73FF25"/>
    <w:lvl w:ilvl="0" w:tentative="0">
      <w:start w:val="1"/>
      <w:numFmt w:val="decimal"/>
      <w:lvlText w:val="%1."/>
      <w:lvlJc w:val="left"/>
      <w:pPr>
        <w:tabs>
          <w:tab w:val="left" w:pos="312"/>
        </w:tabs>
        <w:ind w:left="128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F4561D"/>
    <w:rsid w:val="05544226"/>
    <w:rsid w:val="071D689A"/>
    <w:rsid w:val="0B7B7B9F"/>
    <w:rsid w:val="0CFE2CC9"/>
    <w:rsid w:val="11851AA8"/>
    <w:rsid w:val="1ED53102"/>
    <w:rsid w:val="27FD1F46"/>
    <w:rsid w:val="2FC20F7C"/>
    <w:rsid w:val="3330752C"/>
    <w:rsid w:val="37213AEB"/>
    <w:rsid w:val="3D197A98"/>
    <w:rsid w:val="445175A7"/>
    <w:rsid w:val="494D1E85"/>
    <w:rsid w:val="4D952D2E"/>
    <w:rsid w:val="549733F7"/>
    <w:rsid w:val="564B675F"/>
    <w:rsid w:val="613157A2"/>
    <w:rsid w:val="650502DA"/>
    <w:rsid w:val="660B7E80"/>
    <w:rsid w:val="6ACE4BFE"/>
    <w:rsid w:val="6B3F7DEE"/>
    <w:rsid w:val="6D033285"/>
    <w:rsid w:val="750758DC"/>
    <w:rsid w:val="7DA16B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rPr>
      <w:sz w:val="24"/>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5864</Words>
  <Characters>6136</Characters>
  <Lines>0</Lines>
  <Paragraphs>0</Paragraphs>
  <TotalTime>0</TotalTime>
  <ScaleCrop>false</ScaleCrop>
  <LinksUpToDate>false</LinksUpToDate>
  <CharactersWithSpaces>6367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2025-01-07T06:03:00Z</dcterms:created>
  <dc:creator>86136</dc:creator>
  <cp:lastModifiedBy>于延博</cp:lastModifiedBy>
  <dcterms:modified xsi:type="dcterms:W3CDTF">2025-01-17T05:34:45Z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eyJoZGlkIjoiNGZhNjA5NjJiNzEyYjBhODgxZWE3NWQxZDQxYTgyMjEiLCJ1c2VySWQiOiIxMDU1OTMyMDU4In0=</vt:lpwstr>
  </property>
  <property fmtid="{D5CDD505-2E9C-101B-9397-08002B2CF9AE}" pid="4" name="ICV">
    <vt:lpwstr>B8C5117FB8014E44A865199339766739_12</vt:lpwstr>
  </property>
</Properties>
</file>