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4F643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18BE73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785776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6B6CF2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2FB66C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5EC98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1C5363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r>
        <w:rPr>
          <w:rFonts w:hint="eastAsia" w:ascii="Times New Roman" w:hAnsi="Times New Roman" w:eastAsia="微软雅黑" w:cs="Times New Roman"/>
          <w:b/>
          <w:bCs/>
          <w:i w:val="0"/>
          <w:iCs w:val="0"/>
          <w:caps w:val="0"/>
          <w:color w:val="000000"/>
          <w:spacing w:val="0"/>
          <w:sz w:val="36"/>
          <w:szCs w:val="36"/>
          <w:shd w:val="clear" w:fill="FFFFFF"/>
          <w:lang w:val="en-US" w:eastAsia="zh-CN"/>
        </w:rPr>
        <w:t>鞍山市千山区供销合作社联合社</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2025年度部门预算</w:t>
      </w:r>
    </w:p>
    <w:p w14:paraId="200FC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BB45E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B9CFF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E769C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9912D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EA462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6FBBD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5DA4D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C0343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22D4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263BE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7F3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F1A7A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bookmarkEnd w:id="0"/>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BD58E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0A271330">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 一)、负责贯彻执行中央、省市有关农村经济工作和 </w:t>
      </w:r>
    </w:p>
    <w:p w14:paraId="64D3E5BD">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社会发展的方针、政策，执行政府授权的管理职能，指导 </w:t>
      </w:r>
    </w:p>
    <w:p w14:paraId="713D6156">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和布局农村经济发展，沟通城乡物资交流，协助工商部门 </w:t>
      </w:r>
    </w:p>
    <w:p w14:paraId="577DADD4">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管理好农村市场，指导供销合作社的改革和发展，向政府 </w:t>
      </w:r>
    </w:p>
    <w:p w14:paraId="41AF8037">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和有关部门反映农民的意见和要求。 </w:t>
      </w:r>
    </w:p>
    <w:p w14:paraId="75D3BDCD">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(二)、为“三农”服务，积极参与和推动农业产 </w:t>
      </w:r>
    </w:p>
    <w:p w14:paraId="4FFBF39E">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业化经营，发展农村合作经济，引领和指导农民专业合作 </w:t>
      </w:r>
    </w:p>
    <w:p w14:paraId="45F6A028">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社的建设和发展，促进农业产业结构调整和农民增收，负 </w:t>
      </w:r>
    </w:p>
    <w:p w14:paraId="6DF8D9AB">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责对重要农业生产资料，农副产品经营，防汛抗旱物资储 </w:t>
      </w:r>
    </w:p>
    <w:p w14:paraId="50F30F2C">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备进行组织、协调和管理。 </w:t>
      </w:r>
    </w:p>
    <w:p w14:paraId="2050A8BC">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(三)、积极参与和推动新农村现代流通体系建设，负 </w:t>
      </w:r>
    </w:p>
    <w:p w14:paraId="543A49B4">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责制定全区供销合作社的发展战略和中长期发展规划、经 </w:t>
      </w:r>
    </w:p>
    <w:p w14:paraId="4A4B0C49">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营网点及大型商场的设置规划、新农村现代流通网络和农 </w:t>
      </w:r>
    </w:p>
    <w:p w14:paraId="7F3AAB7D">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产品批发市场建设、固定资产项目投资规划。 </w:t>
      </w:r>
    </w:p>
    <w:p w14:paraId="6670CD4E">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(四)、代表区联社参与全国供销合作社系统的各 </w:t>
      </w:r>
    </w:p>
    <w:p w14:paraId="1BB0600E">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项活动，组织对外、对内经济贸易、技术交流，促进全区 </w:t>
      </w:r>
    </w:p>
    <w:p w14:paraId="22B97E13">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供销合作社的经济发展。</w:t>
      </w:r>
    </w:p>
    <w:p w14:paraId="142092BB">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(五)、管理直属单位的资产、行使集体资产所有者代表和 </w:t>
      </w:r>
    </w:p>
    <w:p w14:paraId="2F6B38E2">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管理者的职能，指导基层社管好用好其所属的社有资产，理 </w:t>
      </w:r>
    </w:p>
    <w:p w14:paraId="2E91C076">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顺和化解债权债务，防止社有资产流失。 </w:t>
      </w:r>
    </w:p>
    <w:p w14:paraId="6D35BE87">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 xml:space="preserve">二、机构设置 </w:t>
      </w:r>
    </w:p>
    <w:p w14:paraId="1B24DD3D">
      <w:pPr>
        <w:keepNext w:val="0"/>
        <w:keepLines w:val="0"/>
        <w:widowControl/>
        <w:suppressLineNumbers w:val="0"/>
        <w:jc w:val="left"/>
        <w:rPr>
          <w:rFonts w:hint="eastAsia" w:ascii="微软雅黑" w:hAnsi="微软雅黑" w:eastAsia="微软雅黑" w:cs="微软雅黑"/>
          <w:i w:val="0"/>
          <w:iCs w:val="0"/>
          <w:caps w:val="0"/>
          <w:color w:val="000000"/>
          <w:spacing w:val="0"/>
          <w:sz w:val="24"/>
          <w:szCs w:val="24"/>
        </w:rPr>
      </w:pP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鞍山市千山区供销合作社联合社</w:t>
      </w:r>
      <w:r>
        <w:rPr>
          <w:rFonts w:hint="eastAsia" w:ascii="仿宋_GB2312" w:hAnsi="微软雅黑" w:eastAsia="仿宋_GB2312" w:cs="仿宋_GB2312"/>
          <w:i w:val="0"/>
          <w:iCs w:val="0"/>
          <w:caps w:val="0"/>
          <w:color w:val="000000"/>
          <w:spacing w:val="0"/>
          <w:sz w:val="32"/>
          <w:szCs w:val="32"/>
          <w:shd w:val="clear" w:fill="FFFFFF"/>
        </w:rPr>
        <w:t>2025年度部门（单位）预算仅包括</w:t>
      </w:r>
      <w:r>
        <w:rPr>
          <w:rFonts w:ascii="仿宋_GB2312" w:hAnsi="仿宋_GB2312" w:eastAsia="仿宋_GB2312" w:cs="仿宋_GB2312"/>
          <w:color w:val="000000"/>
          <w:kern w:val="0"/>
          <w:sz w:val="31"/>
          <w:szCs w:val="31"/>
          <w:lang w:val="en-US" w:eastAsia="zh-CN" w:bidi="ar"/>
        </w:rPr>
        <w:t>鞍山市千山区供销合作社联合社本级预算</w:t>
      </w:r>
      <w:r>
        <w:rPr>
          <w:rFonts w:hint="eastAsia" w:ascii="仿宋_GB2312" w:hAnsi="仿宋_GB2312" w:eastAsia="仿宋_GB2312" w:cs="仿宋_GB2312"/>
          <w:color w:val="000000"/>
          <w:kern w:val="0"/>
          <w:sz w:val="31"/>
          <w:szCs w:val="31"/>
          <w:lang w:val="en-US" w:eastAsia="zh-CN" w:bidi="ar"/>
        </w:rPr>
        <w:t>，</w:t>
      </w:r>
      <w:r>
        <w:rPr>
          <w:rFonts w:hint="eastAsia" w:ascii="仿宋_GB2312" w:hAnsi="微软雅黑" w:eastAsia="仿宋_GB2312" w:cs="仿宋_GB2312"/>
          <w:b w:val="0"/>
          <w:bCs w:val="0"/>
          <w:i w:val="0"/>
          <w:iCs w:val="0"/>
          <w:caps w:val="0"/>
          <w:color w:val="000000"/>
          <w:spacing w:val="0"/>
          <w:sz w:val="32"/>
          <w:szCs w:val="32"/>
          <w:shd w:val="clear" w:fill="FFFFFF"/>
        </w:rPr>
        <w:t>无其他下属单位预算。</w:t>
      </w: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34714F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ascii="仿宋_GB2312" w:hAnsi="仿宋_GB2312" w:eastAsia="仿宋_GB2312" w:cs="仿宋_GB2312"/>
          <w:color w:val="000000"/>
          <w:kern w:val="0"/>
          <w:sz w:val="31"/>
          <w:szCs w:val="31"/>
          <w:lang w:val="en-US" w:eastAsia="zh-CN" w:bidi="ar"/>
        </w:rPr>
        <w:t>鞍山市千山区供销合作社联合社</w:t>
      </w:r>
      <w:r>
        <w:rPr>
          <w:rFonts w:hint="eastAsia" w:ascii="仿宋_GB2312" w:hAnsi="微软雅黑" w:eastAsia="仿宋_GB2312" w:cs="仿宋_GB2312"/>
          <w:i w:val="0"/>
          <w:iCs w:val="0"/>
          <w:caps w:val="0"/>
          <w:color w:val="000000"/>
          <w:spacing w:val="0"/>
          <w:sz w:val="32"/>
          <w:szCs w:val="32"/>
          <w:shd w:val="clear" w:fill="FFFFFF"/>
        </w:rPr>
        <w:t>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72.03</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13.8</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15.96</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5.27</w:t>
      </w:r>
      <w:r>
        <w:rPr>
          <w:rFonts w:hint="eastAsia" w:ascii="仿宋_GB2312" w:hAnsi="微软雅黑" w:eastAsia="仿宋_GB2312" w:cs="仿宋_GB2312"/>
          <w:i w:val="0"/>
          <w:iCs w:val="0"/>
          <w:caps w:val="0"/>
          <w:color w:val="000000"/>
          <w:spacing w:val="0"/>
          <w:sz w:val="32"/>
          <w:szCs w:val="32"/>
          <w:shd w:val="clear" w:fill="FFFFFF"/>
        </w:rPr>
        <w:t>万元， 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2.93万元，商业服务业等支出61.67万元</w:t>
      </w:r>
      <w:r>
        <w:rPr>
          <w:rFonts w:hint="eastAsia" w:ascii="仿宋_GB2312" w:hAnsi="微软雅黑" w:eastAsia="仿宋_GB2312" w:cs="仿宋_GB2312"/>
          <w:i w:val="0"/>
          <w:iCs w:val="0"/>
          <w:caps w:val="0"/>
          <w:color w:val="000000"/>
          <w:spacing w:val="0"/>
          <w:sz w:val="32"/>
          <w:szCs w:val="32"/>
          <w:shd w:val="clear" w:fill="FFFFFF"/>
        </w:rPr>
        <w:t>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72.03</w:t>
      </w:r>
      <w:r>
        <w:rPr>
          <w:rFonts w:hint="eastAsia" w:ascii="仿宋_GB2312" w:hAnsi="微软雅黑" w:eastAsia="仿宋_GB2312" w:cs="仿宋_GB2312"/>
          <w:i w:val="0"/>
          <w:iCs w:val="0"/>
          <w:caps w:val="0"/>
          <w:color w:val="000000"/>
          <w:spacing w:val="0"/>
          <w:sz w:val="32"/>
          <w:szCs w:val="32"/>
          <w:shd w:val="clear" w:fill="FFFFFF"/>
        </w:rPr>
        <w:t>万元，债务支出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ascii="仿宋_GB2312" w:hAnsi="仿宋_GB2312" w:eastAsia="仿宋_GB2312" w:cs="仿宋_GB2312"/>
          <w:color w:val="000000"/>
          <w:kern w:val="0"/>
          <w:sz w:val="31"/>
          <w:szCs w:val="31"/>
          <w:lang w:val="en-US" w:eastAsia="zh-CN" w:bidi="ar"/>
        </w:rPr>
        <w:t>鞍山市千山区供销合作社联合社</w:t>
      </w:r>
      <w:r>
        <w:rPr>
          <w:rFonts w:hint="eastAsia" w:ascii="仿宋_GB2312" w:hAnsi="微软雅黑" w:eastAsia="仿宋_GB2312" w:cs="仿宋_GB2312"/>
          <w:i w:val="0"/>
          <w:iCs w:val="0"/>
          <w:caps w:val="0"/>
          <w:color w:val="000000"/>
          <w:spacing w:val="0"/>
          <w:sz w:val="32"/>
          <w:szCs w:val="32"/>
          <w:shd w:val="clear" w:fill="FFFFFF"/>
        </w:rPr>
        <w:t>收支预算</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增加1.39</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增长1</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是人员增加</w:t>
      </w:r>
      <w:r>
        <w:rPr>
          <w:rFonts w:hint="eastAsia" w:ascii="仿宋_GB2312" w:hAnsi="微软雅黑" w:eastAsia="仿宋_GB2312" w:cs="仿宋_GB2312"/>
          <w:i w:val="0"/>
          <w:iCs w:val="0"/>
          <w:caps w:val="0"/>
          <w:color w:val="000000"/>
          <w:spacing w:val="0"/>
          <w:sz w:val="32"/>
          <w:szCs w:val="32"/>
          <w:shd w:val="clear" w:fill="FFFFFF"/>
        </w:rPr>
        <w:t>。</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ascii="仿宋_GB2312" w:hAnsi="仿宋_GB2312" w:eastAsia="仿宋_GB2312" w:cs="仿宋_GB2312"/>
          <w:color w:val="000000"/>
          <w:kern w:val="0"/>
          <w:sz w:val="31"/>
          <w:szCs w:val="31"/>
          <w:lang w:val="en-US" w:eastAsia="zh-CN" w:bidi="ar"/>
        </w:rPr>
        <w:t>鞍山市千山区供销合作社联合社</w:t>
      </w:r>
      <w:r>
        <w:rPr>
          <w:rFonts w:hint="eastAsia" w:ascii="仿宋_GB2312" w:hAnsi="仿宋_GB2312" w:eastAsia="仿宋_GB2312" w:cs="仿宋_GB2312"/>
          <w:color w:val="000000"/>
          <w:kern w:val="0"/>
          <w:sz w:val="31"/>
          <w:szCs w:val="31"/>
          <w:lang w:val="en-US" w:eastAsia="zh-CN" w:bidi="ar"/>
        </w:rPr>
        <w:t>2025</w:t>
      </w:r>
      <w:r>
        <w:rPr>
          <w:rFonts w:hint="eastAsia" w:ascii="仿宋_GB2312" w:hAnsi="微软雅黑" w:eastAsia="仿宋_GB2312" w:cs="仿宋_GB2312"/>
          <w:i w:val="0"/>
          <w:iCs w:val="0"/>
          <w:caps w:val="0"/>
          <w:color w:val="000000"/>
          <w:spacing w:val="0"/>
          <w:sz w:val="32"/>
          <w:szCs w:val="32"/>
          <w:shd w:val="clear" w:fill="FFFFFF"/>
        </w:rPr>
        <w:t>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15.96</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5.27</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2.93万元，商业服务业等支出61.67万元</w:t>
      </w:r>
      <w:r>
        <w:rPr>
          <w:rFonts w:hint="eastAsia" w:ascii="仿宋_GB2312" w:hAnsi="微软雅黑" w:eastAsia="仿宋_GB2312" w:cs="仿宋_GB2312"/>
          <w:i w:val="0"/>
          <w:iCs w:val="0"/>
          <w:caps w:val="0"/>
          <w:color w:val="000000"/>
          <w:spacing w:val="0"/>
          <w:sz w:val="32"/>
          <w:szCs w:val="32"/>
          <w:shd w:val="clear" w:fill="FFFFFF"/>
        </w:rPr>
        <w:t> ；按经济支出包括:工资福利支出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63.39</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4.67</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3.97</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13.8</w:t>
      </w:r>
      <w:r>
        <w:rPr>
          <w:rFonts w:hint="eastAsia" w:ascii="仿宋_GB2312" w:hAnsi="微软雅黑" w:eastAsia="仿宋_GB2312" w:cs="仿宋_GB2312"/>
          <w:i w:val="0"/>
          <w:iCs w:val="0"/>
          <w:caps w:val="0"/>
          <w:color w:val="000000"/>
          <w:spacing w:val="0"/>
          <w:sz w:val="32"/>
          <w:szCs w:val="32"/>
          <w:shd w:val="clear" w:fill="FFFFFF"/>
        </w:rPr>
        <w:t>万元。 </w:t>
      </w:r>
    </w:p>
    <w:p w14:paraId="7DCFF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ascii="仿宋_GB2312" w:hAnsi="仿宋_GB2312" w:eastAsia="仿宋_GB2312" w:cs="仿宋_GB2312"/>
          <w:color w:val="000000"/>
          <w:kern w:val="0"/>
          <w:sz w:val="31"/>
          <w:szCs w:val="31"/>
          <w:lang w:val="en-US" w:eastAsia="zh-CN" w:bidi="ar"/>
        </w:rPr>
        <w:t>鞍山市千山区供销合作社联合社</w:t>
      </w:r>
      <w:r>
        <w:rPr>
          <w:rFonts w:hint="eastAsia" w:ascii="仿宋_GB2312" w:hAnsi="微软雅黑" w:eastAsia="仿宋_GB2312" w:cs="仿宋_GB2312"/>
          <w:i w:val="0"/>
          <w:iCs w:val="0"/>
          <w:caps w:val="0"/>
          <w:color w:val="000000"/>
          <w:spacing w:val="0"/>
          <w:sz w:val="32"/>
          <w:szCs w:val="32"/>
          <w:shd w:val="clear" w:fill="FFFFFF"/>
        </w:rPr>
        <w:t>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增加1.39</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增长1</w:t>
      </w:r>
      <w:r>
        <w:rPr>
          <w:rFonts w:hint="eastAsia" w:ascii="仿宋_GB2312" w:hAnsi="微软雅黑" w:eastAsia="仿宋_GB2312" w:cs="仿宋_GB2312"/>
          <w:i w:val="0"/>
          <w:iCs w:val="0"/>
          <w:caps w:val="0"/>
          <w:color w:val="000000"/>
          <w:spacing w:val="0"/>
          <w:sz w:val="32"/>
          <w:szCs w:val="32"/>
          <w:shd w:val="clear" w:fill="FFFFFF"/>
        </w:rPr>
        <w:t>%。财政拨款收入同比</w:t>
      </w:r>
      <w:r>
        <w:rPr>
          <w:rFonts w:hint="eastAsia" w:ascii="仿宋_GB2312" w:hAnsi="微软雅黑" w:eastAsia="仿宋_GB2312" w:cs="仿宋_GB2312"/>
          <w:i w:val="0"/>
          <w:iCs w:val="0"/>
          <w:caps w:val="0"/>
          <w:color w:val="000000"/>
          <w:spacing w:val="0"/>
          <w:sz w:val="32"/>
          <w:szCs w:val="32"/>
          <w:shd w:val="clear" w:fill="FFFFFF"/>
          <w:lang w:val="en-US"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是人员增加</w:t>
      </w:r>
      <w:r>
        <w:rPr>
          <w:rFonts w:hint="eastAsia" w:ascii="仿宋_GB2312" w:hAnsi="微软雅黑" w:eastAsia="仿宋_GB2312" w:cs="仿宋_GB2312"/>
          <w:i w:val="0"/>
          <w:iCs w:val="0"/>
          <w:caps w:val="0"/>
          <w:color w:val="000000"/>
          <w:spacing w:val="0"/>
          <w:sz w:val="32"/>
          <w:szCs w:val="32"/>
          <w:shd w:val="clear" w:fill="FFFFFF"/>
        </w:rPr>
        <w:t>。</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b/>
          <w:bCs/>
          <w:i w:val="0"/>
          <w:iCs w:val="0"/>
          <w:caps w:val="0"/>
          <w:color w:val="000000"/>
          <w:spacing w:val="0"/>
          <w:sz w:val="32"/>
          <w:szCs w:val="32"/>
          <w:shd w:val="clear" w:fill="FFFFFF"/>
          <w:lang w:val="en-US" w:eastAsia="zh-CN"/>
        </w:rPr>
        <w:t xml:space="preserve">  </w:t>
      </w:r>
      <w:r>
        <w:rPr>
          <w:rFonts w:ascii="仿宋_GB2312" w:hAnsi="仿宋_GB2312" w:eastAsia="仿宋_GB2312" w:cs="仿宋_GB2312"/>
          <w:color w:val="000000"/>
          <w:kern w:val="0"/>
          <w:sz w:val="31"/>
          <w:szCs w:val="31"/>
          <w:lang w:val="en-US" w:eastAsia="zh-CN" w:bidi="ar"/>
        </w:rPr>
        <w:t>鞍山市千山区供销合作社联合社</w:t>
      </w:r>
      <w:r>
        <w:rPr>
          <w:rFonts w:hint="eastAsia" w:ascii="仿宋_GB2312" w:hAnsi="微软雅黑" w:eastAsia="仿宋_GB2312" w:cs="仿宋_GB2312"/>
          <w:i w:val="0"/>
          <w:iCs w:val="0"/>
          <w:caps w:val="0"/>
          <w:color w:val="000000"/>
          <w:spacing w:val="0"/>
          <w:sz w:val="32"/>
          <w:szCs w:val="32"/>
          <w:shd w:val="clear" w:fill="FFFFFF"/>
        </w:rPr>
        <w:t>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72.03</w:t>
      </w:r>
      <w:r>
        <w:rPr>
          <w:rFonts w:hint="eastAsia" w:ascii="仿宋_GB2312" w:hAnsi="微软雅黑" w:eastAsia="仿宋_GB2312" w:cs="仿宋_GB2312"/>
          <w:i w:val="0"/>
          <w:iCs w:val="0"/>
          <w:caps w:val="0"/>
          <w:color w:val="000000"/>
          <w:spacing w:val="0"/>
          <w:sz w:val="32"/>
          <w:szCs w:val="32"/>
          <w:shd w:val="clear" w:fill="FFFFFF"/>
        </w:rPr>
        <w:t> 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63.39</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4.67</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3.97</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67.36</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4.67</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3.21</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   %。主要是树立过紧日子思想，严格控制三公经费支出，压减公务接待费。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3.21</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3.21</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%。主要原因是</w:t>
      </w:r>
      <w:r>
        <w:rPr>
          <w:rFonts w:hint="eastAsia" w:ascii="仿宋_GB2312" w:hAnsi="微软雅黑" w:eastAsia="仿宋_GB2312" w:cs="仿宋_GB2312"/>
          <w:i w:val="0"/>
          <w:iCs w:val="0"/>
          <w:caps w:val="0"/>
          <w:color w:val="000000"/>
          <w:spacing w:val="0"/>
          <w:sz w:val="32"/>
          <w:szCs w:val="32"/>
          <w:shd w:val="clear" w:fill="FFFFFF"/>
          <w:lang w:val="en-US" w:eastAsia="zh-CN"/>
        </w:rPr>
        <w:t>车辆已报废处理</w:t>
      </w:r>
      <w:r>
        <w:rPr>
          <w:rFonts w:hint="eastAsia" w:ascii="仿宋_GB2312" w:hAnsi="微软雅黑" w:eastAsia="仿宋_GB2312" w:cs="仿宋_GB2312"/>
          <w:i w:val="0"/>
          <w:iCs w:val="0"/>
          <w:caps w:val="0"/>
          <w:color w:val="000000"/>
          <w:spacing w:val="0"/>
          <w:sz w:val="32"/>
          <w:szCs w:val="32"/>
          <w:shd w:val="clear" w:fill="FFFFFF"/>
        </w:rPr>
        <w:t>。</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4.67</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fill="FFFFFF"/>
          <w:lang w:val="en-US" w:eastAsia="zh-CN"/>
        </w:rPr>
        <w:t>3.19</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40</w:t>
      </w:r>
      <w:r>
        <w:rPr>
          <w:rFonts w:hint="eastAsia" w:ascii="仿宋_GB2312" w:hAnsi="微软雅黑" w:eastAsia="仿宋_GB2312" w:cs="仿宋_GB2312"/>
          <w:i w:val="0"/>
          <w:iCs w:val="0"/>
          <w:caps w:val="0"/>
          <w:color w:val="000000"/>
          <w:spacing w:val="0"/>
          <w:sz w:val="32"/>
          <w:szCs w:val="32"/>
          <w:shd w:val="clear" w:fill="FFFFFF"/>
        </w:rPr>
        <w:t> %。主要是落实过紧日子要求，厉行勤俭节约，压减一般性支出。</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ascii="仿宋_GB2312" w:hAnsi="仿宋_GB2312" w:eastAsia="仿宋_GB2312" w:cs="仿宋_GB2312"/>
          <w:color w:val="000000"/>
          <w:kern w:val="0"/>
          <w:sz w:val="31"/>
          <w:szCs w:val="31"/>
          <w:lang w:val="en-US" w:eastAsia="zh-CN" w:bidi="ar"/>
        </w:rPr>
        <w:t>鞍山市千山区供销合作社联合社</w:t>
      </w:r>
      <w:r>
        <w:rPr>
          <w:rFonts w:hint="eastAsia" w:ascii="仿宋_GB2312" w:hAnsi="微软雅黑" w:eastAsia="仿宋_GB2312" w:cs="仿宋_GB2312"/>
          <w:i w:val="0"/>
          <w:iCs w:val="0"/>
          <w:caps w:val="0"/>
          <w:color w:val="000000"/>
          <w:spacing w:val="0"/>
          <w:sz w:val="32"/>
          <w:szCs w:val="32"/>
          <w:shd w:val="clear" w:fill="FFFFFF"/>
        </w:rPr>
        <w:t>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1"/>
          <w:szCs w:val="31"/>
          <w:shd w:val="clear" w:fill="FFFFFF"/>
        </w:rPr>
        <w:t> 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13.8</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2025年预算中无政府性基金预算拨款支出，财政拨款预算“三公”经费支出</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部门管理专项资金</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项目支出中无特定目标类项目，无债务支出预算，无政府采购预算，无购买服务预算，因此“政府性基金预算支出表”、“债务支出预算表”、“政府采购支出预算表”、“政府购买服务支出预算表”“三公”经费支出</w:t>
      </w:r>
      <w:r>
        <w:rPr>
          <w:rFonts w:hint="eastAsia" w:ascii="仿宋_GB2312" w:hAnsi="微软雅黑" w:eastAsia="仿宋_GB2312" w:cs="仿宋_GB2312"/>
          <w:i w:val="0"/>
          <w:iCs w:val="0"/>
          <w:caps w:val="0"/>
          <w:color w:val="000000"/>
          <w:spacing w:val="0"/>
          <w:sz w:val="32"/>
          <w:szCs w:val="32"/>
          <w:shd w:val="clear" w:fill="FFFFFF"/>
          <w:lang w:val="en-US" w:eastAsia="zh-CN"/>
        </w:rPr>
        <w:t>表</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部门管理专项资金</w:t>
      </w:r>
      <w:r>
        <w:rPr>
          <w:rFonts w:hint="eastAsia" w:ascii="仿宋_GB2312" w:hAnsi="微软雅黑" w:eastAsia="仿宋_GB2312" w:cs="仿宋_GB2312"/>
          <w:i w:val="0"/>
          <w:iCs w:val="0"/>
          <w:caps w:val="0"/>
          <w:color w:val="000000"/>
          <w:spacing w:val="0"/>
          <w:sz w:val="32"/>
          <w:szCs w:val="32"/>
          <w:shd w:val="clear" w:fill="FFFFFF"/>
          <w:lang w:val="en-US" w:eastAsia="zh-CN"/>
        </w:rPr>
        <w:t>表</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6</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05697625"/>
    <w:rsid w:val="0A21776A"/>
    <w:rsid w:val="0D257EB6"/>
    <w:rsid w:val="0F802C6D"/>
    <w:rsid w:val="10217251"/>
    <w:rsid w:val="10584E32"/>
    <w:rsid w:val="129758A5"/>
    <w:rsid w:val="131236AE"/>
    <w:rsid w:val="1C496056"/>
    <w:rsid w:val="1F7770EE"/>
    <w:rsid w:val="21D90854"/>
    <w:rsid w:val="25E22D30"/>
    <w:rsid w:val="2C6C4DDA"/>
    <w:rsid w:val="30265C14"/>
    <w:rsid w:val="38B40AC4"/>
    <w:rsid w:val="39460593"/>
    <w:rsid w:val="3A266722"/>
    <w:rsid w:val="3AB51493"/>
    <w:rsid w:val="3DB44D2C"/>
    <w:rsid w:val="4133521D"/>
    <w:rsid w:val="44492AFD"/>
    <w:rsid w:val="455242D1"/>
    <w:rsid w:val="4D952D2E"/>
    <w:rsid w:val="586C6306"/>
    <w:rsid w:val="60B27518"/>
    <w:rsid w:val="69790883"/>
    <w:rsid w:val="69BC7BE5"/>
    <w:rsid w:val="6A7A6FA8"/>
    <w:rsid w:val="6C8B74D0"/>
    <w:rsid w:val="6E380594"/>
    <w:rsid w:val="757A1C0A"/>
    <w:rsid w:val="77A25449"/>
    <w:rsid w:val="79447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5904</Words>
  <Characters>6166</Characters>
  <Lines>0</Lines>
  <Paragraphs>0</Paragraphs>
  <TotalTime>3</TotalTime>
  <ScaleCrop>false</ScaleCrop>
  <LinksUpToDate>false</LinksUpToDate>
  <CharactersWithSpaces>6437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超</cp:lastModifiedBy>
  <dcterms:modified xsi:type="dcterms:W3CDTF">2025-01-19T08:25:28Z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eyJoZGlkIjoiODViY2JkMjU3NGYzZTEwMzZmMGFkZWViYmNkYWU3NDIiLCJ1c2VySWQiOiIxMTIyMjc3NjI0In0=</vt:lpwstr>
  </property>
  <property fmtid="{D5CDD505-2E9C-101B-9397-08002B2CF9AE}" pid="4" name="ICV">
    <vt:lpwstr>B8C5117FB8014E44A865199339766739_12</vt:lpwstr>
  </property>
</Properties>
</file>