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045DD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60342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4C8F1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1FC052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5E21B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4560E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68084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微软雅黑" w:cs="Times New Roman"/>
          <w:b/>
          <w:bCs/>
          <w:i w:val="0"/>
          <w:iCs w:val="0"/>
          <w:caps w:val="0"/>
          <w:color w:val="000000"/>
          <w:spacing w:val="0"/>
          <w:sz w:val="36"/>
          <w:szCs w:val="36"/>
          <w:shd w:val="clear" w:fill="FFFFFF"/>
          <w:lang w:eastAsia="zh-CN"/>
        </w:rPr>
        <w:t>千山区退役军人事务局</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2025年度部门（单位）预算</w:t>
      </w:r>
    </w:p>
    <w:p w14:paraId="1D73C7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8D057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E6B86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55F76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7BD2B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D19C8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56AE3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12E45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9AFE3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956FC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421E1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94648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1A359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3827E527">
      <w:pPr>
        <w:widowControl/>
        <w:spacing w:line="560" w:lineRule="exact"/>
        <w:jc w:val="left"/>
        <w:rPr>
          <w:rFonts w:hint="eastAsia" w:ascii="仿宋_GB2312" w:hAnsi="宋体" w:eastAsia="仿宋_GB2312" w:cs="宋体"/>
          <w:kern w:val="0"/>
          <w:sz w:val="32"/>
          <w:szCs w:val="32"/>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宋体"/>
          <w:b/>
          <w:bCs/>
          <w:kern w:val="0"/>
          <w:sz w:val="32"/>
          <w:szCs w:val="32"/>
        </w:rPr>
        <w:t>一、部门（单位）职责</w:t>
      </w:r>
      <w:r>
        <w:rPr>
          <w:rFonts w:hint="eastAsia" w:ascii="仿宋_GB2312" w:hAnsi="宋体" w:eastAsia="仿宋_GB2312" w:cs="宋体"/>
          <w:kern w:val="0"/>
          <w:sz w:val="32"/>
          <w:szCs w:val="32"/>
        </w:rPr>
        <w:t xml:space="preserve"> </w:t>
      </w:r>
    </w:p>
    <w:p w14:paraId="6167F8D4">
      <w:pPr>
        <w:ind w:firstLine="640" w:firstLineChars="200"/>
        <w:rPr>
          <w:rFonts w:hint="eastAsia" w:ascii="仿宋" w:hAnsi="仿宋" w:eastAsia="仿宋"/>
          <w:sz w:val="32"/>
          <w:szCs w:val="32"/>
        </w:rPr>
      </w:pPr>
      <w:r>
        <w:rPr>
          <w:rFonts w:hint="eastAsia" w:ascii="仿宋" w:hAnsi="仿宋" w:eastAsia="仿宋"/>
          <w:sz w:val="32"/>
          <w:szCs w:val="32"/>
        </w:rPr>
        <w:t>（一）贯彻执行国家财政税政的方针、政策，拟定和执行市财政税收政策、改革方案及其他有关政策；参与制定各项宏观经济政策；研究并提出运用财税政策实施调控和综合平衡社会财力的建议。</w:t>
      </w:r>
    </w:p>
    <w:p w14:paraId="185A130A">
      <w:pPr>
        <w:ind w:firstLine="640" w:firstLineChars="200"/>
        <w:rPr>
          <w:rFonts w:hint="eastAsia" w:ascii="仿宋_GB2312" w:hAnsi="宋体" w:eastAsia="仿宋_GB2312" w:cs="宋体"/>
          <w:kern w:val="0"/>
          <w:sz w:val="32"/>
          <w:szCs w:val="32"/>
        </w:rPr>
      </w:pPr>
      <w:r>
        <w:rPr>
          <w:rFonts w:hint="eastAsia" w:ascii="仿宋" w:hAnsi="仿宋" w:eastAsia="仿宋"/>
          <w:sz w:val="32"/>
          <w:szCs w:val="32"/>
        </w:rPr>
        <w:t>（二）拟定区财政发展计划，受区政府委托，编制并向区人民代表大会报告区本级和全区年度财政预算及其执行情况，执行区人大批准的年度财政预算，向区人大常委会报告财政决算，管理区各项预算收入、预算外资金和财政专户，管理有关政府性基金和行政事业性收费等非税收入。</w:t>
      </w:r>
    </w:p>
    <w:p w14:paraId="62D4DBB7">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0813806F">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    二、机构设置</w:t>
      </w:r>
      <w:r>
        <w:rPr>
          <w:rFonts w:hint="eastAsia" w:ascii="仿宋_GB2312" w:hAnsi="宋体" w:eastAsia="仿宋_GB2312" w:cs="宋体"/>
          <w:kern w:val="0"/>
          <w:sz w:val="32"/>
          <w:szCs w:val="32"/>
        </w:rPr>
        <w:t xml:space="preserve"> </w:t>
      </w:r>
    </w:p>
    <w:p w14:paraId="1030456F">
      <w:pPr>
        <w:widowControl/>
        <w:spacing w:line="560" w:lineRule="exact"/>
        <w:ind w:firstLine="643" w:firstLineChars="200"/>
        <w:jc w:val="left"/>
        <w:rPr>
          <w:rFonts w:hint="eastAsia" w:ascii="仿宋_GB2312" w:hAnsi="宋体" w:eastAsia="仿宋_GB2312" w:cs="宋体"/>
          <w:kern w:val="0"/>
          <w:sz w:val="32"/>
          <w:szCs w:val="32"/>
        </w:rPr>
      </w:pPr>
      <w:r>
        <w:rPr>
          <w:rFonts w:hint="eastAsia" w:ascii="仿宋_GB2312" w:hAnsi="楷体" w:eastAsia="仿宋_GB2312" w:cs="宋体"/>
          <w:b/>
          <w:bCs/>
          <w:kern w:val="0"/>
          <w:sz w:val="32"/>
          <w:szCs w:val="32"/>
        </w:rPr>
        <w:t>主要职责</w:t>
      </w:r>
      <w:r>
        <w:rPr>
          <w:rFonts w:hint="eastAsia" w:ascii="仿宋_GB2312" w:hAnsi="宋体" w:eastAsia="仿宋_GB2312" w:cs="宋体"/>
          <w:kern w:val="0"/>
          <w:sz w:val="32"/>
          <w:szCs w:val="32"/>
        </w:rPr>
        <w:t xml:space="preserve"> （按本部门职责情况说明）</w:t>
      </w:r>
    </w:p>
    <w:p w14:paraId="0C354ECA">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（一）负责千山区退役军人优抚安置工作 </w:t>
      </w:r>
    </w:p>
    <w:p w14:paraId="0FBF253F">
      <w:pPr>
        <w:widowControl/>
        <w:spacing w:line="560" w:lineRule="exact"/>
        <w:ind w:firstLine="63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（二）负责千山区退役军人拥军优属工作 </w:t>
      </w:r>
    </w:p>
    <w:p w14:paraId="68BA17C1">
      <w:pPr>
        <w:widowControl/>
        <w:spacing w:line="560" w:lineRule="exact"/>
        <w:ind w:firstLine="63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（三）负责千山区退役军人上访接待工作</w:t>
      </w:r>
    </w:p>
    <w:p w14:paraId="1DAF3647">
      <w:pPr>
        <w:widowControl/>
        <w:spacing w:line="560" w:lineRule="exact"/>
        <w:ind w:firstLine="63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（四）负责军队转业干部的安置工作</w:t>
      </w:r>
    </w:p>
    <w:p w14:paraId="1B24D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微软雅黑" w:hAnsi="微软雅黑" w:eastAsia="微软雅黑" w:cs="微软雅黑"/>
          <w:i w:val="0"/>
          <w:iCs w:val="0"/>
          <w:caps w:val="0"/>
          <w:color w:val="000000"/>
          <w:spacing w:val="0"/>
          <w:sz w:val="24"/>
          <w:szCs w:val="24"/>
        </w:rPr>
      </w:pP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2A72C3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eastAsia="zh-CN"/>
        </w:rPr>
        <w:t>本</w:t>
      </w:r>
      <w:r>
        <w:rPr>
          <w:rFonts w:hint="eastAsia" w:ascii="仿宋_GB2312" w:hAnsi="微软雅黑" w:eastAsia="仿宋_GB2312" w:cs="仿宋_GB2312"/>
          <w:i w:val="0"/>
          <w:iCs w:val="0"/>
          <w:caps w:val="0"/>
          <w:color w:val="000000"/>
          <w:spacing w:val="0"/>
          <w:sz w:val="32"/>
          <w:szCs w:val="32"/>
          <w:shd w:val="clear" w:fill="FFFFFF"/>
        </w:rPr>
        <w:t>部门及所属单位所有收入和支出均纳入部门预算管理，2025年收支总预算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527.84</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527.84</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527.84</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527.84</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49.06</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478.78</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493.72</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3.36</w:t>
      </w:r>
      <w:r>
        <w:rPr>
          <w:rFonts w:hint="eastAsia" w:ascii="仿宋_GB2312" w:hAnsi="微软雅黑" w:eastAsia="仿宋_GB2312" w:cs="仿宋_GB2312"/>
          <w:i w:val="0"/>
          <w:iCs w:val="0"/>
          <w:caps w:val="0"/>
          <w:color w:val="000000"/>
          <w:spacing w:val="0"/>
          <w:sz w:val="32"/>
          <w:szCs w:val="32"/>
          <w:shd w:val="clear" w:fill="FFFFFF"/>
        </w:rPr>
        <w:t>万元，  </w:t>
      </w:r>
      <w:r>
        <w:rPr>
          <w:rFonts w:hint="eastAsia" w:ascii="仿宋_GB2312" w:hAnsi="微软雅黑" w:eastAsia="仿宋_GB2312" w:cs="仿宋_GB2312"/>
          <w:i w:val="0"/>
          <w:iCs w:val="0"/>
          <w:caps w:val="0"/>
          <w:color w:val="000000"/>
          <w:spacing w:val="0"/>
          <w:sz w:val="32"/>
          <w:szCs w:val="32"/>
          <w:shd w:val="clear" w:fill="FFFFFF"/>
          <w:lang w:eastAsia="zh-CN"/>
        </w:rPr>
        <w:t>卫生服务支出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30.76万元</w:t>
      </w:r>
      <w:r>
        <w:rPr>
          <w:rFonts w:hint="eastAsia" w:ascii="仿宋_GB2312" w:hAnsi="微软雅黑" w:eastAsia="仿宋_GB2312" w:cs="仿宋_GB2312"/>
          <w:i w:val="0"/>
          <w:iCs w:val="0"/>
          <w:caps w:val="0"/>
          <w:color w:val="000000"/>
          <w:spacing w:val="0"/>
          <w:sz w:val="32"/>
          <w:szCs w:val="32"/>
          <w:shd w:val="clear" w:fill="FFFFFF"/>
        </w:rPr>
        <w:t>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36.54</w:t>
      </w:r>
      <w:r>
        <w:rPr>
          <w:rFonts w:hint="eastAsia" w:ascii="仿宋_GB2312" w:hAnsi="微软雅黑" w:eastAsia="仿宋_GB2312" w:cs="仿宋_GB2312"/>
          <w:i w:val="0"/>
          <w:iCs w:val="0"/>
          <w:caps w:val="0"/>
          <w:color w:val="000000"/>
          <w:spacing w:val="0"/>
          <w:sz w:val="32"/>
          <w:szCs w:val="32"/>
          <w:shd w:val="clear" w:fill="FFFFFF"/>
        </w:rPr>
        <w:t>万元，债务支出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本</w:t>
      </w:r>
      <w:r>
        <w:rPr>
          <w:rFonts w:hint="eastAsia" w:ascii="仿宋_GB2312" w:hAnsi="微软雅黑" w:eastAsia="仿宋_GB2312" w:cs="仿宋_GB2312"/>
          <w:i w:val="0"/>
          <w:iCs w:val="0"/>
          <w:caps w:val="0"/>
          <w:color w:val="000000"/>
          <w:spacing w:val="0"/>
          <w:sz w:val="32"/>
          <w:szCs w:val="32"/>
          <w:shd w:val="clear" w:fill="FFFFFF"/>
        </w:rPr>
        <w:t>部门及所属单位部门收支预算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527.84</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7.76</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1.47</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的主要原因（按实际情况说明增减原因，以下原因仅供参考）：</w:t>
      </w:r>
      <w:r>
        <w:rPr>
          <w:rFonts w:hint="eastAsia" w:ascii="仿宋_GB2312" w:hAnsi="微软雅黑" w:eastAsia="仿宋_GB2312" w:cs="仿宋_GB2312"/>
          <w:i w:val="0"/>
          <w:iCs w:val="0"/>
          <w:caps w:val="0"/>
          <w:color w:val="000000"/>
          <w:spacing w:val="0"/>
          <w:sz w:val="32"/>
          <w:szCs w:val="32"/>
          <w:shd w:val="clear" w:fill="FFFFFF"/>
          <w:lang w:eastAsia="zh-CN"/>
        </w:rPr>
        <w:t>优抚人员补助比例提高。</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eastAsia="zh-CN"/>
        </w:rPr>
        <w:t>本</w:t>
      </w:r>
      <w:r>
        <w:rPr>
          <w:rFonts w:hint="eastAsia" w:ascii="仿宋_GB2312" w:hAnsi="微软雅黑" w:eastAsia="仿宋_GB2312" w:cs="仿宋_GB2312"/>
          <w:i w:val="0"/>
          <w:iCs w:val="0"/>
          <w:caps w:val="0"/>
          <w:color w:val="000000"/>
          <w:spacing w:val="0"/>
          <w:sz w:val="32"/>
          <w:szCs w:val="32"/>
          <w:shd w:val="clear" w:fill="FFFFFF"/>
        </w:rPr>
        <w:t>部门及所属单位2025年财政拨款收支总预算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527.84</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527.84</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493.72</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3.36</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30.76万元</w:t>
      </w:r>
      <w:r>
        <w:rPr>
          <w:rFonts w:hint="eastAsia" w:ascii="仿宋_GB2312" w:hAnsi="微软雅黑" w:eastAsia="仿宋_GB2312" w:cs="仿宋_GB2312"/>
          <w:i w:val="0"/>
          <w:iCs w:val="0"/>
          <w:caps w:val="0"/>
          <w:color w:val="000000"/>
          <w:spacing w:val="0"/>
          <w:sz w:val="32"/>
          <w:szCs w:val="32"/>
          <w:shd w:val="clear" w:fill="FFFFFF"/>
        </w:rPr>
        <w:t>；按经济支出包括:工资福利支出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45.06</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3.98</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0.02</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478.78</w:t>
      </w:r>
      <w:r>
        <w:rPr>
          <w:rFonts w:hint="eastAsia" w:ascii="仿宋_GB2312" w:hAnsi="微软雅黑" w:eastAsia="仿宋_GB2312" w:cs="仿宋_GB2312"/>
          <w:i w:val="0"/>
          <w:iCs w:val="0"/>
          <w:caps w:val="0"/>
          <w:color w:val="000000"/>
          <w:spacing w:val="0"/>
          <w:sz w:val="32"/>
          <w:szCs w:val="32"/>
          <w:shd w:val="clear" w:fill="FFFFFF"/>
        </w:rPr>
        <w:t>万元。 </w:t>
      </w:r>
    </w:p>
    <w:p w14:paraId="3B669A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78"/>
        <w:rPr>
          <w:rFonts w:hint="eastAsia" w:ascii="仿宋_GB2312" w:hAnsi="微软雅黑" w:eastAsia="仿宋_GB2312" w:cs="仿宋_GB2312"/>
          <w:i w:val="0"/>
          <w:iCs w:val="0"/>
          <w:caps w:val="0"/>
          <w:color w:val="000000"/>
          <w:spacing w:val="0"/>
          <w:sz w:val="32"/>
          <w:szCs w:val="32"/>
          <w:shd w:val="clear" w:fill="FFFFFF"/>
          <w:lang w:eastAsia="zh-CN"/>
        </w:rPr>
      </w:pPr>
      <w:r>
        <w:rPr>
          <w:rFonts w:hint="eastAsia" w:ascii="仿宋_GB2312" w:hAnsi="微软雅黑" w:eastAsia="仿宋_GB2312" w:cs="仿宋_GB2312"/>
          <w:i w:val="0"/>
          <w:iCs w:val="0"/>
          <w:caps w:val="0"/>
          <w:color w:val="000000"/>
          <w:spacing w:val="0"/>
          <w:sz w:val="32"/>
          <w:szCs w:val="32"/>
          <w:shd w:val="clear" w:fill="FFFFFF"/>
        </w:rPr>
        <w:t>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本</w:t>
      </w:r>
      <w:r>
        <w:rPr>
          <w:rFonts w:hint="eastAsia" w:ascii="仿宋_GB2312" w:hAnsi="微软雅黑" w:eastAsia="仿宋_GB2312" w:cs="仿宋_GB2312"/>
          <w:i w:val="0"/>
          <w:iCs w:val="0"/>
          <w:caps w:val="0"/>
          <w:color w:val="000000"/>
          <w:spacing w:val="0"/>
          <w:sz w:val="32"/>
          <w:szCs w:val="32"/>
          <w:shd w:val="clear" w:fill="FFFFFF"/>
        </w:rPr>
        <w:t>部门及所属单位部门财政拨款收支预算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527.84</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7.76</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1.47</w:t>
      </w:r>
      <w:r>
        <w:rPr>
          <w:rFonts w:hint="eastAsia" w:ascii="仿宋_GB2312" w:hAnsi="微软雅黑" w:eastAsia="仿宋_GB2312" w:cs="仿宋_GB2312"/>
          <w:i w:val="0"/>
          <w:iCs w:val="0"/>
          <w:caps w:val="0"/>
          <w:color w:val="000000"/>
          <w:spacing w:val="0"/>
          <w:sz w:val="32"/>
          <w:szCs w:val="32"/>
          <w:shd w:val="clear" w:fill="FFFFFF"/>
        </w:rPr>
        <w:t>%。财政拨款收入同比</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eastAsia="zh-CN"/>
        </w:rPr>
        <w:t>优抚对象补助比例提高。</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78"/>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val="0"/>
          <w:bCs w:val="0"/>
          <w:i w:val="0"/>
          <w:iCs w:val="0"/>
          <w:caps w:val="0"/>
          <w:color w:val="000000"/>
          <w:spacing w:val="0"/>
          <w:sz w:val="32"/>
          <w:szCs w:val="32"/>
          <w:shd w:val="clear" w:fill="FFFFFF"/>
          <w:lang w:eastAsia="zh-CN"/>
        </w:rPr>
        <w:t>本</w:t>
      </w:r>
      <w:r>
        <w:rPr>
          <w:rFonts w:hint="eastAsia" w:ascii="仿宋_GB2312" w:hAnsi="微软雅黑" w:eastAsia="仿宋_GB2312" w:cs="仿宋_GB2312"/>
          <w:i w:val="0"/>
          <w:iCs w:val="0"/>
          <w:caps w:val="0"/>
          <w:color w:val="000000"/>
          <w:spacing w:val="0"/>
          <w:sz w:val="32"/>
          <w:szCs w:val="32"/>
          <w:shd w:val="clear" w:fill="FFFFFF"/>
        </w:rPr>
        <w:t>部门及所属单位2025年一般公共预算基本支出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527.84</w:t>
      </w:r>
      <w:r>
        <w:rPr>
          <w:rFonts w:hint="eastAsia" w:ascii="仿宋_GB2312" w:hAnsi="微软雅黑" w:eastAsia="仿宋_GB2312" w:cs="仿宋_GB2312"/>
          <w:i w:val="0"/>
          <w:iCs w:val="0"/>
          <w:caps w:val="0"/>
          <w:color w:val="000000"/>
          <w:spacing w:val="0"/>
          <w:sz w:val="32"/>
          <w:szCs w:val="32"/>
          <w:shd w:val="clear" w:fill="FFFFFF"/>
        </w:rPr>
        <w:t> 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45.06</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3.98</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0.02</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，项目支持</w:t>
      </w:r>
      <w:r>
        <w:rPr>
          <w:rFonts w:hint="eastAsia" w:ascii="仿宋_GB2312" w:hAnsi="微软雅黑" w:eastAsia="仿宋_GB2312" w:cs="仿宋_GB2312"/>
          <w:i w:val="0"/>
          <w:iCs w:val="0"/>
          <w:caps w:val="0"/>
          <w:color w:val="000000"/>
          <w:spacing w:val="0"/>
          <w:sz w:val="32"/>
          <w:szCs w:val="32"/>
          <w:shd w:val="clear" w:fill="FFFFFF"/>
          <w:lang w:val="en-US" w:eastAsia="zh-CN"/>
        </w:rPr>
        <w:t>478.78万元。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47.72</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1.34</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7E58F7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1.34</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0.04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0.29</w:t>
      </w:r>
      <w:r>
        <w:rPr>
          <w:rFonts w:hint="eastAsia" w:ascii="仿宋_GB2312" w:hAnsi="微软雅黑" w:eastAsia="仿宋_GB2312" w:cs="仿宋_GB2312"/>
          <w:i w:val="0"/>
          <w:iCs w:val="0"/>
          <w:caps w:val="0"/>
          <w:color w:val="000000"/>
          <w:spacing w:val="0"/>
          <w:sz w:val="32"/>
          <w:szCs w:val="32"/>
          <w:shd w:val="clear" w:fill="FFFFFF"/>
        </w:rPr>
        <w:t>%。</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246BAF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fill="FFFFFF"/>
        </w:rPr>
      </w:pP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8</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8</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478.78</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4</w:t>
      </w:r>
      <w:bookmarkStart w:id="0" w:name="_GoBack"/>
      <w:bookmarkEnd w:id="0"/>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124A70DD"/>
    <w:rsid w:val="13053004"/>
    <w:rsid w:val="141759EE"/>
    <w:rsid w:val="175E7186"/>
    <w:rsid w:val="1BA3785E"/>
    <w:rsid w:val="1C8A6B72"/>
    <w:rsid w:val="25E22D30"/>
    <w:rsid w:val="28565580"/>
    <w:rsid w:val="2B7C45EA"/>
    <w:rsid w:val="2D0A1B74"/>
    <w:rsid w:val="2D4F4F14"/>
    <w:rsid w:val="31B54D1F"/>
    <w:rsid w:val="32863350"/>
    <w:rsid w:val="32D4704E"/>
    <w:rsid w:val="44492AFD"/>
    <w:rsid w:val="47211E71"/>
    <w:rsid w:val="4A242A90"/>
    <w:rsid w:val="4D952D2E"/>
    <w:rsid w:val="51E90E1F"/>
    <w:rsid w:val="531D208E"/>
    <w:rsid w:val="586C6306"/>
    <w:rsid w:val="59D92D8A"/>
    <w:rsid w:val="5B3F6646"/>
    <w:rsid w:val="60232B39"/>
    <w:rsid w:val="60B27518"/>
    <w:rsid w:val="654529D0"/>
    <w:rsid w:val="65FD39E8"/>
    <w:rsid w:val="69790883"/>
    <w:rsid w:val="6B457D39"/>
    <w:rsid w:val="6E863382"/>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5667</Words>
  <Characters>5932</Characters>
  <Lines>0</Lines>
  <Paragraphs>0</Paragraphs>
  <TotalTime>95</TotalTime>
  <ScaleCrop>false</ScaleCrop>
  <LinksUpToDate>false</LinksUpToDate>
  <CharactersWithSpaces>6180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2025-01-17T06:10:11Z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