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71104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605AF36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743D59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0DE5D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6FB578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156AE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b/>
          <w:sz w:val="44"/>
          <w:szCs w:val="44"/>
        </w:rPr>
      </w:pPr>
    </w:p>
    <w:p w14:paraId="639420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b/>
          <w:sz w:val="44"/>
          <w:szCs w:val="44"/>
          <w:lang w:val="en-US" w:eastAsia="zh-CN"/>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4</w:t>
      </w:r>
      <w:r>
        <w:rPr>
          <w:rFonts w:ascii="宋体" w:hAnsi="宋体"/>
          <w:b/>
          <w:sz w:val="44"/>
          <w:szCs w:val="44"/>
        </w:rPr>
        <w:t>年</w:t>
      </w:r>
      <w:r>
        <w:rPr>
          <w:rFonts w:hint="eastAsia" w:ascii="宋体" w:hAnsi="宋体"/>
          <w:b/>
          <w:sz w:val="44"/>
          <w:szCs w:val="44"/>
          <w:lang w:eastAsia="zh-CN"/>
        </w:rPr>
        <w:t>度</w:t>
      </w:r>
      <w:r>
        <w:rPr>
          <w:rFonts w:hint="eastAsia" w:ascii="宋体" w:hAnsi="宋体"/>
          <w:b/>
          <w:sz w:val="44"/>
          <w:szCs w:val="44"/>
          <w:lang w:val="en-US" w:eastAsia="zh-CN"/>
        </w:rPr>
        <w:t>千山区司法局本级</w:t>
      </w:r>
      <w:r>
        <w:rPr>
          <w:rFonts w:ascii="宋体" w:hAnsi="宋体"/>
          <w:b/>
          <w:sz w:val="44"/>
          <w:szCs w:val="44"/>
        </w:rPr>
        <w:t>预算</w:t>
      </w:r>
      <w:r>
        <w:rPr>
          <w:rFonts w:hint="eastAsia" w:ascii="宋体" w:hAnsi="宋体"/>
          <w:b/>
          <w:sz w:val="44"/>
          <w:szCs w:val="44"/>
          <w:lang w:val="en-US" w:eastAsia="zh-CN"/>
        </w:rPr>
        <w:t>公开</w:t>
      </w:r>
    </w:p>
    <w:p w14:paraId="7E0E2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79891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AF09E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BA0E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D38D2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A758D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503FB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3A99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58BB6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88B18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5C328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6BFDD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9F1A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7B3C3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76EBE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5F0F0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E46E0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7B878B7A">
      <w:pPr>
        <w:widowControl/>
        <w:spacing w:line="560" w:lineRule="exact"/>
        <w:jc w:val="left"/>
        <w:rPr>
          <w:rFonts w:hint="eastAsia" w:ascii="仿宋_GB2312" w:hAnsi="宋体" w:eastAsia="仿宋_GB2312" w:cs="宋体"/>
          <w:kern w:val="0"/>
          <w:sz w:val="32"/>
          <w:szCs w:val="32"/>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宋体"/>
          <w:b/>
          <w:bCs/>
          <w:kern w:val="0"/>
          <w:sz w:val="32"/>
          <w:szCs w:val="32"/>
        </w:rPr>
        <w:t>一、</w:t>
      </w:r>
      <w:r>
        <w:rPr>
          <w:rFonts w:hint="eastAsia" w:ascii="楷体" w:hAnsi="楷体" w:eastAsia="楷体" w:cs="宋体"/>
          <w:b/>
          <w:bCs/>
          <w:kern w:val="0"/>
          <w:sz w:val="32"/>
          <w:szCs w:val="32"/>
          <w:lang w:eastAsia="zh-CN"/>
        </w:rPr>
        <w:t>部门（单位）</w:t>
      </w:r>
      <w:r>
        <w:rPr>
          <w:rFonts w:hint="eastAsia" w:ascii="楷体" w:hAnsi="楷体" w:eastAsia="楷体" w:cs="宋体"/>
          <w:b/>
          <w:bCs/>
          <w:kern w:val="0"/>
          <w:sz w:val="32"/>
          <w:szCs w:val="32"/>
        </w:rPr>
        <w:t>职责</w:t>
      </w:r>
      <w:r>
        <w:rPr>
          <w:rFonts w:hint="eastAsia" w:ascii="仿宋_GB2312" w:hAnsi="宋体" w:eastAsia="仿宋_GB2312" w:cs="宋体"/>
          <w:kern w:val="0"/>
          <w:sz w:val="32"/>
          <w:szCs w:val="32"/>
        </w:rPr>
        <w:t xml:space="preserve"> </w:t>
      </w:r>
    </w:p>
    <w:p w14:paraId="1216EE49">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（一）贯彻执行国家司法行政工作的法律法规和方针政策；参与区域规章的制定工作；编制全区司法行政工作规划和年度计划;负责指导基层司法所工作；参与社会治安综合治理工作。</w:t>
      </w:r>
    </w:p>
    <w:p w14:paraId="32577D40">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（二）负责全区法制宣传和依法治县工作，拟订相关规划并组织实施；指导各镇(街道办)、各行业和基层依法治理工作。</w:t>
      </w:r>
    </w:p>
    <w:p w14:paraId="031FDF6E">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（三）负责指导监督全区律师工作，监督管理社会法律服务机构，维护法律服务市场秩序。</w:t>
      </w:r>
    </w:p>
    <w:p w14:paraId="08CB13A9">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（四）指导、管理全区法律援助工作。</w:t>
      </w:r>
    </w:p>
    <w:p w14:paraId="7A8B4282">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（五）指导、管理全区基层人民调解和基层法律服务工作。</w:t>
      </w:r>
    </w:p>
    <w:p w14:paraId="5C62CE79">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（六）负责仲裁机构登记前的审核工作。</w:t>
      </w:r>
    </w:p>
    <w:p w14:paraId="4BA68266">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（七）负责全区司法行政系统执法规范化工作。</w:t>
      </w:r>
    </w:p>
    <w:p w14:paraId="66DA156F">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（八）指导全区司法行政系统的队伍建设和思想政治工作。</w:t>
      </w:r>
    </w:p>
    <w:p w14:paraId="42D987A7">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（九）负责全区司法行政系统计划、财务、装备及后勤保障工作。</w:t>
      </w:r>
    </w:p>
    <w:p w14:paraId="12961418">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（十）组织实施法学教育，负责全区政法干部、普法骨干和法律服务人员的法律业务培训。</w:t>
      </w:r>
    </w:p>
    <w:p w14:paraId="29AD5CE5">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（十一）指导、管理全区社区矫正日常工作；指导、协调全区有关部门、镇政府(街道办)开展对刑满释放人员的安置帮教工作。</w:t>
      </w:r>
    </w:p>
    <w:p w14:paraId="67B05500">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（十二）完成区委、区政府交办的其他工作。</w:t>
      </w:r>
    </w:p>
    <w:p w14:paraId="70C7F5C4">
      <w:pPr>
        <w:widowControl/>
        <w:spacing w:line="560" w:lineRule="exact"/>
        <w:jc w:val="left"/>
        <w:rPr>
          <w:rFonts w:hint="eastAsia" w:ascii="楷体" w:hAnsi="楷体" w:eastAsia="楷体" w:cs="宋体"/>
          <w:b/>
          <w:bCs/>
          <w:kern w:val="0"/>
          <w:sz w:val="32"/>
          <w:szCs w:val="32"/>
        </w:rPr>
      </w:pPr>
      <w:r>
        <w:rPr>
          <w:rFonts w:hint="eastAsia" w:ascii="仿宋_GB2312" w:hAnsi="宋体" w:eastAsia="仿宋_GB2312" w:cs="宋体"/>
          <w:b/>
          <w:bCs/>
          <w:kern w:val="0"/>
          <w:sz w:val="32"/>
          <w:szCs w:val="32"/>
        </w:rPr>
        <w:t xml:space="preserve">    二、</w:t>
      </w:r>
      <w:r>
        <w:rPr>
          <w:rFonts w:hint="eastAsia" w:ascii="仿宋_GB2312" w:hAnsi="宋体" w:eastAsia="仿宋_GB2312" w:cs="宋体"/>
          <w:b/>
          <w:bCs/>
          <w:kern w:val="0"/>
          <w:sz w:val="32"/>
          <w:szCs w:val="32"/>
          <w:lang w:eastAsia="zh-CN"/>
        </w:rPr>
        <w:t>机构设置</w:t>
      </w:r>
      <w:r>
        <w:rPr>
          <w:rFonts w:hint="eastAsia" w:ascii="仿宋_GB2312" w:hAnsi="宋体" w:eastAsia="仿宋_GB2312" w:cs="宋体"/>
          <w:kern w:val="0"/>
          <w:sz w:val="32"/>
          <w:szCs w:val="32"/>
        </w:rPr>
        <w:t xml:space="preserve"> </w:t>
      </w:r>
    </w:p>
    <w:p w14:paraId="64DA813B">
      <w:p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纳入鞍山市千山区司法局</w:t>
      </w:r>
      <w:r>
        <w:rPr>
          <w:rFonts w:hint="eastAsia" w:ascii="仿宋" w:hAnsi="仿宋" w:eastAsia="仿宋" w:cs="Tahoma"/>
          <w:color w:val="333333"/>
          <w:kern w:val="0"/>
          <w:sz w:val="32"/>
          <w:szCs w:val="32"/>
          <w:lang w:eastAsia="zh-CN"/>
        </w:rPr>
        <w:t>202</w:t>
      </w:r>
      <w:r>
        <w:rPr>
          <w:rFonts w:hint="eastAsia" w:ascii="仿宋" w:hAnsi="仿宋" w:eastAsia="仿宋" w:cs="Tahoma"/>
          <w:color w:val="333333"/>
          <w:kern w:val="0"/>
          <w:sz w:val="32"/>
          <w:szCs w:val="32"/>
          <w:lang w:val="en-US" w:eastAsia="zh-CN"/>
        </w:rPr>
        <w:t>5</w:t>
      </w:r>
      <w:r>
        <w:rPr>
          <w:rFonts w:hint="eastAsia" w:ascii="仿宋" w:hAnsi="仿宋" w:eastAsia="仿宋" w:cs="Tahoma"/>
          <w:color w:val="333333"/>
          <w:kern w:val="0"/>
          <w:sz w:val="32"/>
          <w:szCs w:val="32"/>
        </w:rPr>
        <w:t>年部门决算编制范围的二级预算单位包括：</w:t>
      </w:r>
    </w:p>
    <w:p w14:paraId="3DB05C81">
      <w:pPr>
        <w:numPr>
          <w:ilvl w:val="0"/>
          <w:numId w:val="1"/>
        </w:num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rPr>
        <w:t>鞍山市千山区司法局机关</w:t>
      </w:r>
    </w:p>
    <w:p w14:paraId="63755136">
      <w:pPr>
        <w:numPr>
          <w:ilvl w:val="0"/>
          <w:numId w:val="1"/>
        </w:numPr>
        <w:spacing w:line="360" w:lineRule="auto"/>
        <w:ind w:firstLine="640" w:firstLineChars="200"/>
        <w:rPr>
          <w:rFonts w:hint="eastAsia" w:ascii="仿宋" w:hAnsi="仿宋" w:eastAsia="仿宋" w:cs="Tahoma"/>
          <w:color w:val="333333"/>
          <w:kern w:val="0"/>
          <w:sz w:val="32"/>
          <w:szCs w:val="32"/>
        </w:rPr>
      </w:pPr>
      <w:r>
        <w:rPr>
          <w:rFonts w:hint="eastAsia" w:ascii="仿宋" w:hAnsi="仿宋" w:eastAsia="仿宋" w:cs="Tahoma"/>
          <w:color w:val="333333"/>
          <w:kern w:val="0"/>
          <w:sz w:val="32"/>
          <w:szCs w:val="32"/>
          <w:lang w:val="en-US" w:eastAsia="zh-CN"/>
        </w:rPr>
        <w:t>鞍山市千山区法律援助中心</w:t>
      </w:r>
    </w:p>
    <w:p w14:paraId="5DEB4C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auto"/>
          <w:spacing w:val="0"/>
          <w:sz w:val="32"/>
          <w:szCs w:val="32"/>
          <w:shd w:val="clear" w:fill="FFFFFF"/>
        </w:rPr>
      </w:pPr>
      <w:r>
        <w:rPr>
          <w:rFonts w:hint="eastAsia" w:ascii="仿宋_GB2312" w:hAnsi="微软雅黑" w:eastAsia="仿宋_GB2312" w:cs="仿宋_GB2312"/>
          <w:i w:val="0"/>
          <w:iCs w:val="0"/>
          <w:caps w:val="0"/>
          <w:color w:val="auto"/>
          <w:spacing w:val="0"/>
          <w:sz w:val="32"/>
          <w:szCs w:val="32"/>
          <w:shd w:val="clear" w:fill="FFFFFF"/>
        </w:rPr>
        <w:t>2025年部门（单位）预算表（具体明细见附表） </w:t>
      </w:r>
    </w:p>
    <w:p w14:paraId="6E4D9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val="en-US" w:eastAsia="zh-CN"/>
        </w:rPr>
        <w:t>司法局</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535.9</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88.8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477.74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77.35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37.98</w:t>
      </w:r>
      <w:r>
        <w:rPr>
          <w:rFonts w:hint="eastAsia" w:ascii="仿宋_GB2312" w:hAnsi="微软雅黑" w:eastAsia="仿宋_GB2312" w:cs="仿宋_GB2312"/>
          <w:i w:val="0"/>
          <w:iCs w:val="0"/>
          <w:caps w:val="0"/>
          <w:color w:val="000000"/>
          <w:spacing w:val="0"/>
          <w:sz w:val="32"/>
          <w:szCs w:val="32"/>
          <w:shd w:val="clear" w:fill="FFFFFF"/>
        </w:rPr>
        <w:t>万元， </w:t>
      </w:r>
      <w:r>
        <w:rPr>
          <w:rFonts w:hint="eastAsia" w:ascii="仿宋_GB2312" w:hAnsi="微软雅黑" w:eastAsia="仿宋_GB2312" w:cs="仿宋_GB2312"/>
          <w:i w:val="0"/>
          <w:iCs w:val="0"/>
          <w:caps w:val="0"/>
          <w:color w:val="000000"/>
          <w:spacing w:val="0"/>
          <w:sz w:val="32"/>
          <w:szCs w:val="32"/>
          <w:shd w:val="clear" w:fill="FFFFFF"/>
          <w:lang w:val="en-US" w:eastAsia="zh-CN"/>
        </w:rPr>
        <w:t>卫生健康支出31.63万元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477.74</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司法局</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基本与上年度持平。</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司法局</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477.74</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77.35</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37.98</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442.82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66.1</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26.98</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88.8</w:t>
      </w:r>
      <w:r>
        <w:rPr>
          <w:rFonts w:hint="eastAsia" w:ascii="仿宋_GB2312" w:hAnsi="微软雅黑" w:eastAsia="仿宋_GB2312" w:cs="仿宋_GB2312"/>
          <w:i w:val="0"/>
          <w:iCs w:val="0"/>
          <w:caps w:val="0"/>
          <w:color w:val="000000"/>
          <w:spacing w:val="0"/>
          <w:sz w:val="32"/>
          <w:szCs w:val="32"/>
          <w:shd w:val="clear" w:fill="FFFFFF"/>
        </w:rPr>
        <w:t>万元。 </w:t>
      </w:r>
    </w:p>
    <w:p w14:paraId="73FE6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default" w:ascii="微软雅黑" w:hAnsi="微软雅黑" w:eastAsia="仿宋_GB2312" w:cs="微软雅黑"/>
          <w:i w:val="0"/>
          <w:iCs w:val="0"/>
          <w:caps w:val="0"/>
          <w:color w:val="000000"/>
          <w:spacing w:val="0"/>
          <w:sz w:val="24"/>
          <w:szCs w:val="24"/>
          <w:lang w:val="en-US" w:eastAsia="zh-CN"/>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val="en-US" w:eastAsia="zh-CN"/>
        </w:rPr>
        <w:t>司法局</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基本与上年度持平。</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司法</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624.7</w:t>
      </w:r>
      <w:r>
        <w:rPr>
          <w:rFonts w:hint="eastAsia" w:ascii="仿宋_GB2312" w:hAnsi="微软雅黑" w:eastAsia="仿宋_GB2312" w:cs="仿宋_GB2312"/>
          <w:i w:val="0"/>
          <w:iCs w:val="0"/>
          <w:caps w:val="0"/>
          <w:color w:val="000000"/>
          <w:spacing w:val="0"/>
          <w:sz w:val="32"/>
          <w:szCs w:val="32"/>
          <w:shd w:val="clear" w:fill="FFFFFF"/>
        </w:rPr>
        <w:t>万元，工资福利支出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442.82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66.1</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26.98</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496.2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2E0592D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default"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与上年度持平。</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21E0B2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微软雅黑" w:eastAsia="仿宋_GB2312" w:cs="仿宋_GB2312"/>
          <w:i w:val="0"/>
          <w:iCs w:val="0"/>
          <w:caps w:val="0"/>
          <w:color w:val="000000"/>
          <w:spacing w:val="0"/>
          <w:sz w:val="32"/>
          <w:szCs w:val="32"/>
          <w:shd w:val="clear" w:fill="FFFFFF"/>
          <w:lang w:val="en-US" w:eastAsia="zh-CN"/>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与上年持平。</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3.2</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r>
        <w:rPr>
          <w:rFonts w:hint="eastAsia" w:ascii="仿宋_GB2312" w:hAnsi="微软雅黑" w:eastAsia="仿宋_GB2312" w:cs="仿宋_GB2312"/>
          <w:i w:val="0"/>
          <w:iCs w:val="0"/>
          <w:caps w:val="0"/>
          <w:color w:val="000000"/>
          <w:spacing w:val="0"/>
          <w:sz w:val="32"/>
          <w:szCs w:val="32"/>
          <w:shd w:val="clear" w:fill="FFFFFF"/>
          <w:lang w:eastAsia="zh-CN"/>
        </w:rPr>
        <w:t>。</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1B6A2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val="en-US" w:eastAsia="zh-CN"/>
        </w:rPr>
        <w:t>司法局</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535.9</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w:t>
      </w:r>
      <w:bookmarkStart w:id="0" w:name="_GoBack"/>
      <w:bookmarkEnd w:id="0"/>
      <w:r>
        <w:rPr>
          <w:rFonts w:hint="eastAsia" w:ascii="仿宋_GB2312" w:hAnsi="微软雅黑" w:eastAsia="仿宋_GB2312" w:cs="仿宋_GB2312"/>
          <w:i w:val="0"/>
          <w:iCs w:val="0"/>
          <w:caps w:val="0"/>
          <w:color w:val="000000"/>
          <w:spacing w:val="0"/>
          <w:sz w:val="32"/>
          <w:szCs w:val="32"/>
          <w:shd w:val="clear" w:fill="FFFFFF"/>
        </w:rPr>
        <w:t>，无债务支出预算，无政府采购预算，无购买服务预算，因此“政府性基金预算支出表”、“债务支出预算表”、“政府采购支出预算表”、“政府购买服务支出预算表”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1CD7C0"/>
    <w:multiLevelType w:val="singleLevel"/>
    <w:tmpl w:val="ED1CD7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3616D48"/>
    <w:rsid w:val="0D2167BC"/>
    <w:rsid w:val="1566174D"/>
    <w:rsid w:val="25E22D30"/>
    <w:rsid w:val="43857BCE"/>
    <w:rsid w:val="44492AFD"/>
    <w:rsid w:val="4D952D2E"/>
    <w:rsid w:val="51E113CC"/>
    <w:rsid w:val="586C6306"/>
    <w:rsid w:val="60B27518"/>
    <w:rsid w:val="660246A1"/>
    <w:rsid w:val="69790883"/>
    <w:rsid w:val="74003859"/>
    <w:rsid w:val="757A1C0A"/>
    <w:rsid w:val="77152070"/>
    <w:rsid w:val="77A2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5638</Words>
  <Characters>5886</Characters>
  <Lines>0</Lines>
  <Paragraphs>0</Paragraphs>
  <TotalTime>20</TotalTime>
  <ScaleCrop>false</ScaleCrop>
  <LinksUpToDate>false</LinksUpToDate>
  <CharactersWithSpaces>6115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2025-01-19T07:05:24Z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