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A8E4B">
      <w:pPr>
        <w:pStyle w:val="4"/>
        <w:widowControl/>
        <w:shd w:val="clear" w:color="auto" w:fill="FFFFFF"/>
        <w:jc w:val="left"/>
        <w:rPr>
          <w:rFonts w:ascii="微软雅黑" w:hAnsi="微软雅黑" w:eastAsia="微软雅黑" w:cs="微软雅黑"/>
          <w:color w:val="000000"/>
        </w:rPr>
      </w:pPr>
    </w:p>
    <w:p w14:paraId="513437C9">
      <w:pPr>
        <w:pStyle w:val="4"/>
        <w:widowControl/>
        <w:shd w:val="clear" w:color="auto" w:fill="FFFFFF"/>
        <w:jc w:val="center"/>
        <w:rPr>
          <w:rFonts w:hint="eastAsia" w:cs="Times New Roman" w:asciiTheme="majorEastAsia" w:hAnsiTheme="majorEastAsia" w:eastAsiaTheme="majorEastAsia"/>
          <w:b/>
          <w:bCs/>
          <w:color w:val="000000"/>
          <w:sz w:val="44"/>
          <w:szCs w:val="44"/>
          <w:shd w:val="clear" w:color="auto" w:fill="FFFFFF"/>
        </w:rPr>
      </w:pPr>
    </w:p>
    <w:p w14:paraId="4C3498DE">
      <w:pPr>
        <w:pStyle w:val="4"/>
        <w:widowControl/>
        <w:shd w:val="clear" w:color="auto" w:fill="FFFFFF"/>
        <w:jc w:val="center"/>
        <w:rPr>
          <w:rFonts w:hint="eastAsia" w:cs="Times New Roman" w:asciiTheme="majorEastAsia" w:hAnsiTheme="majorEastAsia" w:eastAsiaTheme="majorEastAsia"/>
          <w:b/>
          <w:bCs/>
          <w:color w:val="000000"/>
          <w:sz w:val="44"/>
          <w:szCs w:val="44"/>
          <w:shd w:val="clear" w:color="auto" w:fill="FFFFFF"/>
        </w:rPr>
      </w:pPr>
    </w:p>
    <w:p w14:paraId="47308B7E">
      <w:pPr>
        <w:pStyle w:val="4"/>
        <w:widowControl/>
        <w:shd w:val="clear" w:color="auto" w:fill="FFFFFF"/>
        <w:jc w:val="center"/>
        <w:rPr>
          <w:rFonts w:hint="eastAsia" w:cs="Times New Roman" w:asciiTheme="majorEastAsia" w:hAnsiTheme="majorEastAsia" w:eastAsiaTheme="majorEastAsia"/>
          <w:b/>
          <w:bCs/>
          <w:color w:val="000000"/>
          <w:sz w:val="44"/>
          <w:szCs w:val="44"/>
          <w:shd w:val="clear" w:color="auto" w:fill="FFFFFF"/>
        </w:rPr>
      </w:pPr>
    </w:p>
    <w:p w14:paraId="2480F27E">
      <w:pPr>
        <w:pStyle w:val="4"/>
        <w:widowControl/>
        <w:shd w:val="clear" w:color="auto" w:fill="FFFFFF"/>
        <w:jc w:val="center"/>
        <w:rPr>
          <w:rFonts w:hint="eastAsia" w:cs="Times New Roman" w:asciiTheme="majorEastAsia" w:hAnsiTheme="majorEastAsia" w:eastAsiaTheme="majorEastAsia"/>
          <w:b/>
          <w:bCs/>
          <w:color w:val="000000"/>
          <w:sz w:val="44"/>
          <w:szCs w:val="44"/>
          <w:shd w:val="clear" w:color="auto" w:fill="FFFFFF"/>
        </w:rPr>
      </w:pPr>
    </w:p>
    <w:p w14:paraId="4E9584EB">
      <w:pPr>
        <w:pStyle w:val="4"/>
        <w:widowControl/>
        <w:shd w:val="clear" w:color="auto" w:fill="FFFFFF"/>
        <w:jc w:val="center"/>
        <w:rPr>
          <w:rFonts w:hint="eastAsia" w:cs="Times New Roman" w:asciiTheme="majorEastAsia" w:hAnsiTheme="majorEastAsia" w:eastAsiaTheme="majorEastAsia"/>
          <w:b/>
          <w:bCs/>
          <w:color w:val="000000"/>
          <w:sz w:val="44"/>
          <w:szCs w:val="44"/>
          <w:shd w:val="clear" w:color="auto" w:fill="FFFFFF"/>
        </w:rPr>
      </w:pPr>
    </w:p>
    <w:p w14:paraId="474FCBDC">
      <w:pPr>
        <w:pStyle w:val="4"/>
        <w:widowControl/>
        <w:shd w:val="clear" w:color="auto" w:fill="FFFFFF"/>
        <w:jc w:val="center"/>
        <w:rPr>
          <w:rFonts w:hint="eastAsia" w:cs="Times New Roman" w:asciiTheme="majorEastAsia" w:hAnsiTheme="majorEastAsia" w:eastAsiaTheme="majorEastAsia"/>
          <w:b/>
          <w:bCs/>
          <w:color w:val="000000"/>
          <w:sz w:val="44"/>
          <w:szCs w:val="44"/>
          <w:shd w:val="clear" w:color="auto" w:fill="FFFFFF"/>
        </w:rPr>
      </w:pPr>
    </w:p>
    <w:p w14:paraId="2CEC098C">
      <w:pPr>
        <w:pStyle w:val="4"/>
        <w:widowControl/>
        <w:shd w:val="clear" w:color="auto" w:fill="FFFFFF"/>
        <w:jc w:val="center"/>
        <w:rPr>
          <w:rFonts w:cs="微软雅黑" w:asciiTheme="majorEastAsia" w:hAnsiTheme="majorEastAsia" w:eastAsiaTheme="majorEastAsia"/>
          <w:color w:val="000000"/>
          <w:sz w:val="44"/>
          <w:szCs w:val="44"/>
        </w:rPr>
      </w:pPr>
      <w:r>
        <w:rPr>
          <w:rFonts w:hint="eastAsia" w:cs="Times New Roman" w:asciiTheme="majorEastAsia" w:hAnsiTheme="majorEastAsia" w:eastAsiaTheme="majorEastAsia"/>
          <w:b/>
          <w:bCs/>
          <w:color w:val="000000"/>
          <w:sz w:val="44"/>
          <w:szCs w:val="44"/>
          <w:shd w:val="clear" w:color="auto" w:fill="FFFFFF"/>
        </w:rPr>
        <w:t>汤岗子街道办事处本级</w:t>
      </w:r>
    </w:p>
    <w:p w14:paraId="063BEA7E">
      <w:pPr>
        <w:pStyle w:val="4"/>
        <w:widowControl/>
        <w:shd w:val="clear" w:color="auto" w:fill="FFFFFF"/>
        <w:jc w:val="center"/>
        <w:rPr>
          <w:rFonts w:ascii="微软雅黑" w:hAnsi="微软雅黑" w:eastAsia="微软雅黑" w:cs="微软雅黑"/>
          <w:color w:val="000000"/>
        </w:rPr>
      </w:pPr>
      <w:r>
        <w:rPr>
          <w:rFonts w:hint="eastAsia" w:ascii="宋体" w:hAnsi="宋体" w:eastAsia="宋体" w:cs="宋体"/>
          <w:b/>
          <w:bCs/>
          <w:color w:val="000000"/>
          <w:sz w:val="44"/>
          <w:szCs w:val="44"/>
          <w:shd w:val="clear" w:color="auto" w:fill="FFFFFF"/>
        </w:rPr>
        <w:t>2025年度部门（单位）预算</w:t>
      </w:r>
    </w:p>
    <w:p w14:paraId="5BE17843">
      <w:pPr>
        <w:pStyle w:val="4"/>
        <w:widowControl/>
        <w:shd w:val="clear" w:color="auto" w:fill="FFFFFF"/>
        <w:jc w:val="center"/>
        <w:rPr>
          <w:rFonts w:ascii="黑体" w:hAnsi="宋体" w:eastAsia="黑体" w:cs="黑体"/>
          <w:b/>
          <w:bCs/>
          <w:color w:val="000000"/>
          <w:sz w:val="32"/>
          <w:szCs w:val="32"/>
          <w:shd w:val="clear" w:color="auto" w:fill="FFFFFF"/>
        </w:rPr>
      </w:pPr>
    </w:p>
    <w:p w14:paraId="58AE8E2C">
      <w:pPr>
        <w:pStyle w:val="4"/>
        <w:widowControl/>
        <w:shd w:val="clear" w:color="auto" w:fill="FFFFFF"/>
        <w:jc w:val="center"/>
        <w:rPr>
          <w:rFonts w:ascii="黑体" w:hAnsi="宋体" w:eastAsia="黑体" w:cs="黑体"/>
          <w:b/>
          <w:bCs/>
          <w:color w:val="000000"/>
          <w:sz w:val="32"/>
          <w:szCs w:val="32"/>
          <w:shd w:val="clear" w:color="auto" w:fill="FFFFFF"/>
        </w:rPr>
      </w:pPr>
    </w:p>
    <w:p w14:paraId="3F4E8C55">
      <w:pPr>
        <w:pStyle w:val="4"/>
        <w:widowControl/>
        <w:shd w:val="clear" w:color="auto" w:fill="FFFFFF"/>
        <w:jc w:val="center"/>
        <w:rPr>
          <w:rFonts w:ascii="黑体" w:hAnsi="宋体" w:eastAsia="黑体" w:cs="黑体"/>
          <w:b/>
          <w:bCs/>
          <w:color w:val="000000"/>
          <w:sz w:val="32"/>
          <w:szCs w:val="32"/>
          <w:shd w:val="clear" w:color="auto" w:fill="FFFFFF"/>
        </w:rPr>
      </w:pPr>
    </w:p>
    <w:p w14:paraId="333783D5">
      <w:pPr>
        <w:pStyle w:val="4"/>
        <w:widowControl/>
        <w:shd w:val="clear" w:color="auto" w:fill="FFFFFF"/>
        <w:jc w:val="center"/>
        <w:rPr>
          <w:rFonts w:ascii="黑体" w:hAnsi="宋体" w:eastAsia="黑体" w:cs="黑体"/>
          <w:b/>
          <w:bCs/>
          <w:color w:val="000000"/>
          <w:sz w:val="32"/>
          <w:szCs w:val="32"/>
          <w:shd w:val="clear" w:color="auto" w:fill="FFFFFF"/>
        </w:rPr>
      </w:pPr>
    </w:p>
    <w:p w14:paraId="3A6B9562">
      <w:pPr>
        <w:pStyle w:val="4"/>
        <w:widowControl/>
        <w:shd w:val="clear" w:color="auto" w:fill="FFFFFF"/>
        <w:jc w:val="center"/>
        <w:rPr>
          <w:rFonts w:ascii="黑体" w:hAnsi="宋体" w:eastAsia="黑体" w:cs="黑体"/>
          <w:b/>
          <w:bCs/>
          <w:color w:val="000000"/>
          <w:sz w:val="32"/>
          <w:szCs w:val="32"/>
          <w:shd w:val="clear" w:color="auto" w:fill="FFFFFF"/>
        </w:rPr>
      </w:pPr>
    </w:p>
    <w:p w14:paraId="7AFC2BC6">
      <w:pPr>
        <w:pStyle w:val="4"/>
        <w:widowControl/>
        <w:shd w:val="clear" w:color="auto" w:fill="FFFFFF"/>
        <w:jc w:val="center"/>
        <w:rPr>
          <w:rFonts w:ascii="黑体" w:hAnsi="宋体" w:eastAsia="黑体" w:cs="黑体"/>
          <w:b/>
          <w:bCs/>
          <w:color w:val="000000"/>
          <w:sz w:val="32"/>
          <w:szCs w:val="32"/>
          <w:shd w:val="clear" w:color="auto" w:fill="FFFFFF"/>
        </w:rPr>
      </w:pPr>
    </w:p>
    <w:p w14:paraId="6B4EEFF4">
      <w:pPr>
        <w:pStyle w:val="4"/>
        <w:widowControl/>
        <w:shd w:val="clear" w:color="auto" w:fill="FFFFFF"/>
        <w:jc w:val="center"/>
        <w:rPr>
          <w:rFonts w:ascii="黑体" w:hAnsi="宋体" w:eastAsia="黑体" w:cs="黑体"/>
          <w:b/>
          <w:bCs/>
          <w:color w:val="000000"/>
          <w:sz w:val="32"/>
          <w:szCs w:val="32"/>
          <w:shd w:val="clear" w:color="auto" w:fill="FFFFFF"/>
        </w:rPr>
      </w:pPr>
    </w:p>
    <w:p w14:paraId="6D56DD82">
      <w:pPr>
        <w:pStyle w:val="4"/>
        <w:widowControl/>
        <w:shd w:val="clear" w:color="auto" w:fill="FFFFFF"/>
        <w:jc w:val="center"/>
        <w:rPr>
          <w:rFonts w:ascii="黑体" w:hAnsi="宋体" w:eastAsia="黑体" w:cs="黑体"/>
          <w:b/>
          <w:bCs/>
          <w:color w:val="000000"/>
          <w:sz w:val="32"/>
          <w:szCs w:val="32"/>
          <w:shd w:val="clear" w:color="auto" w:fill="FFFFFF"/>
        </w:rPr>
      </w:pPr>
    </w:p>
    <w:p w14:paraId="25B358B0">
      <w:pPr>
        <w:pStyle w:val="4"/>
        <w:widowControl/>
        <w:shd w:val="clear" w:color="auto" w:fill="FFFFFF"/>
        <w:jc w:val="center"/>
        <w:rPr>
          <w:rFonts w:ascii="黑体" w:hAnsi="宋体" w:eastAsia="黑体" w:cs="黑体"/>
          <w:b/>
          <w:bCs/>
          <w:color w:val="000000"/>
          <w:sz w:val="32"/>
          <w:szCs w:val="32"/>
          <w:shd w:val="clear" w:color="auto" w:fill="FFFFFF"/>
        </w:rPr>
      </w:pPr>
    </w:p>
    <w:p w14:paraId="3F3F3DC3">
      <w:pPr>
        <w:pStyle w:val="4"/>
        <w:widowControl/>
        <w:shd w:val="clear" w:color="auto" w:fill="FFFFFF"/>
        <w:jc w:val="center"/>
        <w:rPr>
          <w:rFonts w:ascii="黑体" w:hAnsi="宋体" w:eastAsia="黑体" w:cs="黑体"/>
          <w:b/>
          <w:bCs/>
          <w:color w:val="000000"/>
          <w:sz w:val="32"/>
          <w:szCs w:val="32"/>
          <w:shd w:val="clear" w:color="auto" w:fill="FFFFFF"/>
        </w:rPr>
      </w:pPr>
    </w:p>
    <w:p w14:paraId="6B30264D">
      <w:pPr>
        <w:pStyle w:val="4"/>
        <w:widowControl/>
        <w:shd w:val="clear" w:color="auto" w:fill="FFFFFF"/>
        <w:jc w:val="center"/>
        <w:rPr>
          <w:rFonts w:ascii="黑体" w:hAnsi="宋体" w:eastAsia="黑体" w:cs="黑体"/>
          <w:b/>
          <w:bCs/>
          <w:color w:val="000000"/>
          <w:sz w:val="32"/>
          <w:szCs w:val="32"/>
          <w:shd w:val="clear" w:color="auto" w:fill="FFFFFF"/>
        </w:rPr>
      </w:pPr>
    </w:p>
    <w:p w14:paraId="1AA288C0">
      <w:pPr>
        <w:pStyle w:val="4"/>
        <w:widowControl/>
        <w:shd w:val="clear" w:color="auto" w:fill="FFFFFF"/>
        <w:jc w:val="center"/>
        <w:rPr>
          <w:rFonts w:ascii="黑体" w:hAnsi="宋体" w:eastAsia="黑体" w:cs="黑体"/>
          <w:b/>
          <w:bCs/>
          <w:color w:val="000000"/>
          <w:sz w:val="32"/>
          <w:szCs w:val="32"/>
          <w:shd w:val="clear" w:color="auto" w:fill="FFFFFF"/>
        </w:rPr>
      </w:pPr>
    </w:p>
    <w:p w14:paraId="49C4FC63">
      <w:pPr>
        <w:pStyle w:val="4"/>
        <w:widowControl/>
        <w:shd w:val="clear" w:color="auto" w:fill="FFFFFF"/>
        <w:jc w:val="center"/>
        <w:rPr>
          <w:rFonts w:ascii="黑体" w:hAnsi="宋体" w:eastAsia="黑体" w:cs="黑体"/>
          <w:b/>
          <w:bCs/>
          <w:color w:val="000000"/>
          <w:sz w:val="32"/>
          <w:szCs w:val="32"/>
          <w:shd w:val="clear" w:color="auto" w:fill="FFFFFF"/>
        </w:rPr>
      </w:pPr>
    </w:p>
    <w:p w14:paraId="775B74CB">
      <w:pPr>
        <w:pStyle w:val="4"/>
        <w:widowControl/>
        <w:shd w:val="clear" w:color="auto" w:fill="FFFFFF"/>
        <w:jc w:val="center"/>
        <w:rPr>
          <w:rFonts w:ascii="微软雅黑" w:hAnsi="微软雅黑" w:eastAsia="微软雅黑" w:cs="微软雅黑"/>
          <w:color w:val="000000"/>
        </w:rPr>
      </w:pPr>
      <w:bookmarkStart w:id="0" w:name="_GoBack"/>
      <w:bookmarkEnd w:id="0"/>
      <w:r>
        <w:rPr>
          <w:rFonts w:ascii="黑体" w:hAnsi="宋体" w:eastAsia="黑体" w:cs="黑体"/>
          <w:b/>
          <w:bCs/>
          <w:color w:val="000000"/>
          <w:sz w:val="32"/>
          <w:szCs w:val="32"/>
          <w:shd w:val="clear" w:color="auto" w:fill="FFFFFF"/>
        </w:rPr>
        <w:t>目</w:t>
      </w:r>
      <w:r>
        <w:rPr>
          <w:rFonts w:hint="eastAsia" w:ascii="黑体" w:hAnsi="宋体" w:eastAsia="黑体" w:cs="黑体"/>
          <w:b/>
          <w:bCs/>
          <w:color w:val="000000"/>
          <w:sz w:val="32"/>
          <w:szCs w:val="32"/>
          <w:shd w:val="clear" w:color="auto" w:fill="FFFFFF"/>
        </w:rPr>
        <w:t>  录</w:t>
      </w:r>
    </w:p>
    <w:p w14:paraId="51D13BAC">
      <w:pPr>
        <w:pStyle w:val="4"/>
        <w:widowControl/>
        <w:shd w:val="clear" w:color="auto" w:fill="FFFFFF"/>
        <w:spacing w:line="560" w:lineRule="atLeast"/>
        <w:ind w:firstLine="422"/>
        <w:jc w:val="left"/>
        <w:rPr>
          <w:rFonts w:ascii="微软雅黑" w:hAnsi="微软雅黑" w:eastAsia="微软雅黑" w:cs="微软雅黑"/>
          <w:color w:val="000000"/>
        </w:rPr>
      </w:pPr>
      <w:r>
        <w:rPr>
          <w:rFonts w:ascii="楷体" w:hAnsi="楷体" w:eastAsia="楷体" w:cs="楷体"/>
          <w:b/>
          <w:bCs/>
          <w:color w:val="000000"/>
          <w:sz w:val="32"/>
          <w:szCs w:val="32"/>
          <w:shd w:val="clear" w:color="auto" w:fill="FFFFFF"/>
        </w:rPr>
        <w:t>第一部</w:t>
      </w:r>
      <w:r>
        <w:rPr>
          <w:rFonts w:hint="eastAsia" w:ascii="楷体" w:hAnsi="楷体" w:eastAsia="楷体" w:cs="楷体"/>
          <w:b/>
          <w:bCs/>
          <w:color w:val="000000"/>
          <w:sz w:val="32"/>
          <w:szCs w:val="32"/>
          <w:shd w:val="clear" w:color="auto" w:fill="FFFFFF"/>
        </w:rPr>
        <w:t>分 部门预算公开管理文件</w:t>
      </w:r>
      <w:r>
        <w:rPr>
          <w:rFonts w:hint="eastAsia" w:ascii="楷体" w:hAnsi="楷体" w:eastAsia="楷体" w:cs="楷体"/>
          <w:color w:val="000000"/>
          <w:sz w:val="32"/>
          <w:szCs w:val="32"/>
          <w:shd w:val="clear" w:color="auto" w:fill="FFFFFF"/>
        </w:rPr>
        <w:t> </w:t>
      </w:r>
    </w:p>
    <w:p w14:paraId="4DE2DF40">
      <w:pPr>
        <w:pStyle w:val="4"/>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第二部分 汤岗子街道办事处本级概况</w:t>
      </w:r>
    </w:p>
    <w:p w14:paraId="13A1BE06">
      <w:pPr>
        <w:pStyle w:val="4"/>
        <w:widowControl/>
        <w:numPr>
          <w:ilvl w:val="0"/>
          <w:numId w:val="1"/>
        </w:numPr>
        <w:shd w:val="clear" w:color="auto" w:fill="FFFFFF"/>
        <w:spacing w:line="560" w:lineRule="atLeast"/>
        <w:jc w:val="left"/>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汤岗子街道办事处本级职责</w:t>
      </w:r>
    </w:p>
    <w:p w14:paraId="4A5B0A2E">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二、机构设置 </w:t>
      </w:r>
    </w:p>
    <w:p w14:paraId="71D7F252">
      <w:pPr>
        <w:pStyle w:val="4"/>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第三部分 2025年汤岗子街道办事处本级预算表</w:t>
      </w:r>
      <w:r>
        <w:rPr>
          <w:rFonts w:hint="eastAsia" w:ascii="楷体" w:hAnsi="楷体" w:eastAsia="楷体" w:cs="楷体"/>
          <w:color w:val="000000"/>
          <w:sz w:val="32"/>
          <w:szCs w:val="32"/>
          <w:shd w:val="clear" w:color="auto" w:fill="FFFFFF"/>
        </w:rPr>
        <w:t> </w:t>
      </w:r>
    </w:p>
    <w:p w14:paraId="16025055">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一、收支预算总表</w:t>
      </w:r>
    </w:p>
    <w:p w14:paraId="7C7E1F18">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二、收入预算总表</w:t>
      </w:r>
    </w:p>
    <w:p w14:paraId="31B6D4DE">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三、支出预算总表</w:t>
      </w:r>
    </w:p>
    <w:p w14:paraId="34247E62">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四、财政拨款收支预算总表</w:t>
      </w:r>
    </w:p>
    <w:p w14:paraId="39AA0C10">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五、一般公共预算支出表</w:t>
      </w:r>
    </w:p>
    <w:p w14:paraId="3DF8CFAC">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六、一般公共预算基本支出表</w:t>
      </w:r>
    </w:p>
    <w:p w14:paraId="2863ED9B">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七、财政拨款预算“三公”经费支出表</w:t>
      </w:r>
    </w:p>
    <w:p w14:paraId="3E7D4BB0">
      <w:pPr>
        <w:pStyle w:val="4"/>
        <w:widowControl/>
        <w:shd w:val="clear" w:color="auto" w:fill="FFFFFF"/>
        <w:spacing w:line="560" w:lineRule="atLeast"/>
        <w:ind w:firstLine="420"/>
        <w:jc w:val="left"/>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八、政府性基金预算支出表</w:t>
      </w:r>
    </w:p>
    <w:p w14:paraId="16859C93">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九、国有资本经营预算支出表</w:t>
      </w:r>
    </w:p>
    <w:p w14:paraId="49A511C6">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十、项目支出预算表</w:t>
      </w:r>
    </w:p>
    <w:p w14:paraId="0F117E8E">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十一、支出功能分类预算表</w:t>
      </w:r>
    </w:p>
    <w:p w14:paraId="2C0B1595">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十二、支出经济分类预算表（政府预算）</w:t>
      </w:r>
    </w:p>
    <w:p w14:paraId="3722ACC9">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十三、支出经济分类预算表（部门预算）</w:t>
      </w:r>
    </w:p>
    <w:p w14:paraId="6E354431">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十四、债务支出预算表</w:t>
      </w:r>
    </w:p>
    <w:p w14:paraId="462C46CF">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十五、政府采购支出预算表</w:t>
      </w:r>
    </w:p>
    <w:p w14:paraId="5FA4CB41">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十六、政府购买服务支出预算表</w:t>
      </w:r>
    </w:p>
    <w:p w14:paraId="19D085E1">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十七、部门（单位）整体绩效目标表</w:t>
      </w:r>
    </w:p>
    <w:p w14:paraId="68317A2D">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十八、部门预算项目（政策）绩效目标表</w:t>
      </w:r>
    </w:p>
    <w:p w14:paraId="2B2FD7F9">
      <w:pPr>
        <w:pStyle w:val="4"/>
        <w:widowControl/>
        <w:shd w:val="clear" w:color="auto" w:fill="FFFFFF"/>
        <w:spacing w:line="560" w:lineRule="atLeast"/>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第四部分2025年汤岗子街道办事处本级预算情况说明</w:t>
      </w:r>
      <w:r>
        <w:rPr>
          <w:rFonts w:hint="eastAsia" w:ascii="楷体" w:hAnsi="楷体" w:eastAsia="楷体" w:cs="楷体"/>
          <w:color w:val="000000"/>
          <w:sz w:val="32"/>
          <w:szCs w:val="32"/>
          <w:shd w:val="clear" w:color="auto" w:fill="FFFFFF"/>
        </w:rPr>
        <w:t> </w:t>
      </w:r>
    </w:p>
    <w:p w14:paraId="0A1866D3">
      <w:pPr>
        <w:pStyle w:val="4"/>
        <w:widowControl/>
        <w:shd w:val="clear" w:color="auto" w:fill="FFFFFF"/>
        <w:spacing w:line="560" w:lineRule="atLeast"/>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第五部分 名词解释</w:t>
      </w:r>
      <w:r>
        <w:rPr>
          <w:rFonts w:hint="eastAsia" w:ascii="楷体" w:hAnsi="楷体" w:eastAsia="楷体" w:cs="楷体"/>
          <w:color w:val="000000"/>
          <w:sz w:val="32"/>
          <w:szCs w:val="32"/>
          <w:shd w:val="clear" w:color="auto" w:fill="FFFFFF"/>
        </w:rPr>
        <w:t> </w:t>
      </w:r>
    </w:p>
    <w:p w14:paraId="554A5DE6">
      <w:pPr>
        <w:pStyle w:val="4"/>
        <w:widowControl/>
        <w:shd w:val="clear" w:color="auto" w:fill="FFFFFF"/>
        <w:spacing w:line="600" w:lineRule="atLeast"/>
        <w:rPr>
          <w:rFonts w:ascii="楷体" w:hAnsi="楷体" w:eastAsia="楷体" w:cs="楷体"/>
          <w:b/>
          <w:bCs/>
          <w:color w:val="000000"/>
          <w:sz w:val="32"/>
          <w:szCs w:val="32"/>
          <w:shd w:val="clear" w:color="auto" w:fill="FFFFFF"/>
        </w:rPr>
      </w:pPr>
    </w:p>
    <w:p w14:paraId="6F6CF343">
      <w:pPr>
        <w:pStyle w:val="4"/>
        <w:widowControl/>
        <w:shd w:val="clear" w:color="auto" w:fill="FFFFFF"/>
        <w:spacing w:line="60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第一部分  部门预算公开管理文件</w:t>
      </w:r>
    </w:p>
    <w:p w14:paraId="20E1F1F0">
      <w:pPr>
        <w:pStyle w:val="4"/>
        <w:widowControl/>
        <w:shd w:val="clear" w:color="auto" w:fill="FFFFFF"/>
        <w:spacing w:line="600" w:lineRule="atLeast"/>
        <w:jc w:val="center"/>
        <w:rPr>
          <w:rFonts w:ascii="微软雅黑" w:hAnsi="微软雅黑" w:eastAsia="微软雅黑" w:cs="微软雅黑"/>
          <w:color w:val="000000"/>
        </w:rPr>
      </w:pPr>
      <w:r>
        <w:rPr>
          <w:rFonts w:ascii="仿宋" w:hAnsi="仿宋" w:eastAsia="仿宋" w:cs="仿宋"/>
          <w:color w:val="333333"/>
          <w:sz w:val="32"/>
          <w:szCs w:val="32"/>
          <w:shd w:val="clear" w:color="auto" w:fill="FFFFFF"/>
        </w:rPr>
        <w:t>　鞍山市</w:t>
      </w:r>
      <w:r>
        <w:rPr>
          <w:rFonts w:hint="eastAsia" w:ascii="仿宋" w:hAnsi="仿宋" w:eastAsia="仿宋" w:cs="仿宋"/>
          <w:color w:val="333333"/>
          <w:sz w:val="32"/>
          <w:szCs w:val="32"/>
          <w:shd w:val="clear" w:color="auto" w:fill="FFFFFF"/>
        </w:rPr>
        <w:t>预决算信息公开管理暂行办法</w:t>
      </w:r>
    </w:p>
    <w:p w14:paraId="29A1EB02">
      <w:pPr>
        <w:pStyle w:val="4"/>
        <w:widowControl/>
        <w:shd w:val="clear" w:color="auto" w:fill="FFFFFF"/>
        <w:spacing w:line="600" w:lineRule="atLeast"/>
        <w:jc w:val="center"/>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（鞍财预〔2019〕313号）</w:t>
      </w:r>
    </w:p>
    <w:p w14:paraId="01E6F20B">
      <w:pPr>
        <w:pStyle w:val="4"/>
        <w:widowControl/>
        <w:shd w:val="clear" w:color="auto" w:fill="FFFFFF"/>
        <w:spacing w:after="156" w:line="600" w:lineRule="atLeast"/>
        <w:jc w:val="center"/>
        <w:rPr>
          <w:rFonts w:ascii="微软雅黑" w:hAnsi="微软雅黑" w:eastAsia="微软雅黑" w:cs="微软雅黑"/>
          <w:color w:val="000000"/>
        </w:rPr>
      </w:pPr>
      <w:r>
        <w:rPr>
          <w:rFonts w:hint="eastAsia" w:ascii="黑体" w:hAnsi="宋体" w:eastAsia="黑体" w:cs="黑体"/>
          <w:color w:val="333333"/>
          <w:sz w:val="32"/>
          <w:szCs w:val="32"/>
          <w:shd w:val="clear" w:color="auto" w:fill="FFFFFF"/>
        </w:rPr>
        <w:t>第一章  公开原则</w:t>
      </w:r>
    </w:p>
    <w:p w14:paraId="0876C0DD">
      <w:pPr>
        <w:pStyle w:val="4"/>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7A68913A">
      <w:pPr>
        <w:pStyle w:val="4"/>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第二条  预决算信息以公开为常态，不公开为例外，依法依规公开预决算信息。除涉及国家秘密外，不得少公开、不公开应当公开的事项，保证公开内容全面、真实、完整。</w:t>
      </w:r>
    </w:p>
    <w:p w14:paraId="0BB24D49">
      <w:pPr>
        <w:pStyle w:val="4"/>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第三条  公开及时，内容准确，形式规范。方便社会监督，公开内容让公众找得着、看得懂、能监督。</w:t>
      </w:r>
    </w:p>
    <w:p w14:paraId="4EE01FE4">
      <w:pPr>
        <w:pStyle w:val="4"/>
        <w:widowControl/>
        <w:shd w:val="clear" w:color="auto" w:fill="FFFFFF"/>
        <w:spacing w:after="156" w:line="600" w:lineRule="atLeast"/>
        <w:jc w:val="center"/>
        <w:rPr>
          <w:rFonts w:ascii="微软雅黑" w:hAnsi="微软雅黑" w:eastAsia="微软雅黑" w:cs="微软雅黑"/>
          <w:color w:val="000000"/>
        </w:rPr>
      </w:pPr>
      <w:r>
        <w:rPr>
          <w:rFonts w:ascii="Tahoma" w:hAnsi="Tahoma" w:eastAsia="Tahoma" w:cs="Tahoma"/>
          <w:color w:val="111111"/>
          <w:sz w:val="18"/>
          <w:szCs w:val="18"/>
          <w:shd w:val="clear" w:color="auto" w:fill="FFFFFF"/>
        </w:rPr>
        <w:t>　</w:t>
      </w:r>
      <w:r>
        <w:rPr>
          <w:rFonts w:hint="eastAsia" w:ascii="黑体" w:hAnsi="宋体" w:eastAsia="黑体" w:cs="黑体"/>
          <w:color w:val="333333"/>
          <w:sz w:val="32"/>
          <w:szCs w:val="32"/>
          <w:shd w:val="clear" w:color="auto" w:fill="FFFFFF"/>
        </w:rPr>
        <w:t>第二章</w:t>
      </w:r>
      <w:r>
        <w:rPr>
          <w:rFonts w:hint="eastAsia" w:ascii="宋体" w:hAnsi="宋体" w:eastAsia="宋体" w:cs="宋体"/>
          <w:color w:val="333333"/>
          <w:sz w:val="32"/>
          <w:szCs w:val="32"/>
          <w:shd w:val="clear" w:color="auto" w:fill="FFFFFF"/>
        </w:rPr>
        <w:t>  </w:t>
      </w:r>
      <w:r>
        <w:rPr>
          <w:rFonts w:hint="eastAsia" w:ascii="黑体" w:hAnsi="宋体" w:eastAsia="黑体" w:cs="黑体"/>
          <w:color w:val="333333"/>
          <w:sz w:val="32"/>
          <w:szCs w:val="32"/>
          <w:shd w:val="clear" w:color="auto" w:fill="FFFFFF"/>
        </w:rPr>
        <w:t>公开主体和职责</w:t>
      </w:r>
      <w:r>
        <w:rPr>
          <w:rFonts w:ascii="Tahoma" w:hAnsi="Tahoma" w:eastAsia="Tahoma" w:cs="Tahoma"/>
          <w:color w:val="111111"/>
          <w:sz w:val="18"/>
          <w:szCs w:val="18"/>
          <w:shd w:val="clear" w:color="auto" w:fill="FFFFFF"/>
        </w:rPr>
        <w:t> </w:t>
      </w:r>
    </w:p>
    <w:p w14:paraId="0760189C">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第四条  部门负责本单位及所属单位的预决算信息公开工作，履行下列职责：</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0C17E9D4">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（一）制定本单位及所属单位预决算信息公开的工作方案；</w:t>
      </w:r>
    </w:p>
    <w:p w14:paraId="5F613593">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（二）按规定公开本单位及所属单位的预决算信息；</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382B01EB">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（三）对所属单位预决算信息公开工作进行指导、监督和检查；</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1CE039F5">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（四）按规定做好本单位及所属单位预决算信息公开中的答复工作；</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356D0137">
      <w:pPr>
        <w:pStyle w:val="4"/>
        <w:widowControl/>
        <w:shd w:val="clear" w:color="auto" w:fill="FFFFFF"/>
        <w:spacing w:line="600" w:lineRule="atLeast"/>
        <w:ind w:firstLine="640"/>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（五）法律、法规、规章规定的其他职责。</w:t>
      </w:r>
      <w:r>
        <w:rPr>
          <w:rFonts w:hint="eastAsia" w:ascii="宋体" w:hAnsi="宋体" w:eastAsia="宋体" w:cs="宋体"/>
          <w:color w:val="333333"/>
          <w:sz w:val="32"/>
          <w:szCs w:val="32"/>
          <w:shd w:val="clear" w:color="auto" w:fill="FFFFFF"/>
        </w:rPr>
        <w:t> </w:t>
      </w:r>
    </w:p>
    <w:p w14:paraId="49219BCD">
      <w:pPr>
        <w:pStyle w:val="4"/>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333333"/>
          <w:sz w:val="32"/>
          <w:szCs w:val="32"/>
          <w:shd w:val="clear" w:color="auto" w:fill="FFFFFF"/>
        </w:rPr>
        <w:t>第三章  公开内容</w:t>
      </w:r>
    </w:p>
    <w:p w14:paraId="37683738">
      <w:pPr>
        <w:pStyle w:val="4"/>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第五条  部门预算信息（涉密信息除外）公开内容包括：</w:t>
      </w:r>
    </w:p>
    <w:p w14:paraId="3FEB5E6B">
      <w:pPr>
        <w:pStyle w:val="4"/>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（一）部门概况：主要包括部门主要职责、预算单位构成等。</w:t>
      </w:r>
    </w:p>
    <w:p w14:paraId="2C9F653F">
      <w:pPr>
        <w:pStyle w:val="4"/>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（二）部门预算表。主要包括</w:t>
      </w:r>
      <w:r>
        <w:rPr>
          <w:rFonts w:hint="eastAsia" w:ascii="仿宋" w:hAnsi="仿宋" w:eastAsia="仿宋" w:cs="仿宋"/>
          <w:color w:val="000000"/>
          <w:sz w:val="32"/>
          <w:szCs w:val="32"/>
          <w:shd w:val="clear" w:color="auto"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ascii="Tahoma" w:hAnsi="Tahoma" w:eastAsia="Tahoma" w:cs="Tahoma"/>
          <w:color w:val="000000"/>
          <w:sz w:val="18"/>
          <w:szCs w:val="18"/>
          <w:shd w:val="clear" w:color="auto" w:fill="FFFFFF"/>
        </w:rPr>
        <w:t> </w:t>
      </w:r>
    </w:p>
    <w:p w14:paraId="4EC67E2A">
      <w:pPr>
        <w:pStyle w:val="4"/>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（三）部门预算情况说明。主要包括</w:t>
      </w:r>
      <w:r>
        <w:rPr>
          <w:rFonts w:hint="eastAsia" w:ascii="仿宋" w:hAnsi="仿宋" w:eastAsia="仿宋" w:cs="仿宋"/>
          <w:color w:val="000000"/>
          <w:sz w:val="32"/>
          <w:szCs w:val="32"/>
          <w:shd w:val="clear" w:color="auto" w:fill="FFFFFF"/>
        </w:rPr>
        <w:t>部门预算收支增减变化情况说明、</w:t>
      </w:r>
      <w:r>
        <w:rPr>
          <w:rFonts w:hint="eastAsia" w:ascii="仿宋" w:hAnsi="仿宋" w:eastAsia="仿宋" w:cs="仿宋"/>
          <w:color w:val="333333"/>
          <w:sz w:val="32"/>
          <w:szCs w:val="32"/>
          <w:shd w:val="clear" w:color="auto" w:fill="FFFFFF"/>
        </w:rPr>
        <w:t>“三公经费”预算增减变化情况说明、</w:t>
      </w:r>
      <w:r>
        <w:rPr>
          <w:rFonts w:hint="eastAsia" w:ascii="仿宋" w:hAnsi="仿宋" w:eastAsia="仿宋" w:cs="仿宋"/>
          <w:color w:val="000000"/>
          <w:sz w:val="32"/>
          <w:szCs w:val="32"/>
          <w:shd w:val="clear" w:color="auto" w:fill="FFFFFF"/>
        </w:rPr>
        <w:t>机关运行经费安排情况说明、政府采购安排情况说明、国有资产占有使用情况说明、预算绩效目标情况说明等。</w:t>
      </w:r>
    </w:p>
    <w:p w14:paraId="668D996B">
      <w:pPr>
        <w:pStyle w:val="4"/>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（四）名词解释。主要对涉及本部门预算公开表中的专业名词进行解释说明。</w:t>
      </w:r>
    </w:p>
    <w:p w14:paraId="49BB0CF9">
      <w:pPr>
        <w:pStyle w:val="4"/>
        <w:widowControl/>
        <w:shd w:val="clear" w:color="auto" w:fill="FFFFFF"/>
        <w:spacing w:line="600" w:lineRule="atLeast"/>
        <w:ind w:firstLine="640"/>
        <w:jc w:val="left"/>
        <w:rPr>
          <w:rFonts w:ascii="微软雅黑" w:hAnsi="微软雅黑" w:eastAsia="微软雅黑" w:cs="微软雅黑"/>
          <w:color w:val="000000"/>
        </w:rPr>
      </w:pPr>
      <w:r>
        <w:rPr>
          <w:rFonts w:ascii="Tahoma" w:hAnsi="Tahoma" w:eastAsia="Tahoma" w:cs="Tahoma"/>
          <w:color w:val="000000"/>
          <w:sz w:val="18"/>
          <w:szCs w:val="18"/>
          <w:shd w:val="clear" w:color="auto" w:fill="FFFFFF"/>
        </w:rPr>
        <w:t>　</w:t>
      </w:r>
      <w:r>
        <w:rPr>
          <w:rFonts w:hint="eastAsia" w:ascii="仿宋" w:hAnsi="仿宋" w:eastAsia="仿宋" w:cs="仿宋"/>
          <w:color w:val="000000"/>
          <w:sz w:val="32"/>
          <w:szCs w:val="32"/>
          <w:shd w:val="clear" w:color="auto" w:fill="FFFFFF"/>
        </w:rPr>
        <w:t>第六条 部门决算信息（涉密信息除外）公开内容包括：</w:t>
      </w:r>
      <w:r>
        <w:rPr>
          <w:rFonts w:ascii="Tahoma" w:hAnsi="Tahoma" w:eastAsia="Tahoma" w:cs="Tahoma"/>
          <w:color w:val="000000"/>
          <w:sz w:val="18"/>
          <w:szCs w:val="18"/>
          <w:shd w:val="clear" w:color="auto" w:fill="FFFFFF"/>
        </w:rPr>
        <w:t> </w:t>
      </w:r>
    </w:p>
    <w:p w14:paraId="7D9198A6">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（一）部门概况。主要包括部门主要职能、部门决算单位构成情况等。</w:t>
      </w:r>
      <w:r>
        <w:rPr>
          <w:rFonts w:ascii="Tahoma" w:hAnsi="Tahoma" w:eastAsia="Tahoma" w:cs="Tahoma"/>
          <w:color w:val="000000"/>
          <w:sz w:val="18"/>
          <w:szCs w:val="18"/>
          <w:shd w:val="clear" w:color="auto" w:fill="FFFFFF"/>
        </w:rPr>
        <w:t> </w:t>
      </w:r>
    </w:p>
    <w:p w14:paraId="516ABFD4">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ascii="Tahoma" w:hAnsi="Tahoma" w:eastAsia="Tahoma" w:cs="Tahoma"/>
          <w:color w:val="000000"/>
          <w:sz w:val="18"/>
          <w:szCs w:val="18"/>
          <w:shd w:val="clear" w:color="auto" w:fill="FFFFFF"/>
        </w:rPr>
        <w:t> </w:t>
      </w:r>
    </w:p>
    <w:p w14:paraId="7E347A0E">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ascii="Tahoma" w:hAnsi="Tahoma" w:eastAsia="Tahoma" w:cs="Tahoma"/>
          <w:color w:val="000000"/>
          <w:sz w:val="18"/>
          <w:szCs w:val="18"/>
          <w:shd w:val="clear" w:color="auto" w:fill="FFFFFF"/>
        </w:rPr>
        <w:t> </w:t>
      </w:r>
    </w:p>
    <w:p w14:paraId="0E7AAE63">
      <w:pPr>
        <w:pStyle w:val="4"/>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（四）名词解释。主要对涉及本部门决算公开表中的专业名称进行解释说明。</w:t>
      </w:r>
    </w:p>
    <w:p w14:paraId="1319BAB6">
      <w:pPr>
        <w:pStyle w:val="4"/>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第四章  公开方式</w:t>
      </w:r>
    </w:p>
    <w:p w14:paraId="66FE673E">
      <w:pPr>
        <w:pStyle w:val="4"/>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第七条  预决算信息在本部门门户网站和市政府门户网站设立的“预决算公开”专栏进行公开，并保持长期公开状态，便于社会公众查阅和监督。</w:t>
      </w:r>
    </w:p>
    <w:p w14:paraId="41EDA9A7">
      <w:pPr>
        <w:pStyle w:val="4"/>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第五章  公开程序</w:t>
      </w:r>
    </w:p>
    <w:p w14:paraId="12715D3E">
      <w:pPr>
        <w:pStyle w:val="4"/>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第八条  根据本级财政部门批复的部门预算、部门决算及报表，应当在批复后20日内由本部门公开预决算信息。</w:t>
      </w:r>
    </w:p>
    <w:p w14:paraId="14355489">
      <w:pPr>
        <w:pStyle w:val="4"/>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第六章  附  则</w:t>
      </w:r>
    </w:p>
    <w:p w14:paraId="71DCEAA9">
      <w:pPr>
        <w:pStyle w:val="4"/>
        <w:widowControl/>
        <w:shd w:val="clear" w:color="auto" w:fill="FFFFFF"/>
        <w:spacing w:line="600" w:lineRule="atLeast"/>
        <w:ind w:firstLine="640"/>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第九条  本办法自印发之日起实行。</w:t>
      </w:r>
    </w:p>
    <w:p w14:paraId="3C2A1CBF">
      <w:pPr>
        <w:pStyle w:val="4"/>
        <w:widowControl/>
        <w:shd w:val="clear" w:color="auto" w:fill="FFFFFF"/>
        <w:spacing w:line="560" w:lineRule="atLeast"/>
        <w:jc w:val="center"/>
        <w:rPr>
          <w:rFonts w:ascii="楷体" w:hAnsi="楷体" w:eastAsia="楷体" w:cs="楷体"/>
          <w:b/>
          <w:bCs/>
          <w:color w:val="000000"/>
          <w:sz w:val="32"/>
          <w:szCs w:val="32"/>
          <w:shd w:val="clear" w:color="auto" w:fill="FFFFFF"/>
        </w:rPr>
      </w:pPr>
    </w:p>
    <w:p w14:paraId="5D0CD935">
      <w:pPr>
        <w:pStyle w:val="4"/>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第二部分  汤岗子街道办事处概况</w:t>
      </w:r>
    </w:p>
    <w:p w14:paraId="58A4AC7E">
      <w:pPr>
        <w:pStyle w:val="4"/>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 一、主要职责</w:t>
      </w:r>
      <w:r>
        <w:rPr>
          <w:rFonts w:hint="eastAsia" w:ascii="仿宋_GB2312" w:hAnsi="微软雅黑" w:eastAsia="仿宋_GB2312" w:cs="仿宋_GB2312"/>
          <w:color w:val="000000"/>
          <w:sz w:val="32"/>
          <w:szCs w:val="32"/>
          <w:shd w:val="clear" w:color="auto" w:fill="FFFFFF"/>
        </w:rPr>
        <w:t> </w:t>
      </w:r>
    </w:p>
    <w:p w14:paraId="17E582F6">
      <w:pPr>
        <w:widowControl/>
        <w:shd w:val="clear" w:color="auto" w:fill="FFFFFF"/>
        <w:spacing w:line="555" w:lineRule="atLeast"/>
        <w:ind w:firstLine="645"/>
        <w:jc w:val="left"/>
        <w:rPr>
          <w:rFonts w:ascii="仿宋" w:hAnsi="仿宋" w:eastAsia="仿宋" w:cs="宋体"/>
          <w:color w:val="494949"/>
          <w:kern w:val="0"/>
          <w:sz w:val="32"/>
          <w:szCs w:val="32"/>
        </w:rPr>
      </w:pPr>
      <w:r>
        <w:rPr>
          <w:rFonts w:hint="eastAsia" w:ascii="仿宋" w:hAnsi="仿宋" w:eastAsia="仿宋" w:cs="宋体"/>
          <w:color w:val="494949"/>
          <w:kern w:val="0"/>
          <w:sz w:val="32"/>
          <w:szCs w:val="32"/>
        </w:rPr>
        <w:t>（一）严格执行上级国家行政机关的决定和命令。</w:t>
      </w:r>
    </w:p>
    <w:p w14:paraId="72D667BC">
      <w:pPr>
        <w:widowControl/>
        <w:shd w:val="clear" w:color="auto" w:fill="FFFFFF"/>
        <w:spacing w:line="555" w:lineRule="atLeast"/>
        <w:ind w:firstLine="645"/>
        <w:jc w:val="left"/>
        <w:rPr>
          <w:rFonts w:ascii="仿宋" w:hAnsi="仿宋" w:eastAsia="仿宋" w:cs="宋体"/>
          <w:color w:val="494949"/>
          <w:kern w:val="0"/>
          <w:sz w:val="32"/>
          <w:szCs w:val="32"/>
        </w:rPr>
      </w:pPr>
      <w:r>
        <w:rPr>
          <w:rFonts w:hint="eastAsia" w:ascii="仿宋" w:hAnsi="仿宋" w:eastAsia="仿宋" w:cs="宋体"/>
          <w:color w:val="494949"/>
          <w:kern w:val="0"/>
          <w:sz w:val="32"/>
          <w:szCs w:val="32"/>
        </w:rPr>
        <w:t>（二）执行本行政区域内的经济和社会发展计划、预算，管理本行政区域内的经济、教育、科学、文化、卫生、体育事业和财政、民政等行政工作。</w:t>
      </w:r>
    </w:p>
    <w:p w14:paraId="4EF59589">
      <w:pPr>
        <w:widowControl/>
        <w:shd w:val="clear" w:color="auto" w:fill="FFFFFF"/>
        <w:spacing w:line="555" w:lineRule="atLeast"/>
        <w:ind w:firstLine="645"/>
        <w:jc w:val="left"/>
        <w:rPr>
          <w:rFonts w:ascii="仿宋" w:hAnsi="仿宋" w:eastAsia="仿宋" w:cs="宋体"/>
          <w:color w:val="494949"/>
          <w:kern w:val="0"/>
          <w:sz w:val="32"/>
          <w:szCs w:val="32"/>
        </w:rPr>
      </w:pPr>
      <w:r>
        <w:rPr>
          <w:rFonts w:hint="eastAsia" w:ascii="仿宋" w:hAnsi="仿宋" w:eastAsia="仿宋" w:cs="宋体"/>
          <w:color w:val="494949"/>
          <w:kern w:val="0"/>
          <w:sz w:val="32"/>
          <w:szCs w:val="32"/>
        </w:rPr>
        <w:t>（三）维护社会秩序，保障公民的人身权利、民主权利和其他权利。</w:t>
      </w:r>
    </w:p>
    <w:p w14:paraId="7CB6D665">
      <w:pPr>
        <w:widowControl/>
        <w:shd w:val="clear" w:color="auto" w:fill="FFFFFF"/>
        <w:spacing w:line="555" w:lineRule="atLeast"/>
        <w:ind w:firstLine="645"/>
        <w:jc w:val="left"/>
        <w:rPr>
          <w:rFonts w:ascii="仿宋" w:hAnsi="仿宋" w:eastAsia="仿宋" w:cs="宋体"/>
          <w:color w:val="494949"/>
          <w:kern w:val="0"/>
          <w:sz w:val="32"/>
          <w:szCs w:val="32"/>
        </w:rPr>
      </w:pPr>
      <w:r>
        <w:rPr>
          <w:rFonts w:hint="eastAsia" w:ascii="仿宋" w:hAnsi="仿宋" w:eastAsia="仿宋" w:cs="宋体"/>
          <w:color w:val="494949"/>
          <w:kern w:val="0"/>
          <w:sz w:val="32"/>
          <w:szCs w:val="32"/>
        </w:rPr>
        <w:t>（四）保护各种经济组织的合法权益</w:t>
      </w:r>
    </w:p>
    <w:p w14:paraId="0C0525BB">
      <w:pPr>
        <w:widowControl/>
        <w:shd w:val="clear" w:color="auto" w:fill="FFFFFF"/>
        <w:spacing w:line="555" w:lineRule="atLeast"/>
        <w:ind w:firstLine="645"/>
        <w:jc w:val="left"/>
        <w:rPr>
          <w:rFonts w:ascii="仿宋" w:hAnsi="仿宋" w:eastAsia="仿宋" w:cs="宋体"/>
          <w:color w:val="494949"/>
          <w:kern w:val="0"/>
          <w:sz w:val="32"/>
          <w:szCs w:val="32"/>
        </w:rPr>
      </w:pPr>
      <w:r>
        <w:rPr>
          <w:rFonts w:hint="eastAsia" w:ascii="仿宋" w:hAnsi="仿宋" w:eastAsia="仿宋" w:cs="宋体"/>
          <w:color w:val="494949"/>
          <w:kern w:val="0"/>
          <w:sz w:val="32"/>
          <w:szCs w:val="32"/>
        </w:rPr>
        <w:t>（五）办理上级人民政府交办的其他事项。</w:t>
      </w:r>
    </w:p>
    <w:p w14:paraId="4929763C">
      <w:pPr>
        <w:pStyle w:val="4"/>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b/>
          <w:bCs/>
          <w:color w:val="000000"/>
          <w:sz w:val="32"/>
          <w:szCs w:val="32"/>
          <w:shd w:val="clear" w:color="auto" w:fill="FFFFFF"/>
        </w:rPr>
        <w:t>    二、机构设置</w:t>
      </w:r>
      <w:r>
        <w:rPr>
          <w:rFonts w:hint="eastAsia" w:ascii="仿宋_GB2312" w:hAnsi="微软雅黑" w:eastAsia="仿宋_GB2312" w:cs="仿宋_GB2312"/>
          <w:color w:val="000000"/>
          <w:sz w:val="32"/>
          <w:szCs w:val="32"/>
          <w:shd w:val="clear" w:color="auto" w:fill="FFFFFF"/>
        </w:rPr>
        <w:t> </w:t>
      </w:r>
    </w:p>
    <w:p w14:paraId="41D9F78F">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汤岗子街道办事处本级2025年度部门预算包括：汤岗子街道办事处本级。</w:t>
      </w:r>
    </w:p>
    <w:p w14:paraId="0D2ACE88">
      <w:pPr>
        <w:pStyle w:val="4"/>
        <w:widowControl/>
        <w:shd w:val="clear" w:color="auto" w:fill="FFFFFF"/>
        <w:spacing w:line="560" w:lineRule="atLeast"/>
        <w:jc w:val="center"/>
        <w:rPr>
          <w:rFonts w:ascii="楷体" w:hAnsi="楷体" w:eastAsia="楷体" w:cs="楷体"/>
          <w:b/>
          <w:bCs/>
          <w:color w:val="000000"/>
          <w:sz w:val="32"/>
          <w:szCs w:val="32"/>
          <w:shd w:val="clear" w:color="auto" w:fill="FFFFFF"/>
        </w:rPr>
      </w:pPr>
    </w:p>
    <w:p w14:paraId="68C5DD89">
      <w:pPr>
        <w:pStyle w:val="4"/>
        <w:widowControl/>
        <w:shd w:val="clear" w:color="auto" w:fill="FFFFFF"/>
        <w:spacing w:line="560" w:lineRule="atLeast"/>
        <w:jc w:val="center"/>
        <w:rPr>
          <w:rFonts w:ascii="楷体" w:hAnsi="楷体" w:eastAsia="楷体" w:cs="楷体"/>
          <w:color w:val="000000"/>
          <w:sz w:val="32"/>
          <w:szCs w:val="32"/>
          <w:shd w:val="clear" w:color="auto" w:fill="FFFFFF"/>
        </w:rPr>
      </w:pPr>
      <w:r>
        <w:rPr>
          <w:rFonts w:hint="eastAsia" w:ascii="楷体" w:hAnsi="楷体" w:eastAsia="楷体" w:cs="楷体"/>
          <w:b/>
          <w:bCs/>
          <w:color w:val="000000"/>
          <w:sz w:val="32"/>
          <w:szCs w:val="32"/>
          <w:shd w:val="clear" w:color="auto" w:fill="FFFFFF"/>
        </w:rPr>
        <w:t>第三部分  汤岗子街道办事处本级预算表</w:t>
      </w:r>
      <w:r>
        <w:rPr>
          <w:rFonts w:hint="eastAsia" w:ascii="楷体" w:hAnsi="楷体" w:eastAsia="楷体" w:cs="楷体"/>
          <w:color w:val="000000"/>
          <w:sz w:val="32"/>
          <w:szCs w:val="32"/>
          <w:shd w:val="clear" w:color="auto" w:fill="FFFFFF"/>
        </w:rPr>
        <w:t> </w:t>
      </w:r>
    </w:p>
    <w:p w14:paraId="0FCC878B">
      <w:pPr>
        <w:pStyle w:val="4"/>
        <w:widowControl/>
        <w:shd w:val="clear" w:color="auto" w:fill="FFFFFF"/>
        <w:spacing w:line="560" w:lineRule="atLeast"/>
        <w:jc w:val="center"/>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2025年汤岗子街道办事处本级预算表（具体明细见附表） </w:t>
      </w:r>
    </w:p>
    <w:p w14:paraId="5A7C2EC0">
      <w:pPr>
        <w:pStyle w:val="4"/>
        <w:widowControl/>
        <w:shd w:val="clear" w:color="auto" w:fill="FFFFFF"/>
        <w:spacing w:line="560" w:lineRule="atLeast"/>
        <w:jc w:val="center"/>
        <w:rPr>
          <w:rFonts w:ascii="微软雅黑" w:hAnsi="微软雅黑" w:eastAsia="微软雅黑" w:cs="微软雅黑"/>
          <w:color w:val="000000"/>
        </w:rPr>
      </w:pPr>
    </w:p>
    <w:p w14:paraId="2CC540C0">
      <w:pPr>
        <w:pStyle w:val="4"/>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第四部分</w:t>
      </w:r>
      <w:r>
        <w:rPr>
          <w:rFonts w:hint="eastAsia" w:ascii="宋体" w:hAnsi="宋体" w:eastAsia="宋体" w:cs="宋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汤岗子街道办事处本级预算情况说明</w:t>
      </w:r>
      <w:r>
        <w:rPr>
          <w:rFonts w:hint="eastAsia" w:ascii="楷体" w:hAnsi="楷体" w:eastAsia="楷体" w:cs="楷体"/>
          <w:color w:val="000000"/>
          <w:sz w:val="32"/>
          <w:szCs w:val="32"/>
          <w:shd w:val="clear" w:color="auto" w:fill="FFFFFF"/>
        </w:rPr>
        <w:t> </w:t>
      </w:r>
    </w:p>
    <w:p w14:paraId="5381F0F2">
      <w:pPr>
        <w:pStyle w:val="4"/>
        <w:widowControl/>
        <w:shd w:val="clear" w:color="auto" w:fill="FFFFFF"/>
        <w:spacing w:line="560" w:lineRule="atLeast"/>
        <w:ind w:firstLine="643" w:firstLineChars="200"/>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一、收支预算的总体说明</w:t>
      </w:r>
      <w:r>
        <w:rPr>
          <w:rFonts w:hint="eastAsia" w:ascii="楷体" w:hAnsi="楷体" w:eastAsia="楷体" w:cs="楷体"/>
          <w:color w:val="000000"/>
          <w:sz w:val="32"/>
          <w:szCs w:val="32"/>
          <w:shd w:val="clear" w:color="auto" w:fill="FFFFFF"/>
        </w:rPr>
        <w:t> </w:t>
      </w:r>
    </w:p>
    <w:p w14:paraId="243434D3">
      <w:pPr>
        <w:pStyle w:val="4"/>
        <w:widowControl/>
        <w:shd w:val="clear" w:color="auto" w:fill="FFFFFF"/>
        <w:spacing w:line="560" w:lineRule="atLeast"/>
        <w:ind w:firstLine="640" w:firstLineChars="20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按照综合预算的原则，汤岗子街道办事处本级所有收入和支出均纳入部门预算管理，2025年收支总预算4469.45万元。</w:t>
      </w:r>
    </w:p>
    <w:p w14:paraId="6C11A034">
      <w:pPr>
        <w:pStyle w:val="4"/>
        <w:widowControl/>
        <w:numPr>
          <w:ilvl w:val="0"/>
          <w:numId w:val="2"/>
        </w:numPr>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收入预算4469.45万元，其中：</w:t>
      </w:r>
    </w:p>
    <w:p w14:paraId="4EB05C48">
      <w:pPr>
        <w:pStyle w:val="4"/>
        <w:widowControl/>
        <w:shd w:val="clear" w:color="auto" w:fill="FFFFFF"/>
        <w:spacing w:line="560" w:lineRule="atLeast"/>
        <w:ind w:firstLine="640" w:firstLineChars="20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1.一般公共预算拨款收入 4469.45万元；</w:t>
      </w:r>
    </w:p>
    <w:p w14:paraId="1F689EC9">
      <w:pPr>
        <w:pStyle w:val="4"/>
        <w:widowControl/>
        <w:shd w:val="clear" w:color="auto" w:fill="FFFFFF"/>
        <w:spacing w:line="560" w:lineRule="atLeast"/>
        <w:ind w:firstLine="640" w:firstLineChars="20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2.政府性基金预算拨款收入0万元；</w:t>
      </w:r>
    </w:p>
    <w:p w14:paraId="242F08D6">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3.国有资本经营预算拨款收入0万元； </w:t>
      </w:r>
    </w:p>
    <w:p w14:paraId="4A1CFA15">
      <w:pPr>
        <w:pStyle w:val="4"/>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4.财政专户管理资金收入0万元；</w:t>
      </w:r>
    </w:p>
    <w:p w14:paraId="386D3C44">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5.单位资金收入0万元；</w:t>
      </w:r>
    </w:p>
    <w:p w14:paraId="7CA9F51A">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6.上年结转结余0万元。</w:t>
      </w:r>
    </w:p>
    <w:p w14:paraId="7E85441B">
      <w:pPr>
        <w:pStyle w:val="4"/>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（二）支出预算4469.45万元，其中：</w:t>
      </w:r>
    </w:p>
    <w:p w14:paraId="287B384D">
      <w:pPr>
        <w:pStyle w:val="4"/>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1.基本支出827.55万元；</w:t>
      </w:r>
    </w:p>
    <w:p w14:paraId="323868C6">
      <w:pPr>
        <w:pStyle w:val="4"/>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2.项目支出3641.90万元。</w:t>
      </w:r>
    </w:p>
    <w:p w14:paraId="26FD2457">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在支出预算中，其中一般公共服务支出1413.71万元；文化旅游体育与传媒支出5万元；社会保障和就业支出123.52万元；卫生健康支出32.30万元；城乡社区支出220.60万元；农林水支出2531.59万元；交通运输支出40万元；自然资源海洋气象等支出63万元；住房保障支出39.73万元 。</w:t>
      </w:r>
    </w:p>
    <w:p w14:paraId="6519C183">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在支出预算中，其中机关运行经费支出1502.78万元，债务支出 0 万元，国有资本经营预算支出0万元，政府采购支出  134万元，政府购买服务支出0万元。</w:t>
      </w:r>
    </w:p>
    <w:p w14:paraId="298455F1">
      <w:pPr>
        <w:pStyle w:val="4"/>
        <w:widowControl/>
        <w:shd w:val="clear" w:color="auto" w:fill="FFFFFF"/>
        <w:spacing w:line="560" w:lineRule="atLeast"/>
        <w:ind w:firstLine="66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收支预算增减情况。2025年汤岗子街道办事处本级部门收支预算4469.45万元，比上年减少1934.90万元，降低30%，减少的主要原因：一是继续贯彻落实中央八项规定和党政机关厉行节约有关要求，坚持精打细算、厉行节约，压减一般性支出；二是非急需、非刚性支出不予安排；三是“三公”经费预算比上年只减不增。</w:t>
      </w:r>
    </w:p>
    <w:p w14:paraId="09FAFB7A">
      <w:pPr>
        <w:pStyle w:val="4"/>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w:t>
      </w:r>
      <w:r>
        <w:rPr>
          <w:rFonts w:hint="eastAsia" w:ascii="楷体" w:hAnsi="楷体" w:eastAsia="楷体" w:cs="楷体"/>
          <w:b/>
          <w:bCs/>
          <w:color w:val="000000"/>
          <w:sz w:val="32"/>
          <w:szCs w:val="32"/>
          <w:shd w:val="clear" w:color="auto" w:fill="FFFFFF"/>
        </w:rPr>
        <w:t>  二、财政拨款收支预算情况说明</w:t>
      </w:r>
      <w:r>
        <w:rPr>
          <w:rFonts w:hint="eastAsia" w:ascii="楷体" w:hAnsi="楷体" w:eastAsia="楷体" w:cs="楷体"/>
          <w:color w:val="000000"/>
          <w:sz w:val="32"/>
          <w:szCs w:val="32"/>
          <w:shd w:val="clear" w:color="auto" w:fill="FFFFFF"/>
        </w:rPr>
        <w:t> </w:t>
      </w:r>
    </w:p>
    <w:p w14:paraId="5B303135">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汤岗子街道办事处本级2025年，财政拨款收支总预算4469.45万元。收入预算为一般公共预算拨款，无政府性基金预算拨款和国有资本经营预算拨款，包括：当年财政拨款收入4469.45万元，上年结转结余0万元；支出预算按功能支出包括：其中一般公共服务支出1413.71万元；文化旅游体育与传媒支出5万元；社会保障和就业支出123.52万元；卫生健康支出32.30万元；城乡社区支出220.60万元；农林水支出2531.59万元；交通运输支出40万元；自然资源海洋气象等支出63万元；住房保障支出39.73万元 。按经济支出包括:工资福利支出485.31万元，商品和服务支出302.84万元，对个人和家庭的补助39.40万元，项目支出3641.90万元。 </w:t>
      </w:r>
    </w:p>
    <w:p w14:paraId="26D16400">
      <w:pPr>
        <w:pStyle w:val="4"/>
        <w:widowControl/>
        <w:shd w:val="clear" w:color="auto" w:fill="FFFFFF"/>
        <w:spacing w:line="560" w:lineRule="atLeast"/>
        <w:ind w:firstLine="66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财政拨款收支预算增减情况。2025年，汤岗子街道办事处本级部门财政拨款收支预算4469.45万元，比上年减少1934.90万元，降低30%。财政拨款收入同比减少的主要原因：一是继续贯彻落实中央八项规定和党政机关厉行节约有关要求，坚持精打细算、厉行节约，压减一般性支出；二是非急需、非刚性支出不予安排。</w:t>
      </w:r>
    </w:p>
    <w:p w14:paraId="64FB6DC2">
      <w:pPr>
        <w:pStyle w:val="4"/>
        <w:widowControl/>
        <w:shd w:val="clear" w:color="auto" w:fill="FFFFFF"/>
        <w:rPr>
          <w:rFonts w:ascii="微软雅黑" w:hAnsi="微软雅黑" w:eastAsia="微软雅黑" w:cs="微软雅黑"/>
          <w:color w:val="000000"/>
        </w:rPr>
      </w:pPr>
      <w:r>
        <w:rPr>
          <w:rFonts w:hint="eastAsia" w:ascii="楷体" w:hAnsi="楷体" w:eastAsia="楷体" w:cs="楷体"/>
          <w:color w:val="000000"/>
          <w:sz w:val="32"/>
          <w:szCs w:val="32"/>
          <w:shd w:val="clear" w:color="auto" w:fill="FFFFFF"/>
        </w:rPr>
        <w:t>    三、</w:t>
      </w:r>
      <w:r>
        <w:rPr>
          <w:rFonts w:hint="eastAsia" w:ascii="楷体" w:hAnsi="楷体" w:eastAsia="楷体" w:cs="楷体"/>
          <w:b/>
          <w:bCs/>
          <w:color w:val="000000"/>
          <w:sz w:val="32"/>
          <w:szCs w:val="32"/>
          <w:shd w:val="clear" w:color="auto" w:fill="FFFFFF"/>
        </w:rPr>
        <w:t>一般公共预算基本支出情况说明</w:t>
      </w:r>
    </w:p>
    <w:p w14:paraId="5F1F2508">
      <w:pPr>
        <w:pStyle w:val="4"/>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b/>
          <w:bCs/>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汤岗子街道办事处本级2025年一般公共预算基本支出827.55万元，其中工资福利支出485.31万元，商品和服务支出302.84万元，对个人和家庭补助支出39.40万元。</w:t>
      </w:r>
    </w:p>
    <w:p w14:paraId="692EB041">
      <w:pPr>
        <w:pStyle w:val="4"/>
        <w:widowControl/>
        <w:shd w:val="clear" w:color="auto" w:fill="FFFFFF"/>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人员经费（即工资福利支出与对个人和家庭补助支出之和）524.71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color w:val="000000"/>
          <w:sz w:val="31"/>
          <w:szCs w:val="31"/>
          <w:shd w:val="clear" w:color="auto" w:fill="FFFFFF"/>
        </w:rPr>
        <w:t>离休费、退休费、抚恤金、生活补助、医疗费补助、奖励金、其他对个人和家庭的补助支出。</w:t>
      </w:r>
    </w:p>
    <w:p w14:paraId="2574395F">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公用经费（即商品和服务支出）302.84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3651B03A">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四、“三公”经费预算情况说明</w:t>
      </w:r>
      <w:r>
        <w:rPr>
          <w:rFonts w:hint="eastAsia" w:ascii="楷体" w:hAnsi="楷体" w:eastAsia="楷体" w:cs="楷体"/>
          <w:color w:val="000000"/>
          <w:sz w:val="32"/>
          <w:szCs w:val="32"/>
          <w:shd w:val="clear" w:color="auto" w:fill="FFFFFF"/>
        </w:rPr>
        <w:t> </w:t>
      </w:r>
    </w:p>
    <w:p w14:paraId="7CC5C31E">
      <w:pPr>
        <w:pStyle w:val="4"/>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2025年财政拨款预算安排的“三公”经费预算数9.70万元，与上年预算数9.61万元，基本持平。其中：</w:t>
      </w:r>
    </w:p>
    <w:p w14:paraId="7EF43133">
      <w:pPr>
        <w:pStyle w:val="4"/>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1.因公出国（境）费0万元，与上年持平，无增减变化。</w:t>
      </w:r>
    </w:p>
    <w:p w14:paraId="55487F81">
      <w:pPr>
        <w:pStyle w:val="4"/>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2.公务接待费0万元，与上年持平，主要是树立过紧日子思想，严格控制三公经费支出，压减公务接待费。</w:t>
      </w:r>
    </w:p>
    <w:p w14:paraId="4E154732">
      <w:pPr>
        <w:pStyle w:val="4"/>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3.公务用车购置及运行费0万元，与上年数持平。</w:t>
      </w:r>
    </w:p>
    <w:p w14:paraId="41A82753">
      <w:pPr>
        <w:pStyle w:val="4"/>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（1）公务用车购置0万元，与上年持平，无增减变化。</w:t>
      </w:r>
    </w:p>
    <w:p w14:paraId="3853C6B0">
      <w:pPr>
        <w:pStyle w:val="4"/>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（2）公务用车运行费9.70万元，与上年基本持平。主要原因是树立过紧日子思想，按照厉行节约、改进作风等政策要求，严格控制三公经费支出，加强公务用车管理，减少公车运行费支出。</w:t>
      </w:r>
    </w:p>
    <w:p w14:paraId="1B018D63">
      <w:pPr>
        <w:pStyle w:val="4"/>
        <w:widowControl/>
        <w:shd w:val="clear" w:color="auto" w:fill="FFFFFF"/>
        <w:spacing w:line="560" w:lineRule="atLeast"/>
        <w:ind w:firstLine="64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五、其他重要事项情况说明</w:t>
      </w:r>
      <w:r>
        <w:rPr>
          <w:rFonts w:hint="eastAsia" w:ascii="楷体" w:hAnsi="楷体" w:eastAsia="楷体" w:cs="楷体"/>
          <w:color w:val="000000"/>
          <w:sz w:val="32"/>
          <w:szCs w:val="32"/>
          <w:shd w:val="clear" w:color="auto" w:fill="FFFFFF"/>
        </w:rPr>
        <w:t> </w:t>
      </w:r>
    </w:p>
    <w:p w14:paraId="07F28FD9">
      <w:pPr>
        <w:pStyle w:val="4"/>
        <w:widowControl/>
        <w:shd w:val="clear" w:color="auto" w:fill="FFFFFF"/>
        <w:spacing w:line="560" w:lineRule="atLeast"/>
        <w:ind w:firstLine="642"/>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（一）机关（事业）运行经费安排情况 </w:t>
      </w:r>
    </w:p>
    <w:p w14:paraId="57CA3364">
      <w:pPr>
        <w:pStyle w:val="4"/>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机关（事业）运行经费预算为271.04万元，主要包括本部门的办公及印刷费、邮电费、差旅费、会议费、福利费、日常维修费、专用材料及一般设备购置费、办公用房水电费、办公用房取暖费、办公用房物业管理费、公务用车运行维护费以及其他费用。比上年预算增加112.30万元，增加71%。主要为人员增加及新增社区。</w:t>
      </w:r>
    </w:p>
    <w:p w14:paraId="1AB0EBEA">
      <w:pPr>
        <w:pStyle w:val="4"/>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（二）政府采购预算安排情况 </w:t>
      </w:r>
    </w:p>
    <w:p w14:paraId="6A6EDF53">
      <w:pPr>
        <w:pStyle w:val="4"/>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2025年政府采购预算134万元，其中：货物采购134万元，工程采购0万元，服务采购0万元。</w:t>
      </w:r>
    </w:p>
    <w:p w14:paraId="2E2473AD">
      <w:pPr>
        <w:pStyle w:val="4"/>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（三）政府购买服务预算安排情况 </w:t>
      </w:r>
    </w:p>
    <w:p w14:paraId="792A55FD">
      <w:pPr>
        <w:pStyle w:val="4"/>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2025年政府购买服务预算0万元。 </w:t>
      </w:r>
    </w:p>
    <w:p w14:paraId="7F58B951">
      <w:pPr>
        <w:pStyle w:val="4"/>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（四）国有资产占有使用情况 </w:t>
      </w:r>
    </w:p>
    <w:p w14:paraId="47ED0652">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截至2024年12月，汤岗子街道办事处本级共有车辆3辆，其中：部级领导干部用车0辆、一般公务用车3辆、一般执法执勤用车0辆、特种专业技术用车0辆，其他用车0辆。</w:t>
      </w:r>
    </w:p>
    <w:p w14:paraId="448791E6">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单位价值50万元以上有通用设备0台（套），单位价值100万元以上专业设备0台（套）。 </w:t>
      </w:r>
    </w:p>
    <w:p w14:paraId="3B5DE534">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2025年年初预算购置车辆0台，金额0万元。</w:t>
      </w:r>
    </w:p>
    <w:p w14:paraId="75CCFBCC">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（五）预算资金绩效目标情况 </w:t>
      </w:r>
    </w:p>
    <w:p w14:paraId="25D69CE6">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根据预算绩效管理要求，2025年应编制部门（单位）整体绩效目标共1个，实际编制部门（单位）整体绩效目标共1个，编制覆盖率（实际编制部门（单位）整体绩效目标/应编制部门（单位）整体绩效目标为100%。</w:t>
      </w:r>
    </w:p>
    <w:p w14:paraId="13984D01">
      <w:pPr>
        <w:pStyle w:val="4"/>
        <w:widowControl/>
        <w:shd w:val="clear" w:color="auto" w:fill="FFFFFF"/>
        <w:ind w:firstLine="620"/>
        <w:jc w:val="left"/>
        <w:rPr>
          <w:rFonts w:ascii="微软雅黑" w:hAnsi="微软雅黑" w:eastAsia="微软雅黑" w:cs="微软雅黑"/>
          <w:color w:val="000000"/>
        </w:rPr>
      </w:pPr>
      <w:r>
        <w:rPr>
          <w:rFonts w:hint="eastAsia" w:ascii="仿宋_GB2312" w:hAnsi="微软雅黑" w:eastAsia="仿宋_GB2312" w:cs="仿宋_GB2312"/>
          <w:color w:val="000000"/>
          <w:sz w:val="31"/>
          <w:szCs w:val="31"/>
          <w:shd w:val="clear" w:color="auto" w:fill="FFFFFF"/>
        </w:rPr>
        <w:t>2025年应编制项目绩效目标（包括特定目标类和其他运转类）21个，实际编制项目绩效目标</w:t>
      </w:r>
      <w:r>
        <w:rPr>
          <w:rFonts w:hint="eastAsia" w:ascii="仿宋_GB2312" w:hAnsi="微软雅黑" w:eastAsia="仿宋_GB2312" w:cs="仿宋_GB2312"/>
          <w:color w:val="000000"/>
          <w:sz w:val="32"/>
          <w:szCs w:val="32"/>
          <w:shd w:val="clear" w:color="auto" w:fill="FFFFFF"/>
        </w:rPr>
        <w:t>21</w:t>
      </w:r>
      <w:r>
        <w:rPr>
          <w:rFonts w:hint="eastAsia" w:ascii="仿宋_GB2312" w:hAnsi="微软雅黑" w:eastAsia="仿宋_GB2312" w:cs="仿宋_GB2312"/>
          <w:color w:val="000000"/>
          <w:sz w:val="31"/>
          <w:szCs w:val="31"/>
          <w:shd w:val="clear" w:color="auto" w:fill="FFFFFF"/>
        </w:rPr>
        <w:t>个，涉及资金</w:t>
      </w:r>
      <w:r>
        <w:rPr>
          <w:rFonts w:hint="eastAsia" w:ascii="仿宋_GB2312" w:hAnsi="微软雅黑" w:eastAsia="仿宋_GB2312" w:cs="仿宋_GB2312"/>
          <w:color w:val="000000"/>
          <w:sz w:val="32"/>
          <w:szCs w:val="32"/>
          <w:shd w:val="clear" w:color="auto" w:fill="FFFFFF"/>
        </w:rPr>
        <w:t>3641.90</w:t>
      </w:r>
      <w:r>
        <w:rPr>
          <w:rFonts w:hint="eastAsia" w:ascii="仿宋_GB2312" w:hAnsi="微软雅黑" w:eastAsia="仿宋_GB2312" w:cs="仿宋_GB2312"/>
          <w:color w:val="000000"/>
          <w:sz w:val="31"/>
          <w:szCs w:val="31"/>
          <w:shd w:val="clear" w:color="auto" w:fill="FFFFFF"/>
        </w:rPr>
        <w:t>万元，编制项目绩效目标的项目覆盖率（实际编制绩效目标的数量/应编制绩效目标的数量）为</w:t>
      </w:r>
      <w:r>
        <w:rPr>
          <w:rFonts w:hint="eastAsia" w:ascii="仿宋_GB2312" w:hAnsi="微软雅黑" w:eastAsia="仿宋_GB2312" w:cs="仿宋_GB2312"/>
          <w:color w:val="000000"/>
          <w:sz w:val="32"/>
          <w:szCs w:val="32"/>
          <w:shd w:val="clear" w:color="auto" w:fill="FFFFFF"/>
        </w:rPr>
        <w:t>100</w:t>
      </w:r>
      <w:r>
        <w:rPr>
          <w:rFonts w:hint="eastAsia" w:ascii="仿宋_GB2312" w:hAnsi="微软雅黑" w:eastAsia="仿宋_GB2312" w:cs="仿宋_GB2312"/>
          <w:color w:val="000000"/>
          <w:sz w:val="31"/>
          <w:szCs w:val="31"/>
          <w:shd w:val="clear" w:color="auto" w:fill="FFFFFF"/>
        </w:rPr>
        <w:t>%。</w:t>
      </w:r>
    </w:p>
    <w:p w14:paraId="56A412A8">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（六）预算公开表数据中没有数据的情况说明 </w:t>
      </w:r>
    </w:p>
    <w:p w14:paraId="631AE880">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预算中无政府性基金预算拨款支出，无国有资本经营预算，无债务支出预算，无购买服务预算，因此“政府性基金预算支出表”、“国有资本经营预算支出表”“债务支出预算表”、“政府购买服务支出预算表”四张表中没有数据。</w:t>
      </w:r>
    </w:p>
    <w:p w14:paraId="3F849ADB">
      <w:pPr>
        <w:pStyle w:val="4"/>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第五部分 名词解释</w:t>
      </w:r>
      <w:r>
        <w:rPr>
          <w:rFonts w:hint="eastAsia" w:ascii="楷体" w:hAnsi="楷体" w:eastAsia="楷体" w:cs="楷体"/>
          <w:color w:val="000000"/>
          <w:sz w:val="32"/>
          <w:szCs w:val="32"/>
          <w:shd w:val="clear" w:color="auto" w:fill="FFFFFF"/>
        </w:rPr>
        <w:t> </w:t>
      </w:r>
    </w:p>
    <w:p w14:paraId="2EA9BF60">
      <w:pPr>
        <w:pStyle w:val="4"/>
        <w:widowControl/>
        <w:shd w:val="clear" w:color="auto" w:fill="FFFFFF"/>
        <w:spacing w:line="560" w:lineRule="atLeast"/>
        <w:rPr>
          <w:rFonts w:ascii="微软雅黑" w:hAnsi="微软雅黑" w:eastAsia="微软雅黑" w:cs="微软雅黑"/>
          <w:color w:val="000000"/>
        </w:rPr>
      </w:pPr>
    </w:p>
    <w:p w14:paraId="256E1A02">
      <w:pPr>
        <w:pStyle w:val="4"/>
        <w:widowControl/>
        <w:shd w:val="clear" w:color="auto" w:fill="FFFFFF"/>
        <w:spacing w:line="560" w:lineRule="atLeast"/>
        <w:ind w:firstLine="640" w:firstLineChars="20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1.一般公共预算拨款收入：指市级财政当年拨付的资金。</w:t>
      </w:r>
    </w:p>
    <w:p w14:paraId="49DCDA98">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7FCD1CE3">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3.财政专户管理的资金收入：反映缴入财政专户、实行专项管理的教育收费收入。</w:t>
      </w:r>
    </w:p>
    <w:p w14:paraId="20518005">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4.单位资金收入：包括事业收入、上级补助收入、附属单位上缴收入、事业单位经营收入及其他收入。</w:t>
      </w:r>
    </w:p>
    <w:p w14:paraId="535B967E">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事业收入：是指事业单位开展专业业务活动及其辅助活动取得的收入，不包括教育收费。</w:t>
      </w:r>
    </w:p>
    <w:p w14:paraId="008B7195">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上级补助收入：是指从主管部门或上级单位取得的财政拨款以外的其他补助收入。</w:t>
      </w:r>
    </w:p>
    <w:p w14:paraId="641F0189">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附属单位上缴收入：是指本单位所属下级单位上缴给本单位的全部收入（包括下级事业单位上缴的事业收入、其他收入和下级企业单位上缴的利润等）。</w:t>
      </w:r>
    </w:p>
    <w:p w14:paraId="1E38682C">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事业单位经营收入：是指事业单位在专业业务活动及辅助活动之外开展非独立核算经营活动取得的收入。</w:t>
      </w:r>
    </w:p>
    <w:p w14:paraId="48BF5B34">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其他收入：债务收入（不含政府债券、政府向外国政府贷款和国际组织贷款）、投资收益等收入。</w:t>
      </w:r>
    </w:p>
    <w:p w14:paraId="05353CE9">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5.上年结转：反映以前年度安排尚未使用完毕，结转到本年仍按原规定用途继续使用的资金。</w:t>
      </w:r>
    </w:p>
    <w:p w14:paraId="6CC2258F">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6.基本支出：指保障机构正常运转、完成日常工作任务而发生的人员支出和公用支出。</w:t>
      </w:r>
    </w:p>
    <w:p w14:paraId="0A4AA5B1">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7.项目支出：指在基本支出之外为完成特定行政任务和事业发展目标所发生的支出。</w:t>
      </w:r>
    </w:p>
    <w:p w14:paraId="662D1446">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6D38077">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color w:val="000000"/>
          <w:sz w:val="31"/>
          <w:szCs w:val="31"/>
          <w:shd w:val="clear" w:color="auto" w:fill="FFFFFF"/>
        </w:rPr>
        <w:t>住宿费、伙食费</w:t>
      </w:r>
      <w:r>
        <w:rPr>
          <w:rFonts w:hint="eastAsia" w:ascii="仿宋_GB2312" w:hAnsi="微软雅黑" w:eastAsia="仿宋_GB2312" w:cs="仿宋_GB2312"/>
          <w:color w:val="000000"/>
          <w:sz w:val="32"/>
          <w:szCs w:val="32"/>
          <w:shd w:val="clear" w:color="auto"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10698D1D">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10.部门管理专项资金：包括由部门主导分配的市本级项目和市对下转移支付项目。</w:t>
      </w:r>
    </w:p>
    <w:p w14:paraId="45723AAD">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11.社会保障和就业（类）行政事业单位养老支出（款）行政单位离退休（项）：反映行政单位（包括实行公务员管理的事业单位）开支的离退休经费。 </w:t>
      </w:r>
    </w:p>
    <w:p w14:paraId="05CC06F3">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12.社会保障和就业（类）行政事业单位养老支出（款）事业单位离退休（项）：反映事业单位开支的离退休经费。</w:t>
      </w:r>
    </w:p>
    <w:p w14:paraId="59C96BBB">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13.社会保障和就业（类）行政事业单位养老支出（款）机关事业单位基本养老保险缴费支出（项）：反映机关事业单位实施养老保险制度由单位缴纳的基本养老保险费支出。</w:t>
      </w:r>
    </w:p>
    <w:p w14:paraId="423686A2">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14.社会保障和就业（类）行政事业单位养老支出（款）机关事业单位职业年金缴费支出（项）：反映机关事业单位实施养老保险制度由单位实际缴纳的职业年金支出。</w:t>
      </w:r>
    </w:p>
    <w:p w14:paraId="38D1DD52">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0F049C41">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6950822A">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17.卫生健康支出（类）行政事业单位医疗（款）其他行政事业单位医疗支出（项）：反映其他用于行政事业单位医疗方面的支出。</w:t>
      </w:r>
    </w:p>
    <w:p w14:paraId="25002A9B">
      <w:pPr>
        <w:pStyle w:val="4"/>
        <w:widowControl/>
        <w:shd w:val="clear" w:color="auto" w:fill="FFFFFF"/>
        <w:spacing w:line="560" w:lineRule="atLeast"/>
        <w:ind w:firstLine="64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18.住房保障（类）住房改革（款）住房公积金（项）：反映行政事业单位按人力资源和社会保障部、财政部规定的基本工资和津贴补贴以及规定比例为职工缴纳的住房公积金。 </w:t>
      </w:r>
    </w:p>
    <w:p w14:paraId="4F26741A">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19.住房保障（类）住房改革（款）购房补贴（项）：反映按房改政策规定，行政事业单位向符合条件职工（含离退休人员）、军队（含武警）向转役复员离退休人员发放的用于购买住房的补贴。</w:t>
      </w:r>
    </w:p>
    <w:p w14:paraId="37B8653E">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w:t>
      </w:r>
    </w:p>
    <w:p w14:paraId="6B2AB3F9"/>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5D01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E4019">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42952">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9FBC5">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AB415">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B73D4">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F032FF"/>
    <w:multiLevelType w:val="multilevel"/>
    <w:tmpl w:val="24F032FF"/>
    <w:lvl w:ilvl="0" w:tentative="0">
      <w:start w:val="1"/>
      <w:numFmt w:val="japaneseCounting"/>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50C26175"/>
    <w:multiLevelType w:val="multilevel"/>
    <w:tmpl w:val="50C26175"/>
    <w:lvl w:ilvl="0" w:tentative="0">
      <w:start w:val="1"/>
      <w:numFmt w:val="japaneseCounting"/>
      <w:lvlText w:val="（%1）"/>
      <w:lvlJc w:val="left"/>
      <w:pPr>
        <w:ind w:left="1356" w:hanging="972"/>
      </w:pPr>
      <w:rPr>
        <w:rFonts w:hint="default" w:ascii="仿宋_GB2312" w:eastAsia="仿宋_GB2312" w:cs="仿宋_GB2312"/>
        <w:sz w:val="32"/>
      </w:rPr>
    </w:lvl>
    <w:lvl w:ilvl="1" w:tentative="0">
      <w:start w:val="1"/>
      <w:numFmt w:val="lowerLetter"/>
      <w:lvlText w:val="%2)"/>
      <w:lvlJc w:val="left"/>
      <w:pPr>
        <w:ind w:left="1264" w:hanging="440"/>
      </w:pPr>
    </w:lvl>
    <w:lvl w:ilvl="2" w:tentative="0">
      <w:start w:val="1"/>
      <w:numFmt w:val="lowerRoman"/>
      <w:lvlText w:val="%3."/>
      <w:lvlJc w:val="right"/>
      <w:pPr>
        <w:ind w:left="1704" w:hanging="440"/>
      </w:pPr>
    </w:lvl>
    <w:lvl w:ilvl="3" w:tentative="0">
      <w:start w:val="1"/>
      <w:numFmt w:val="decimal"/>
      <w:lvlText w:val="%4."/>
      <w:lvlJc w:val="left"/>
      <w:pPr>
        <w:ind w:left="2144" w:hanging="440"/>
      </w:pPr>
    </w:lvl>
    <w:lvl w:ilvl="4" w:tentative="0">
      <w:start w:val="1"/>
      <w:numFmt w:val="lowerLetter"/>
      <w:lvlText w:val="%5)"/>
      <w:lvlJc w:val="left"/>
      <w:pPr>
        <w:ind w:left="2584" w:hanging="440"/>
      </w:pPr>
    </w:lvl>
    <w:lvl w:ilvl="5" w:tentative="0">
      <w:start w:val="1"/>
      <w:numFmt w:val="lowerRoman"/>
      <w:lvlText w:val="%6."/>
      <w:lvlJc w:val="right"/>
      <w:pPr>
        <w:ind w:left="3024" w:hanging="440"/>
      </w:pPr>
    </w:lvl>
    <w:lvl w:ilvl="6" w:tentative="0">
      <w:start w:val="1"/>
      <w:numFmt w:val="decimal"/>
      <w:lvlText w:val="%7."/>
      <w:lvlJc w:val="left"/>
      <w:pPr>
        <w:ind w:left="3464" w:hanging="440"/>
      </w:pPr>
    </w:lvl>
    <w:lvl w:ilvl="7" w:tentative="0">
      <w:start w:val="1"/>
      <w:numFmt w:val="lowerLetter"/>
      <w:lvlText w:val="%8)"/>
      <w:lvlJc w:val="left"/>
      <w:pPr>
        <w:ind w:left="3904" w:hanging="440"/>
      </w:pPr>
    </w:lvl>
    <w:lvl w:ilvl="8" w:tentative="0">
      <w:start w:val="1"/>
      <w:numFmt w:val="lowerRoman"/>
      <w:lvlText w:val="%9."/>
      <w:lvlJc w:val="right"/>
      <w:pPr>
        <w:ind w:left="4344"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0637E"/>
    <w:rsid w:val="000040A3"/>
    <w:rsid w:val="00014072"/>
    <w:rsid w:val="00051F99"/>
    <w:rsid w:val="00063289"/>
    <w:rsid w:val="00070153"/>
    <w:rsid w:val="000723BF"/>
    <w:rsid w:val="00076B43"/>
    <w:rsid w:val="000B0A20"/>
    <w:rsid w:val="000B2A98"/>
    <w:rsid w:val="000C0978"/>
    <w:rsid w:val="000D4F76"/>
    <w:rsid w:val="000F121A"/>
    <w:rsid w:val="00103123"/>
    <w:rsid w:val="00110082"/>
    <w:rsid w:val="00112C52"/>
    <w:rsid w:val="001154A0"/>
    <w:rsid w:val="00126B75"/>
    <w:rsid w:val="001331C0"/>
    <w:rsid w:val="001344A8"/>
    <w:rsid w:val="001449EC"/>
    <w:rsid w:val="00147285"/>
    <w:rsid w:val="00160910"/>
    <w:rsid w:val="00160BAF"/>
    <w:rsid w:val="001644D8"/>
    <w:rsid w:val="00170BB6"/>
    <w:rsid w:val="00173579"/>
    <w:rsid w:val="00180C08"/>
    <w:rsid w:val="00183D35"/>
    <w:rsid w:val="00194072"/>
    <w:rsid w:val="00194201"/>
    <w:rsid w:val="001C5571"/>
    <w:rsid w:val="001E37E4"/>
    <w:rsid w:val="001E5A88"/>
    <w:rsid w:val="00220FD4"/>
    <w:rsid w:val="00237914"/>
    <w:rsid w:val="00240173"/>
    <w:rsid w:val="002642E1"/>
    <w:rsid w:val="00276677"/>
    <w:rsid w:val="00283270"/>
    <w:rsid w:val="002A5349"/>
    <w:rsid w:val="002D453C"/>
    <w:rsid w:val="003104A7"/>
    <w:rsid w:val="003471AA"/>
    <w:rsid w:val="00374985"/>
    <w:rsid w:val="0039799D"/>
    <w:rsid w:val="003B2AC7"/>
    <w:rsid w:val="003B34D3"/>
    <w:rsid w:val="003B5320"/>
    <w:rsid w:val="003C7FDB"/>
    <w:rsid w:val="003D680C"/>
    <w:rsid w:val="003F2E1A"/>
    <w:rsid w:val="00416C50"/>
    <w:rsid w:val="00436F28"/>
    <w:rsid w:val="0044016C"/>
    <w:rsid w:val="004435C5"/>
    <w:rsid w:val="004466E2"/>
    <w:rsid w:val="00446B3A"/>
    <w:rsid w:val="00457D3E"/>
    <w:rsid w:val="00470E71"/>
    <w:rsid w:val="0048058D"/>
    <w:rsid w:val="00493565"/>
    <w:rsid w:val="004A091E"/>
    <w:rsid w:val="004D2163"/>
    <w:rsid w:val="004D45C5"/>
    <w:rsid w:val="004D5DDE"/>
    <w:rsid w:val="004E31FC"/>
    <w:rsid w:val="004E60E5"/>
    <w:rsid w:val="004F7CEF"/>
    <w:rsid w:val="005020A0"/>
    <w:rsid w:val="00503AFD"/>
    <w:rsid w:val="00503D66"/>
    <w:rsid w:val="00521C17"/>
    <w:rsid w:val="00542560"/>
    <w:rsid w:val="00557980"/>
    <w:rsid w:val="00564792"/>
    <w:rsid w:val="00571ED5"/>
    <w:rsid w:val="00582A1F"/>
    <w:rsid w:val="00591EEF"/>
    <w:rsid w:val="005C3F9A"/>
    <w:rsid w:val="005C4127"/>
    <w:rsid w:val="005D2859"/>
    <w:rsid w:val="00600010"/>
    <w:rsid w:val="00602E27"/>
    <w:rsid w:val="00633FB6"/>
    <w:rsid w:val="0065277E"/>
    <w:rsid w:val="006A1279"/>
    <w:rsid w:val="006A33D4"/>
    <w:rsid w:val="006B7E08"/>
    <w:rsid w:val="006E023F"/>
    <w:rsid w:val="00704E1F"/>
    <w:rsid w:val="00733393"/>
    <w:rsid w:val="00735262"/>
    <w:rsid w:val="0074401B"/>
    <w:rsid w:val="00764606"/>
    <w:rsid w:val="0077302F"/>
    <w:rsid w:val="00780578"/>
    <w:rsid w:val="007A6820"/>
    <w:rsid w:val="007B0A02"/>
    <w:rsid w:val="007B3B12"/>
    <w:rsid w:val="007C33B4"/>
    <w:rsid w:val="007D2C42"/>
    <w:rsid w:val="007E5827"/>
    <w:rsid w:val="007E5AB9"/>
    <w:rsid w:val="0080637E"/>
    <w:rsid w:val="00807B18"/>
    <w:rsid w:val="008323B1"/>
    <w:rsid w:val="0085737E"/>
    <w:rsid w:val="008924FD"/>
    <w:rsid w:val="00894B96"/>
    <w:rsid w:val="008A484D"/>
    <w:rsid w:val="008D2F6D"/>
    <w:rsid w:val="008D3B87"/>
    <w:rsid w:val="008D4CEC"/>
    <w:rsid w:val="008E123B"/>
    <w:rsid w:val="008E4CEA"/>
    <w:rsid w:val="00910BAB"/>
    <w:rsid w:val="00911DA7"/>
    <w:rsid w:val="00912E48"/>
    <w:rsid w:val="0092260D"/>
    <w:rsid w:val="00964A3B"/>
    <w:rsid w:val="00966719"/>
    <w:rsid w:val="0099121A"/>
    <w:rsid w:val="009A7082"/>
    <w:rsid w:val="00A1188E"/>
    <w:rsid w:val="00A53D32"/>
    <w:rsid w:val="00A66F7E"/>
    <w:rsid w:val="00A7067D"/>
    <w:rsid w:val="00A965B9"/>
    <w:rsid w:val="00AA5F4B"/>
    <w:rsid w:val="00AC0DC2"/>
    <w:rsid w:val="00AC13B0"/>
    <w:rsid w:val="00AC7F4B"/>
    <w:rsid w:val="00AD0815"/>
    <w:rsid w:val="00AD2DF4"/>
    <w:rsid w:val="00AD5714"/>
    <w:rsid w:val="00B07335"/>
    <w:rsid w:val="00B23D37"/>
    <w:rsid w:val="00B5548E"/>
    <w:rsid w:val="00B65F9B"/>
    <w:rsid w:val="00B80141"/>
    <w:rsid w:val="00B840AF"/>
    <w:rsid w:val="00BA68B9"/>
    <w:rsid w:val="00BC7984"/>
    <w:rsid w:val="00BD586A"/>
    <w:rsid w:val="00BE4C50"/>
    <w:rsid w:val="00BF2149"/>
    <w:rsid w:val="00C045CE"/>
    <w:rsid w:val="00C17FE9"/>
    <w:rsid w:val="00C23AC4"/>
    <w:rsid w:val="00C32888"/>
    <w:rsid w:val="00C376A7"/>
    <w:rsid w:val="00C47C09"/>
    <w:rsid w:val="00CC3048"/>
    <w:rsid w:val="00CD4CDC"/>
    <w:rsid w:val="00D200C7"/>
    <w:rsid w:val="00D21BC1"/>
    <w:rsid w:val="00D2388D"/>
    <w:rsid w:val="00D37A27"/>
    <w:rsid w:val="00D4480D"/>
    <w:rsid w:val="00D47AED"/>
    <w:rsid w:val="00D73A39"/>
    <w:rsid w:val="00D97C82"/>
    <w:rsid w:val="00DA33A9"/>
    <w:rsid w:val="00DA5274"/>
    <w:rsid w:val="00DB3A84"/>
    <w:rsid w:val="00DC1BD5"/>
    <w:rsid w:val="00DD68B7"/>
    <w:rsid w:val="00DE73B5"/>
    <w:rsid w:val="00DF3ED4"/>
    <w:rsid w:val="00E01162"/>
    <w:rsid w:val="00E04D84"/>
    <w:rsid w:val="00E17B2C"/>
    <w:rsid w:val="00E36CD4"/>
    <w:rsid w:val="00E56376"/>
    <w:rsid w:val="00E57CD9"/>
    <w:rsid w:val="00E61F0F"/>
    <w:rsid w:val="00E84EA3"/>
    <w:rsid w:val="00E86E31"/>
    <w:rsid w:val="00EA63BB"/>
    <w:rsid w:val="00EB5E4E"/>
    <w:rsid w:val="00ED0BDF"/>
    <w:rsid w:val="00ED4880"/>
    <w:rsid w:val="00EF573F"/>
    <w:rsid w:val="00F14B48"/>
    <w:rsid w:val="00F167DE"/>
    <w:rsid w:val="00F17F6A"/>
    <w:rsid w:val="00F34CA9"/>
    <w:rsid w:val="00F4105C"/>
    <w:rsid w:val="00F5475E"/>
    <w:rsid w:val="00F611C0"/>
    <w:rsid w:val="00F96CB9"/>
    <w:rsid w:val="00FD6D6E"/>
    <w:rsid w:val="00FE1942"/>
    <w:rsid w:val="00FE60AB"/>
    <w:rsid w:val="00FF5216"/>
    <w:rsid w:val="25E22D30"/>
    <w:rsid w:val="44492AFD"/>
    <w:rsid w:val="4D952D2E"/>
    <w:rsid w:val="586C6306"/>
    <w:rsid w:val="60B27518"/>
    <w:rsid w:val="61BE4188"/>
    <w:rsid w:val="69790883"/>
    <w:rsid w:val="757A1C0A"/>
    <w:rsid w:val="77A2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5711</Words>
  <Characters>6053</Characters>
  <Lines>5</Lines>
  <Paragraphs>12</Paragraphs>
  <TotalTime>197</TotalTime>
  <ScaleCrop>false</ScaleCrop>
  <LinksUpToDate>false</LinksUpToDate>
  <CharactersWithSpaces>6276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dcterms:modified xsi:type="dcterms:W3CDTF">2025-01-17T06:41:28Z</dcterms:modified>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B8C5117FB8014E44A865199339766739_12</vt:lpwstr>
  </property>
</Properties>
</file>