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2A7FA">
      <w:pPr>
        <w:pStyle w:val="5"/>
        <w:widowControl/>
        <w:shd w:val="clear" w:color="auto" w:fill="FFFFFF"/>
        <w:jc w:val="left"/>
        <w:rPr>
          <w:rFonts w:ascii="微软雅黑" w:hAnsi="微软雅黑" w:eastAsia="微软雅黑" w:cs="微软雅黑"/>
          <w:color w:val="000000"/>
        </w:rPr>
      </w:pPr>
      <w:r>
        <w:rPr>
          <w:rFonts w:hint="eastAsia" w:ascii="宋体" w:hAnsi="宋体" w:eastAsia="宋体" w:cs="宋体"/>
          <w:b/>
          <w:bCs/>
          <w:color w:val="000000"/>
          <w:sz w:val="32"/>
          <w:szCs w:val="32"/>
          <w:shd w:val="clear" w:color="auto" w:fill="FFFFFF"/>
        </w:rPr>
        <w:t>附件2</w:t>
      </w:r>
    </w:p>
    <w:p w14:paraId="4B2B2439">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285E0979">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279ADE6E">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5B9AD346">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33BDDEBC">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7DD1BA7">
      <w:pPr>
        <w:pStyle w:val="5"/>
        <w:widowControl/>
        <w:shd w:val="clear" w:color="auto" w:fill="FFFFFF"/>
        <w:jc w:val="center"/>
        <w:outlineLvl w:val="0"/>
        <w:rPr>
          <w:rFonts w:hint="eastAsia" w:ascii="Times New Roman" w:hAnsi="Times New Roman" w:eastAsia="微软雅黑" w:cs="Times New Roman"/>
          <w:b/>
          <w:bCs/>
          <w:color w:val="000000"/>
          <w:sz w:val="36"/>
          <w:szCs w:val="36"/>
          <w:shd w:val="clear" w:color="auto" w:fill="FFFFFF"/>
        </w:rPr>
      </w:pPr>
    </w:p>
    <w:p w14:paraId="70DBD86B">
      <w:pPr>
        <w:pStyle w:val="5"/>
        <w:widowControl/>
        <w:shd w:val="clear" w:color="auto" w:fill="FFFFFF"/>
        <w:jc w:val="center"/>
        <w:outlineLvl w:val="0"/>
        <w:rPr>
          <w:rFonts w:ascii="微软雅黑" w:hAnsi="微软雅黑" w:eastAsia="微软雅黑" w:cs="微软雅黑"/>
          <w:color w:val="000000"/>
        </w:rPr>
      </w:pPr>
      <w:r>
        <w:rPr>
          <w:rFonts w:hint="eastAsia" w:ascii="Times New Roman" w:hAnsi="Times New Roman" w:eastAsia="微软雅黑" w:cs="Times New Roman"/>
          <w:b/>
          <w:bCs/>
          <w:color w:val="000000"/>
          <w:sz w:val="36"/>
          <w:szCs w:val="36"/>
          <w:shd w:val="clear" w:color="auto" w:fill="FFFFFF"/>
        </w:rPr>
        <w:t>鞍山市千山区大屯镇人民政府</w:t>
      </w:r>
    </w:p>
    <w:p w14:paraId="0328DDE0">
      <w:pPr>
        <w:pStyle w:val="5"/>
        <w:widowControl/>
        <w:shd w:val="clear" w:color="auto" w:fill="FFFFFF"/>
        <w:jc w:val="center"/>
        <w:rPr>
          <w:rFonts w:ascii="微软雅黑" w:hAnsi="微软雅黑" w:eastAsia="微软雅黑" w:cs="微软雅黑"/>
          <w:color w:val="000000"/>
        </w:rPr>
      </w:pPr>
      <w:r>
        <w:rPr>
          <w:rFonts w:hint="eastAsia" w:ascii="宋体" w:hAnsi="宋体" w:eastAsia="宋体" w:cs="宋体"/>
          <w:b/>
          <w:bCs/>
          <w:color w:val="000000"/>
          <w:sz w:val="44"/>
          <w:szCs w:val="44"/>
          <w:shd w:val="clear" w:color="auto" w:fill="FFFFFF"/>
        </w:rPr>
        <w:t>2025年度部门（单位）预算</w:t>
      </w:r>
    </w:p>
    <w:p w14:paraId="67D5CADC">
      <w:pPr>
        <w:pStyle w:val="5"/>
        <w:widowControl/>
        <w:shd w:val="clear" w:color="auto" w:fill="FFFFFF"/>
        <w:jc w:val="center"/>
        <w:rPr>
          <w:rFonts w:ascii="黑体" w:hAnsi="宋体" w:eastAsia="黑体" w:cs="黑体"/>
          <w:b/>
          <w:bCs/>
          <w:color w:val="000000"/>
          <w:sz w:val="32"/>
          <w:szCs w:val="32"/>
          <w:shd w:val="clear" w:color="auto" w:fill="FFFFFF"/>
        </w:rPr>
      </w:pPr>
    </w:p>
    <w:p w14:paraId="5D77CF6A">
      <w:pPr>
        <w:pStyle w:val="5"/>
        <w:widowControl/>
        <w:shd w:val="clear" w:color="auto" w:fill="FFFFFF"/>
        <w:jc w:val="center"/>
        <w:rPr>
          <w:rFonts w:ascii="黑体" w:hAnsi="宋体" w:eastAsia="黑体" w:cs="黑体"/>
          <w:b/>
          <w:bCs/>
          <w:color w:val="000000"/>
          <w:sz w:val="32"/>
          <w:szCs w:val="32"/>
          <w:shd w:val="clear" w:color="auto" w:fill="FFFFFF"/>
        </w:rPr>
      </w:pPr>
    </w:p>
    <w:p w14:paraId="1586A4B5">
      <w:pPr>
        <w:pStyle w:val="5"/>
        <w:widowControl/>
        <w:shd w:val="clear" w:color="auto" w:fill="FFFFFF"/>
        <w:jc w:val="center"/>
        <w:rPr>
          <w:rFonts w:ascii="黑体" w:hAnsi="宋体" w:eastAsia="黑体" w:cs="黑体"/>
          <w:b/>
          <w:bCs/>
          <w:color w:val="000000"/>
          <w:sz w:val="32"/>
          <w:szCs w:val="32"/>
          <w:shd w:val="clear" w:color="auto" w:fill="FFFFFF"/>
        </w:rPr>
      </w:pPr>
    </w:p>
    <w:p w14:paraId="6DC1CB78">
      <w:pPr>
        <w:pStyle w:val="5"/>
        <w:widowControl/>
        <w:shd w:val="clear" w:color="auto" w:fill="FFFFFF"/>
        <w:jc w:val="center"/>
        <w:rPr>
          <w:rFonts w:ascii="黑体" w:hAnsi="宋体" w:eastAsia="黑体" w:cs="黑体"/>
          <w:b/>
          <w:bCs/>
          <w:color w:val="000000"/>
          <w:sz w:val="32"/>
          <w:szCs w:val="32"/>
          <w:shd w:val="clear" w:color="auto" w:fill="FFFFFF"/>
        </w:rPr>
      </w:pPr>
    </w:p>
    <w:p w14:paraId="1DDD49CC">
      <w:pPr>
        <w:pStyle w:val="5"/>
        <w:widowControl/>
        <w:shd w:val="clear" w:color="auto" w:fill="FFFFFF"/>
        <w:jc w:val="center"/>
        <w:rPr>
          <w:rFonts w:ascii="黑体" w:hAnsi="宋体" w:eastAsia="黑体" w:cs="黑体"/>
          <w:b/>
          <w:bCs/>
          <w:color w:val="000000"/>
          <w:sz w:val="32"/>
          <w:szCs w:val="32"/>
          <w:shd w:val="clear" w:color="auto" w:fill="FFFFFF"/>
        </w:rPr>
      </w:pPr>
    </w:p>
    <w:p w14:paraId="272F3B32">
      <w:pPr>
        <w:pStyle w:val="5"/>
        <w:widowControl/>
        <w:shd w:val="clear" w:color="auto" w:fill="FFFFFF"/>
        <w:jc w:val="center"/>
        <w:rPr>
          <w:rFonts w:ascii="黑体" w:hAnsi="宋体" w:eastAsia="黑体" w:cs="黑体"/>
          <w:b/>
          <w:bCs/>
          <w:color w:val="000000"/>
          <w:sz w:val="32"/>
          <w:szCs w:val="32"/>
          <w:shd w:val="clear" w:color="auto" w:fill="FFFFFF"/>
        </w:rPr>
      </w:pPr>
    </w:p>
    <w:p w14:paraId="654E6D00">
      <w:pPr>
        <w:pStyle w:val="5"/>
        <w:widowControl/>
        <w:shd w:val="clear" w:color="auto" w:fill="FFFFFF"/>
        <w:jc w:val="center"/>
        <w:rPr>
          <w:rFonts w:ascii="黑体" w:hAnsi="宋体" w:eastAsia="黑体" w:cs="黑体"/>
          <w:b/>
          <w:bCs/>
          <w:color w:val="000000"/>
          <w:sz w:val="32"/>
          <w:szCs w:val="32"/>
          <w:shd w:val="clear" w:color="auto" w:fill="FFFFFF"/>
        </w:rPr>
      </w:pPr>
    </w:p>
    <w:p w14:paraId="3C4DFFB6">
      <w:pPr>
        <w:pStyle w:val="5"/>
        <w:widowControl/>
        <w:shd w:val="clear" w:color="auto" w:fill="FFFFFF"/>
        <w:jc w:val="center"/>
        <w:rPr>
          <w:rFonts w:ascii="黑体" w:hAnsi="宋体" w:eastAsia="黑体" w:cs="黑体"/>
          <w:b/>
          <w:bCs/>
          <w:color w:val="000000"/>
          <w:sz w:val="32"/>
          <w:szCs w:val="32"/>
          <w:shd w:val="clear" w:color="auto" w:fill="FFFFFF"/>
        </w:rPr>
      </w:pPr>
    </w:p>
    <w:p w14:paraId="069B84CA">
      <w:pPr>
        <w:pStyle w:val="5"/>
        <w:widowControl/>
        <w:shd w:val="clear" w:color="auto" w:fill="FFFFFF"/>
        <w:jc w:val="center"/>
        <w:rPr>
          <w:rFonts w:ascii="黑体" w:hAnsi="宋体" w:eastAsia="黑体" w:cs="黑体"/>
          <w:b/>
          <w:bCs/>
          <w:color w:val="000000"/>
          <w:sz w:val="32"/>
          <w:szCs w:val="32"/>
          <w:shd w:val="clear" w:color="auto" w:fill="FFFFFF"/>
        </w:rPr>
      </w:pPr>
    </w:p>
    <w:p w14:paraId="41D024F4">
      <w:pPr>
        <w:pStyle w:val="5"/>
        <w:widowControl/>
        <w:shd w:val="clear" w:color="auto" w:fill="FFFFFF"/>
        <w:jc w:val="center"/>
        <w:rPr>
          <w:rFonts w:ascii="黑体" w:hAnsi="宋体" w:eastAsia="黑体" w:cs="黑体"/>
          <w:b/>
          <w:bCs/>
          <w:color w:val="000000"/>
          <w:sz w:val="32"/>
          <w:szCs w:val="32"/>
          <w:shd w:val="clear" w:color="auto" w:fill="FFFFFF"/>
        </w:rPr>
      </w:pPr>
    </w:p>
    <w:p w14:paraId="4671153E">
      <w:pPr>
        <w:pStyle w:val="5"/>
        <w:widowControl/>
        <w:shd w:val="clear" w:color="auto" w:fill="FFFFFF"/>
        <w:jc w:val="center"/>
        <w:rPr>
          <w:rFonts w:ascii="黑体" w:hAnsi="宋体" w:eastAsia="黑体" w:cs="黑体"/>
          <w:b/>
          <w:bCs/>
          <w:color w:val="000000"/>
          <w:sz w:val="32"/>
          <w:szCs w:val="32"/>
          <w:shd w:val="clear" w:color="auto" w:fill="FFFFFF"/>
        </w:rPr>
      </w:pPr>
    </w:p>
    <w:p w14:paraId="09ABFF20">
      <w:pPr>
        <w:pStyle w:val="5"/>
        <w:widowControl/>
        <w:shd w:val="clear" w:color="auto" w:fill="FFFFFF"/>
        <w:jc w:val="center"/>
        <w:rPr>
          <w:rFonts w:ascii="黑体" w:hAnsi="宋体" w:eastAsia="黑体" w:cs="黑体"/>
          <w:b/>
          <w:bCs/>
          <w:color w:val="000000"/>
          <w:sz w:val="32"/>
          <w:szCs w:val="32"/>
          <w:shd w:val="clear" w:color="auto" w:fill="FFFFFF"/>
        </w:rPr>
      </w:pPr>
    </w:p>
    <w:p w14:paraId="6948EC13">
      <w:pPr>
        <w:pStyle w:val="5"/>
        <w:widowControl/>
        <w:shd w:val="clear" w:color="auto" w:fill="FFFFFF"/>
        <w:jc w:val="center"/>
        <w:rPr>
          <w:rFonts w:ascii="黑体" w:hAnsi="宋体" w:eastAsia="黑体" w:cs="黑体"/>
          <w:b/>
          <w:bCs/>
          <w:color w:val="000000"/>
          <w:sz w:val="32"/>
          <w:szCs w:val="32"/>
          <w:shd w:val="clear" w:color="auto" w:fill="FFFFFF"/>
        </w:rPr>
      </w:pPr>
    </w:p>
    <w:p w14:paraId="7148A993">
      <w:pPr>
        <w:pStyle w:val="5"/>
        <w:widowControl/>
        <w:shd w:val="clear" w:color="auto" w:fill="FFFFFF"/>
        <w:jc w:val="center"/>
        <w:rPr>
          <w:rFonts w:ascii="微软雅黑" w:hAnsi="微软雅黑" w:eastAsia="微软雅黑" w:cs="微软雅黑"/>
          <w:color w:val="000000"/>
        </w:rPr>
      </w:pPr>
      <w:bookmarkStart w:id="1" w:name="_GoBack"/>
      <w:bookmarkEnd w:id="1"/>
      <w:r>
        <w:rPr>
          <w:rFonts w:ascii="黑体" w:hAnsi="宋体" w:eastAsia="黑体" w:cs="黑体"/>
          <w:b/>
          <w:bCs/>
          <w:color w:val="000000"/>
          <w:sz w:val="32"/>
          <w:szCs w:val="32"/>
          <w:shd w:val="clear" w:color="auto" w:fill="FFFFFF"/>
        </w:rPr>
        <w:t>目</w:t>
      </w:r>
      <w:r>
        <w:rPr>
          <w:rFonts w:hint="eastAsia" w:ascii="黑体" w:hAnsi="宋体" w:eastAsia="黑体" w:cs="黑体"/>
          <w:b/>
          <w:bCs/>
          <w:color w:val="000000"/>
          <w:sz w:val="32"/>
          <w:szCs w:val="32"/>
          <w:shd w:val="clear" w:color="auto" w:fill="FFFFFF"/>
        </w:rPr>
        <w:t>  录</w:t>
      </w:r>
    </w:p>
    <w:p w14:paraId="37A679C8">
      <w:pPr>
        <w:pStyle w:val="5"/>
        <w:widowControl/>
        <w:shd w:val="clear" w:color="auto" w:fill="FFFFFF"/>
        <w:spacing w:line="560" w:lineRule="atLeast"/>
        <w:ind w:firstLine="422"/>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第一部</w:t>
      </w:r>
      <w:r>
        <w:rPr>
          <w:rFonts w:hint="eastAsia" w:ascii="楷体" w:hAnsi="楷体" w:eastAsia="楷体" w:cs="楷体"/>
          <w:b/>
          <w:bCs/>
          <w:color w:val="000000"/>
          <w:sz w:val="32"/>
          <w:szCs w:val="32"/>
          <w:shd w:val="clear" w:color="auto" w:fill="FFFFFF"/>
        </w:rPr>
        <w:t>分 部门预算公开管理文件</w:t>
      </w:r>
      <w:r>
        <w:rPr>
          <w:rFonts w:hint="eastAsia" w:ascii="楷体" w:hAnsi="楷体" w:eastAsia="楷体" w:cs="楷体"/>
          <w:color w:val="000000"/>
          <w:sz w:val="32"/>
          <w:szCs w:val="32"/>
          <w:shd w:val="clear" w:color="auto" w:fill="FFFFFF"/>
        </w:rPr>
        <w:t> </w:t>
      </w:r>
    </w:p>
    <w:p w14:paraId="507D7FD6">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0E804298">
      <w:pPr>
        <w:pStyle w:val="5"/>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一、部门</w:t>
      </w:r>
      <w:r>
        <w:rPr>
          <w:rFonts w:hint="eastAsia" w:ascii="仿宋_GB2312" w:hAnsi="微软雅黑" w:eastAsia="仿宋_GB2312" w:cs="仿宋_GB2312"/>
          <w:color w:val="000000"/>
          <w:sz w:val="32"/>
          <w:szCs w:val="32"/>
          <w:shd w:val="clear" w:color="auto" w:fill="FFFFFF"/>
        </w:rPr>
        <w:t>（单位）职责 </w:t>
      </w:r>
    </w:p>
    <w:p w14:paraId="0374812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 </w:t>
      </w:r>
    </w:p>
    <w:p w14:paraId="01A72C62">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2025年部门（单位）预算表</w:t>
      </w:r>
      <w:r>
        <w:rPr>
          <w:rFonts w:hint="eastAsia" w:ascii="楷体" w:hAnsi="楷体" w:eastAsia="楷体" w:cs="楷体"/>
          <w:color w:val="000000"/>
          <w:sz w:val="32"/>
          <w:szCs w:val="32"/>
          <w:shd w:val="clear" w:color="auto" w:fill="FFFFFF"/>
        </w:rPr>
        <w:t> </w:t>
      </w:r>
    </w:p>
    <w:p w14:paraId="6D86705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305A7CF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7FF0E62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265A2B31">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7A797F8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0AF0A3B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2FF0572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5281BBD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054C313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235609D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4BE06E8C">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6E7FB7B2">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0986AB14">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50764DC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23340AE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5FD4D05F">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40E92FF6">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60FB1C05">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228E1853">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3126266E">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 2025年部门（单位）预算情况说明</w:t>
      </w:r>
      <w:r>
        <w:rPr>
          <w:rFonts w:hint="eastAsia" w:ascii="楷体" w:hAnsi="楷体" w:eastAsia="楷体" w:cs="楷体"/>
          <w:color w:val="000000"/>
          <w:sz w:val="32"/>
          <w:szCs w:val="32"/>
          <w:shd w:val="clear" w:color="auto" w:fill="FFFFFF"/>
        </w:rPr>
        <w:t> </w:t>
      </w:r>
    </w:p>
    <w:p w14:paraId="641DB454">
      <w:pPr>
        <w:pStyle w:val="5"/>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26E10B21">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2201990">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FC17B7F">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19BD75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DB7830F">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DE12369">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4EE4FCF1">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18C79B4">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DFA04D1">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4C49388">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07AAC3A">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945515B">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08F14B6">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B980D6D">
      <w:pPr>
        <w:pStyle w:val="5"/>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44536B5">
      <w:pPr>
        <w:pStyle w:val="5"/>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  部门预算公开管理文件</w:t>
      </w:r>
    </w:p>
    <w:p w14:paraId="36817DFC">
      <w:pPr>
        <w:pStyle w:val="5"/>
        <w:widowControl/>
        <w:shd w:val="clear" w:color="auto" w:fill="FFFFFF"/>
        <w:spacing w:line="600" w:lineRule="atLeast"/>
        <w:jc w:val="center"/>
        <w:rPr>
          <w:rFonts w:ascii="微软雅黑" w:hAnsi="微软雅黑" w:eastAsia="微软雅黑" w:cs="微软雅黑"/>
          <w:color w:val="000000"/>
        </w:rPr>
      </w:pPr>
      <w:r>
        <w:rPr>
          <w:rFonts w:ascii="仿宋" w:hAnsi="仿宋" w:eastAsia="仿宋" w:cs="仿宋"/>
          <w:color w:val="333333"/>
          <w:sz w:val="32"/>
          <w:szCs w:val="32"/>
          <w:shd w:val="clear" w:color="auto" w:fill="FFFFFF"/>
        </w:rPr>
        <w:t>　鞍山市</w:t>
      </w:r>
      <w:r>
        <w:rPr>
          <w:rFonts w:hint="eastAsia" w:ascii="仿宋" w:hAnsi="仿宋" w:eastAsia="仿宋" w:cs="仿宋"/>
          <w:color w:val="333333"/>
          <w:sz w:val="32"/>
          <w:szCs w:val="32"/>
          <w:shd w:val="clear" w:color="auto" w:fill="FFFFFF"/>
        </w:rPr>
        <w:t>预决算信息公开管理暂行办法</w:t>
      </w:r>
    </w:p>
    <w:p w14:paraId="7E305753">
      <w:pPr>
        <w:pStyle w:val="5"/>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（鞍财预〔2019〕313号）</w:t>
      </w:r>
    </w:p>
    <w:p w14:paraId="1A8BCC7D">
      <w:pPr>
        <w:pStyle w:val="5"/>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  公开原则</w:t>
      </w:r>
    </w:p>
    <w:p w14:paraId="452FCAC0">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3F0511B9">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26096B61">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第三条  公开及时，内容准确，形式规范。方便社会监督，公开内容让公众找得着、看得懂、能监督。</w:t>
      </w:r>
    </w:p>
    <w:p w14:paraId="3C3FFCCF">
      <w:pPr>
        <w:pStyle w:val="5"/>
        <w:widowControl/>
        <w:shd w:val="clear" w:color="auto" w:fill="FFFFFF"/>
        <w:spacing w:after="156" w:line="600" w:lineRule="atLeast"/>
        <w:jc w:val="center"/>
        <w:rPr>
          <w:rFonts w:ascii="微软雅黑" w:hAnsi="微软雅黑" w:eastAsia="微软雅黑" w:cs="微软雅黑"/>
          <w:color w:val="000000"/>
        </w:rPr>
      </w:pPr>
      <w:r>
        <w:rPr>
          <w:rFonts w:ascii="Tahoma" w:hAnsi="Tahoma" w:eastAsia="Tahoma" w:cs="Tahoma"/>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hint="eastAsia" w:ascii="宋体" w:hAnsi="宋体" w:eastAsia="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ahoma" w:cs="Tahoma"/>
          <w:color w:val="111111"/>
          <w:sz w:val="18"/>
          <w:szCs w:val="18"/>
          <w:shd w:val="clear" w:color="auto" w:fill="FFFFFF"/>
        </w:rPr>
        <w:t> </w:t>
      </w:r>
    </w:p>
    <w:p w14:paraId="4DBC4A85">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  部门负责本单位及所属单位的预决算信息公开工作，履行下列职责：</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0E3B19BC">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7A91D850">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3F2CF089">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7C32A56F">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hint="eastAsia" w:ascii="宋体" w:hAnsi="宋体" w:eastAsia="宋体" w:cs="宋体"/>
          <w:color w:val="333333"/>
          <w:sz w:val="32"/>
          <w:szCs w:val="32"/>
          <w:shd w:val="clear" w:color="auto" w:fill="FFFFFF"/>
        </w:rPr>
        <w:t> </w:t>
      </w:r>
      <w:r>
        <w:rPr>
          <w:rFonts w:ascii="Tahoma" w:hAnsi="Tahoma" w:eastAsia="Tahoma" w:cs="Tahoma"/>
          <w:color w:val="111111"/>
          <w:sz w:val="18"/>
          <w:szCs w:val="18"/>
          <w:shd w:val="clear" w:color="auto" w:fill="FFFFFF"/>
        </w:rPr>
        <w:t> </w:t>
      </w:r>
    </w:p>
    <w:p w14:paraId="79363441">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hint="eastAsia" w:ascii="宋体" w:hAnsi="宋体" w:eastAsia="宋体" w:cs="宋体"/>
          <w:color w:val="333333"/>
          <w:sz w:val="32"/>
          <w:szCs w:val="32"/>
          <w:shd w:val="clear" w:color="auto" w:fill="FFFFFF"/>
        </w:rPr>
        <w:t> </w:t>
      </w:r>
    </w:p>
    <w:p w14:paraId="45D54951">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  公开内容</w:t>
      </w:r>
    </w:p>
    <w:p w14:paraId="470159EE">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第五条  部门预算信息（涉密信息除外）公开内容包括：</w:t>
      </w:r>
    </w:p>
    <w:p w14:paraId="3C51E7B9">
      <w:pPr>
        <w:pStyle w:val="5"/>
        <w:widowControl/>
        <w:shd w:val="clear" w:color="auto" w:fill="FFFFFF"/>
        <w:spacing w:line="600" w:lineRule="atLeast"/>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（一）部门概况：主要包括部门主要职责、预算单位构成等。</w:t>
      </w:r>
    </w:p>
    <w:p w14:paraId="3D86366C">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ahoma" w:cs="Tahoma"/>
          <w:color w:val="000000"/>
          <w:sz w:val="18"/>
          <w:szCs w:val="18"/>
          <w:shd w:val="clear" w:color="auto" w:fill="FFFFFF"/>
        </w:rPr>
        <w:t> </w:t>
      </w:r>
    </w:p>
    <w:p w14:paraId="3E3B5DBD">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4C3697F5">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26FFFCE8">
      <w:pPr>
        <w:pStyle w:val="5"/>
        <w:widowControl/>
        <w:shd w:val="clear" w:color="auto" w:fill="FFFFFF"/>
        <w:spacing w:line="600" w:lineRule="atLeast"/>
        <w:ind w:firstLine="640"/>
        <w:jc w:val="left"/>
        <w:rPr>
          <w:rFonts w:ascii="微软雅黑" w:hAnsi="微软雅黑" w:eastAsia="微软雅黑" w:cs="微软雅黑"/>
          <w:color w:val="000000"/>
        </w:rPr>
      </w:pPr>
      <w:r>
        <w:rPr>
          <w:rFonts w:ascii="Tahoma" w:hAnsi="Tahoma" w:eastAsia="Tahoma" w:cs="Tahoma"/>
          <w:color w:val="000000"/>
          <w:sz w:val="18"/>
          <w:szCs w:val="18"/>
          <w:shd w:val="clear" w:color="auto" w:fill="FFFFFF"/>
        </w:rPr>
        <w:t>　</w:t>
      </w:r>
      <w:r>
        <w:rPr>
          <w:rFonts w:hint="eastAsia" w:ascii="仿宋" w:hAnsi="仿宋" w:eastAsia="仿宋" w:cs="仿宋"/>
          <w:color w:val="000000"/>
          <w:sz w:val="32"/>
          <w:szCs w:val="32"/>
          <w:shd w:val="clear" w:color="auto" w:fill="FFFFFF"/>
        </w:rPr>
        <w:t>第六条 部门决算信息（涉密信息除外）公开内容包括：</w:t>
      </w:r>
      <w:r>
        <w:rPr>
          <w:rFonts w:ascii="Tahoma" w:hAnsi="Tahoma" w:eastAsia="Tahoma" w:cs="Tahoma"/>
          <w:color w:val="000000"/>
          <w:sz w:val="18"/>
          <w:szCs w:val="18"/>
          <w:shd w:val="clear" w:color="auto" w:fill="FFFFFF"/>
        </w:rPr>
        <w:t> </w:t>
      </w:r>
    </w:p>
    <w:p w14:paraId="3E6857FB">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ahoma" w:cs="Tahoma"/>
          <w:color w:val="000000"/>
          <w:sz w:val="18"/>
          <w:szCs w:val="18"/>
          <w:shd w:val="clear" w:color="auto" w:fill="FFFFFF"/>
        </w:rPr>
        <w:t> </w:t>
      </w:r>
    </w:p>
    <w:p w14:paraId="54C40DB8">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ahoma" w:cs="Tahoma"/>
          <w:color w:val="000000"/>
          <w:sz w:val="18"/>
          <w:szCs w:val="18"/>
          <w:shd w:val="clear" w:color="auto" w:fill="FFFFFF"/>
        </w:rPr>
        <w:t> </w:t>
      </w:r>
    </w:p>
    <w:p w14:paraId="208AD2B7">
      <w:pPr>
        <w:pStyle w:val="5"/>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ahoma" w:cs="Tahoma"/>
          <w:color w:val="000000"/>
          <w:sz w:val="18"/>
          <w:szCs w:val="18"/>
          <w:shd w:val="clear" w:color="auto" w:fill="FFFFFF"/>
        </w:rPr>
        <w:t> </w:t>
      </w:r>
    </w:p>
    <w:p w14:paraId="627C4A80">
      <w:pPr>
        <w:pStyle w:val="5"/>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29298E95">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  公开方式</w:t>
      </w:r>
    </w:p>
    <w:p w14:paraId="5E9AD9D8">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第七条  预决算信息在本部门门户网站和市政府门户网站设立的“预决算公开”专栏进行公开，并保持长期公开状态，便于社会公众查阅和监督。</w:t>
      </w:r>
    </w:p>
    <w:p w14:paraId="38789F9B">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  公开程序</w:t>
      </w:r>
    </w:p>
    <w:p w14:paraId="2203B808">
      <w:pPr>
        <w:pStyle w:val="5"/>
        <w:widowControl/>
        <w:shd w:val="clear" w:color="auto" w:fill="FFFFFF"/>
        <w:spacing w:line="600" w:lineRule="atLeast"/>
        <w:jc w:val="left"/>
        <w:rPr>
          <w:rFonts w:ascii="微软雅黑" w:hAnsi="微软雅黑" w:eastAsia="微软雅黑" w:cs="微软雅黑"/>
          <w:color w:val="000000"/>
        </w:rPr>
      </w:pPr>
      <w:r>
        <w:rPr>
          <w:rFonts w:hint="eastAsia" w:ascii="宋体" w:hAnsi="宋体" w:eastAsia="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 第八条  根据本级财政部门批复的部门预算、部门决算及报表，应当在批复后20日内由本部门公开预决算信息。</w:t>
      </w:r>
    </w:p>
    <w:p w14:paraId="77DCAF2F">
      <w:pPr>
        <w:pStyle w:val="5"/>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  附  则</w:t>
      </w:r>
    </w:p>
    <w:p w14:paraId="7F46B074">
      <w:pPr>
        <w:pStyle w:val="5"/>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  本办法自印发之日起实行。</w:t>
      </w:r>
    </w:p>
    <w:p w14:paraId="687E1468">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  部门（单位）概况</w:t>
      </w:r>
    </w:p>
    <w:p w14:paraId="26C9E4E4">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 一、部门（单位）职责</w:t>
      </w:r>
      <w:r>
        <w:rPr>
          <w:rFonts w:hint="eastAsia" w:ascii="仿宋_GB2312" w:hAnsi="微软雅黑" w:eastAsia="仿宋_GB2312" w:cs="仿宋_GB2312"/>
          <w:color w:val="000000"/>
          <w:sz w:val="32"/>
          <w:szCs w:val="32"/>
          <w:shd w:val="clear" w:color="auto" w:fill="FFFFFF"/>
        </w:rPr>
        <w:t> </w:t>
      </w:r>
    </w:p>
    <w:p w14:paraId="21E8914A">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仿宋"/>
          <w:color w:val="000000"/>
          <w:sz w:val="32"/>
          <w:szCs w:val="32"/>
          <w:shd w:val="clear" w:color="auto" w:fill="FFFFFF"/>
        </w:rPr>
        <w:t>（一）</w:t>
      </w:r>
      <w:r>
        <w:rPr>
          <w:rFonts w:hint="eastAsia" w:ascii="仿宋_GB2312" w:hAnsi="仿宋" w:eastAsia="仿宋_GB2312" w:cs="Arial"/>
          <w:color w:val="5D5F60"/>
          <w:sz w:val="32"/>
          <w:szCs w:val="32"/>
          <w:shd w:val="clear" w:color="auto" w:fill="FFFFFF"/>
        </w:rPr>
        <w:t>制定和组织实施经济、科技和社会发展计划，制定资源开发技术改造和产业结构调整方案，组织指导好各业生产，搞好商品流通，协调好本辖区与外地区的经济交流与合作，抓好招商引资，人才引进项目开发，不断培育市场体系，组织经济运行，促进经济发展。</w:t>
      </w:r>
    </w:p>
    <w:p w14:paraId="5A38D308">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（二）制定并组织实施村镇建设规划，部署重点工程建设，地方道路建设及公共设施，水利设施的管理，负责土地、林木、水等自然资源和生态环境的保护，做好护林防火工作。</w:t>
      </w:r>
    </w:p>
    <w:p w14:paraId="101F86C0">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三）负责本行政区域内的民政、计划生育、文化教育、卫生、体育等社会公益事业的综合性工作，维护一切经济单位和个人的正当经济权益，取缔非法经济活动，调解和处理民事纠纷，打击刑事犯罪维护社会稳定。</w:t>
      </w:r>
    </w:p>
    <w:p w14:paraId="33C3FBF6">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（四）按计划组织本级财政收入和地方税的征收，完成国家财政计划，不断培植税源，管好财政资金，增强财政实力。</w:t>
      </w:r>
    </w:p>
    <w:p w14:paraId="0E899F27">
      <w:pPr>
        <w:pStyle w:val="5"/>
        <w:widowControl/>
        <w:shd w:val="clear" w:color="auto" w:fill="FFFFFF"/>
        <w:spacing w:before="105" w:after="105"/>
        <w:ind w:firstLine="480"/>
        <w:rPr>
          <w:rFonts w:ascii="仿宋_GB2312" w:hAnsi="仿宋" w:eastAsia="仿宋_GB2312" w:cs="Calibri"/>
          <w:color w:val="5D5F60"/>
          <w:sz w:val="32"/>
          <w:szCs w:val="32"/>
        </w:rPr>
      </w:pPr>
      <w:r>
        <w:rPr>
          <w:rFonts w:hint="eastAsia" w:ascii="仿宋_GB2312" w:hAnsi="仿宋" w:eastAsia="仿宋_GB2312" w:cs="Arial"/>
          <w:color w:val="5D5F60"/>
          <w:sz w:val="32"/>
          <w:szCs w:val="32"/>
          <w:shd w:val="clear" w:color="auto" w:fill="FFFFFF"/>
        </w:rPr>
        <w:t>（五）抓好精神文明建设，丰富群众文化生活，提倡移风易俗，反对封建迷信，破除陈规陋习，树立社会主义新风尚。</w:t>
      </w:r>
    </w:p>
    <w:p w14:paraId="2ECC0031">
      <w:pPr>
        <w:pStyle w:val="5"/>
        <w:widowControl/>
        <w:shd w:val="clear" w:color="auto" w:fill="FFFFFF"/>
        <w:ind w:firstLine="640"/>
        <w:rPr>
          <w:rFonts w:ascii="仿宋_GB2312" w:hAnsi="微软雅黑" w:eastAsia="仿宋_GB2312" w:cs="微软雅黑"/>
          <w:color w:val="000000"/>
        </w:rPr>
      </w:pPr>
      <w:r>
        <w:rPr>
          <w:rFonts w:hint="eastAsia" w:ascii="仿宋_GB2312" w:hAnsi="仿宋" w:eastAsia="仿宋_GB2312" w:cs="Arial"/>
          <w:color w:val="5D5F60"/>
          <w:sz w:val="32"/>
          <w:szCs w:val="32"/>
          <w:shd w:val="clear" w:color="auto" w:fill="FFFFFF"/>
        </w:rPr>
        <w:t>（六）完成上级政府交办的其他事项。</w:t>
      </w:r>
    </w:p>
    <w:p w14:paraId="42A42B0A">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二、机构设置</w:t>
      </w:r>
      <w:r>
        <w:rPr>
          <w:rFonts w:hint="eastAsia" w:ascii="仿宋_GB2312" w:hAnsi="微软雅黑" w:eastAsia="仿宋_GB2312" w:cs="仿宋_GB2312"/>
          <w:color w:val="000000"/>
          <w:sz w:val="32"/>
          <w:szCs w:val="32"/>
          <w:shd w:val="clear" w:color="auto" w:fill="FFFFFF"/>
        </w:rPr>
        <w:t> </w:t>
      </w:r>
    </w:p>
    <w:p w14:paraId="7DCC5DA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鞍山市千山区大屯镇人民政府（部门名称或单位名称）2025年度部门（单位）预算仅包括鞍山市千山区大屯镇人民政府本级预算，无其他下属单位预算。</w:t>
      </w:r>
    </w:p>
    <w:p w14:paraId="48E8F138">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 部门（单位）预算表</w:t>
      </w:r>
      <w:r>
        <w:rPr>
          <w:rFonts w:hint="eastAsia" w:ascii="楷体" w:hAnsi="楷体" w:eastAsia="楷体" w:cs="楷体"/>
          <w:color w:val="000000"/>
          <w:sz w:val="32"/>
          <w:szCs w:val="32"/>
          <w:shd w:val="clear" w:color="auto" w:fill="FFFFFF"/>
        </w:rPr>
        <w:t> </w:t>
      </w:r>
    </w:p>
    <w:p w14:paraId="44643203">
      <w:pPr>
        <w:pStyle w:val="5"/>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hint="eastAsia" w:ascii="仿宋_GB2312" w:hAnsi="微软雅黑" w:eastAsia="仿宋_GB2312" w:cs="仿宋_GB2312"/>
          <w:color w:val="000000"/>
          <w:sz w:val="32"/>
          <w:szCs w:val="32"/>
          <w:shd w:val="clear" w:color="auto" w:fill="FFFFFF"/>
        </w:rPr>
        <w:t>2025年部门（单位）预算表（具体明细见附表） </w:t>
      </w:r>
    </w:p>
    <w:p w14:paraId="624AA37A">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hint="eastAsia" w:ascii="宋体" w:hAnsi="宋体" w:eastAsia="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hint="eastAsia" w:ascii="楷体" w:hAnsi="楷体" w:eastAsia="楷体" w:cs="楷体"/>
          <w:color w:val="000000"/>
          <w:sz w:val="32"/>
          <w:szCs w:val="32"/>
          <w:shd w:val="clear" w:color="auto" w:fill="FFFFFF"/>
        </w:rPr>
        <w:t> </w:t>
      </w:r>
    </w:p>
    <w:p w14:paraId="7337DA10">
      <w:pPr>
        <w:pStyle w:val="5"/>
        <w:widowControl/>
        <w:shd w:val="clear" w:color="auto" w:fill="FFFFFF"/>
        <w:spacing w:line="560" w:lineRule="atLeast"/>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    一、收支预算的总体说明</w:t>
      </w:r>
      <w:r>
        <w:rPr>
          <w:rFonts w:hint="eastAsia" w:ascii="楷体" w:hAnsi="楷体" w:eastAsia="楷体" w:cs="楷体"/>
          <w:color w:val="000000"/>
          <w:sz w:val="32"/>
          <w:szCs w:val="32"/>
          <w:shd w:val="clear" w:color="auto" w:fill="FFFFFF"/>
        </w:rPr>
        <w:t> </w:t>
      </w:r>
    </w:p>
    <w:p w14:paraId="60300F5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按照综合预算的原则，鞍山市千山区大屯镇人民政府部门及所属单位所有收入和支出均纳入部门预算管理，2025年收支总预算4539.7万元。</w:t>
      </w:r>
    </w:p>
    <w:p w14:paraId="452FC34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（一）收入预算4539.7万元，其中：</w:t>
      </w:r>
    </w:p>
    <w:p w14:paraId="61B4D7C7">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一般公共预算拨款收入 4539.7万元；</w:t>
      </w:r>
    </w:p>
    <w:p w14:paraId="6B33480A">
      <w:pPr>
        <w:pStyle w:val="5"/>
        <w:widowControl/>
        <w:shd w:val="clear" w:color="auto" w:fill="FFFFFF"/>
        <w:spacing w:line="560" w:lineRule="atLeast"/>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（二）支出预算4539.7万元，其中：</w:t>
      </w:r>
    </w:p>
    <w:p w14:paraId="7AE62D1A">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1.基本支出847万元；</w:t>
      </w:r>
    </w:p>
    <w:p w14:paraId="0FC75456">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2.项目支出3692.7万元。</w:t>
      </w:r>
    </w:p>
    <w:p w14:paraId="129AA1C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一般公共服务支出1586万元，文化旅游体育与传媒支出28万元，社会保障和就业支出232万元，卫生健康支出34.5万元，节能环保支出55万元，城乡社区支出203万元，农林水支出2341.2万元，住房保障支出35万元， 灾害防治及应急管理支出25万元。</w:t>
      </w:r>
    </w:p>
    <w:p w14:paraId="691CF54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在支出预算中，其中机关运行经费支出280万元，债务支出0万元，国有资本经营预算支出0万元，政府采购支出69.9万元，政府购买服务支出0万元。</w:t>
      </w:r>
    </w:p>
    <w:p w14:paraId="5744DA9A">
      <w:pPr>
        <w:pStyle w:val="5"/>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收支预算增减情况。2025年，鞍山市千山区大屯镇人民政府部门及所属单位部门收支预算4539.7万元，比上年减少1080.3万元，降低19.22%，减少的主要原因</w:t>
      </w:r>
      <w:bookmarkStart w:id="0" w:name="OLE_LINK3"/>
      <w:r>
        <w:rPr>
          <w:rFonts w:hint="eastAsia" w:ascii="仿宋_GB2312" w:hAnsi="微软雅黑" w:eastAsia="仿宋_GB2312" w:cs="仿宋_GB2312"/>
          <w:color w:val="000000"/>
          <w:sz w:val="32"/>
          <w:szCs w:val="32"/>
          <w:shd w:val="clear" w:color="auto" w:fill="FFFFFF"/>
        </w:rPr>
        <w:t>：一是继续贯彻落实中央八项规定和党政机关厉行节约有关要求，坚持精打细算、厉行节约，压减一般性支出；二是非急需、非刚性支出不予安排；三是“三公”经费预算比上年只减不增。</w:t>
      </w:r>
      <w:bookmarkEnd w:id="0"/>
    </w:p>
    <w:p w14:paraId="54103036">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w:t>
      </w:r>
      <w:r>
        <w:rPr>
          <w:rFonts w:hint="eastAsia" w:ascii="楷体" w:hAnsi="楷体" w:eastAsia="楷体" w:cs="楷体"/>
          <w:b/>
          <w:bCs/>
          <w:color w:val="000000"/>
          <w:sz w:val="32"/>
          <w:szCs w:val="32"/>
          <w:shd w:val="clear" w:color="auto" w:fill="FFFFFF"/>
        </w:rPr>
        <w:t>  二、财政拨款收支预算情况说明</w:t>
      </w:r>
      <w:r>
        <w:rPr>
          <w:rFonts w:hint="eastAsia" w:ascii="楷体" w:hAnsi="楷体" w:eastAsia="楷体" w:cs="楷体"/>
          <w:color w:val="000000"/>
          <w:sz w:val="32"/>
          <w:szCs w:val="32"/>
          <w:shd w:val="clear" w:color="auto" w:fill="FFFFFF"/>
        </w:rPr>
        <w:t> </w:t>
      </w:r>
    </w:p>
    <w:p w14:paraId="7BC55433">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鞍山市千山区大屯镇人民政府部门及所属单位2025年财政拨款收支总预算4539.7万元。收入预算为一般公共预算拨款，无政府性基金预算拨款和国有资本经营预算拨款，包括：当年财政拨款收入4539.7万元，上年结转结余0万元；支出预算按功能支出包括：一般公共服务支出1586万元、文化旅游体育和传媒支出28万元，社会保障和就业支出232万元、卫生健康支出34.5万元，节能环保支出55万元，城乡社区支出203万元，农林水支出2341.2万元，住房保障支出35万元，灾害防治及应急管理支出25万元；按经济支出包括:工资福利支出423万元，商品和服务支出2489.6万元，对个人和家庭的补助513.8万元，项目支出3692.7万元。 </w:t>
      </w:r>
    </w:p>
    <w:p w14:paraId="18572464">
      <w:pPr>
        <w:pStyle w:val="5"/>
        <w:widowControl/>
        <w:shd w:val="clear" w:color="auto" w:fill="FFFFFF"/>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财政拨款收支预算增减情况。2025年，鞍山市千山区大屯镇人民政府部门及所属单位部门财政拨款收支预算4539.7万元，比上年减少1080.3万元，降低19.22%。财政拨款收入同比减少的主要原因：：一是继续贯彻落实中央八项规定和党政机关厉行节约有关要求，坚持精打细算、厉行节约，压减一般性支出；二是非急需、非刚性支出不予安排；三是“三公”经费预算比上年只减不增。</w:t>
      </w:r>
    </w:p>
    <w:p w14:paraId="6D23D908">
      <w:pPr>
        <w:pStyle w:val="5"/>
        <w:widowControl/>
        <w:shd w:val="clear" w:color="auto" w:fill="FFFFFF"/>
        <w:rPr>
          <w:rFonts w:ascii="微软雅黑" w:hAnsi="微软雅黑" w:eastAsia="微软雅黑" w:cs="微软雅黑"/>
          <w:color w:val="000000"/>
        </w:rPr>
      </w:pPr>
      <w:r>
        <w:rPr>
          <w:rFonts w:hint="eastAsia" w:ascii="楷体" w:hAnsi="楷体" w:eastAsia="楷体" w:cs="楷体"/>
          <w:color w:val="000000"/>
          <w:sz w:val="32"/>
          <w:szCs w:val="32"/>
          <w:shd w:val="clear" w:color="auto" w:fill="FFFFFF"/>
        </w:rPr>
        <w:t>    三、</w:t>
      </w:r>
      <w:r>
        <w:rPr>
          <w:rFonts w:hint="eastAsia" w:ascii="楷体" w:hAnsi="楷体" w:eastAsia="楷体" w:cs="楷体"/>
          <w:b/>
          <w:bCs/>
          <w:color w:val="000000"/>
          <w:sz w:val="32"/>
          <w:szCs w:val="32"/>
          <w:shd w:val="clear" w:color="auto" w:fill="FFFFFF"/>
        </w:rPr>
        <w:t>一般公共预算基本支出情况说明</w:t>
      </w:r>
    </w:p>
    <w:p w14:paraId="4C7B5677">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鞍山市千山区大屯镇人民政府部门及所属单位2025年一般公共预算基本支出847 万元，其中工资福利支出423万元，商品和服务支出285万元，对个人和家庭补助支出119万元。</w:t>
      </w:r>
    </w:p>
    <w:p w14:paraId="712CAD24">
      <w:pPr>
        <w:pStyle w:val="5"/>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567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482EC99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260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6DE056C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hint="eastAsia" w:ascii="楷体" w:hAnsi="楷体" w:eastAsia="楷体" w:cs="楷体"/>
          <w:color w:val="000000"/>
          <w:sz w:val="32"/>
          <w:szCs w:val="32"/>
          <w:shd w:val="clear" w:color="auto" w:fill="FFFFFF"/>
        </w:rPr>
        <w:t> </w:t>
      </w:r>
    </w:p>
    <w:p w14:paraId="7F3BBD5E">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2025年财政拨款预算安排的“三公”经费预算数18万元，比上年预算数减少0万元，下降0%。其中：</w:t>
      </w:r>
    </w:p>
    <w:p w14:paraId="4FFF67E8">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公务用车运行费18万元，比上年预算数减少0万元，下降0%。主要原因是树立过紧日子思想，按照厉行节约、改进作风等政策要求，严格控制三公经费支出，加强公务用车管理，减少公车运行费支出。</w:t>
      </w:r>
    </w:p>
    <w:p w14:paraId="7830A9D0">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hint="eastAsia" w:ascii="楷体" w:hAnsi="楷体" w:eastAsia="楷体" w:cs="楷体"/>
          <w:color w:val="000000"/>
          <w:sz w:val="32"/>
          <w:szCs w:val="32"/>
          <w:shd w:val="clear" w:color="auto" w:fill="FFFFFF"/>
        </w:rPr>
        <w:t> </w:t>
      </w:r>
    </w:p>
    <w:p w14:paraId="4205A70E">
      <w:pPr>
        <w:pStyle w:val="5"/>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 </w:t>
      </w:r>
    </w:p>
    <w:p w14:paraId="41009B8B">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机关（事业）运行经费预算为280万元，主要包括本部门的办公及印刷费、邮电费、差旅费、会议费、福利费、日常维修费、专用材料及一般设备购置费、办公用房水电费、办公用房取暖费、办公用房物业管理费、公务用车运行维护费以及其他费用。</w:t>
      </w:r>
    </w:p>
    <w:p w14:paraId="2BCEFAE2">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（二）政府采购预算安排情况 </w:t>
      </w:r>
    </w:p>
    <w:p w14:paraId="72ED19CE">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2025年政府采购预算69.9万元，其中：货物采购69.9万元。</w:t>
      </w:r>
    </w:p>
    <w:p w14:paraId="60621539">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（三）政府购买服务预算安排情况 </w:t>
      </w:r>
    </w:p>
    <w:p w14:paraId="6BF7678D">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2025年政府购买服务预算0万元 。 </w:t>
      </w:r>
    </w:p>
    <w:p w14:paraId="5AE8CF60">
      <w:pPr>
        <w:pStyle w:val="5"/>
        <w:widowControl/>
        <w:shd w:val="clear" w:color="auto" w:fill="FFFFFF"/>
        <w:spacing w:line="560" w:lineRule="atLeast"/>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（四）国有资产占有使用情况 </w:t>
      </w:r>
    </w:p>
    <w:p w14:paraId="18FC4980">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截至2024年12月，鞍山市千山区大屯镇人民政府及所属单位共有车辆8辆，其中：一般公务用车5辆，其他用车3辆。</w:t>
      </w:r>
    </w:p>
    <w:p w14:paraId="2F2D7617">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单位价值50万元以上有通用设备0台（套），单位价值100万元以上专业设备0台（套）。 </w:t>
      </w:r>
    </w:p>
    <w:p w14:paraId="524AB38E">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2025年年初预算购置车辆0台，金额0万元。</w:t>
      </w:r>
    </w:p>
    <w:p w14:paraId="04194580">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 </w:t>
      </w:r>
    </w:p>
    <w:p w14:paraId="5EFAC75D">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根据预算绩效管理要求，2025年应编制部门（单位）整体绩效目标共1个，实际编制部门（单位）整体绩效目标共1个，编制覆盖率（实际编制部门（单位）整体绩效目标/应编制部门（单位）整体绩效目标为100%。</w:t>
      </w:r>
    </w:p>
    <w:p w14:paraId="10E469B4">
      <w:pPr>
        <w:pStyle w:val="5"/>
        <w:widowControl/>
        <w:shd w:val="clear" w:color="auto" w:fill="FFFFFF"/>
        <w:ind w:firstLine="620"/>
        <w:jc w:val="left"/>
        <w:rPr>
          <w:rFonts w:ascii="微软雅黑" w:hAnsi="微软雅黑" w:eastAsia="微软雅黑" w:cs="微软雅黑"/>
          <w:color w:val="000000"/>
        </w:rPr>
      </w:pPr>
      <w:r>
        <w:rPr>
          <w:rFonts w:hint="eastAsia" w:ascii="仿宋_GB2312" w:hAnsi="微软雅黑" w:eastAsia="仿宋_GB2312" w:cs="仿宋_GB2312"/>
          <w:color w:val="000000"/>
          <w:sz w:val="31"/>
          <w:szCs w:val="31"/>
          <w:shd w:val="clear" w:color="auto" w:fill="FFFFFF"/>
        </w:rPr>
        <w:t>2025年应编制项目绩效目标（包括特定目标类和其他运转类）</w:t>
      </w:r>
      <w:r>
        <w:rPr>
          <w:rFonts w:hint="eastAsia" w:ascii="仿宋_GB2312" w:hAnsi="微软雅黑" w:eastAsia="仿宋_GB2312" w:cs="仿宋_GB2312"/>
          <w:color w:val="000000"/>
          <w:sz w:val="32"/>
          <w:szCs w:val="32"/>
          <w:shd w:val="clear" w:color="auto" w:fill="FFFFFF"/>
        </w:rPr>
        <w:t>7</w:t>
      </w:r>
      <w:r>
        <w:rPr>
          <w:rFonts w:hint="eastAsia" w:ascii="仿宋_GB2312" w:hAnsi="微软雅黑" w:eastAsia="仿宋_GB2312" w:cs="仿宋_GB2312"/>
          <w:color w:val="000000"/>
          <w:sz w:val="31"/>
          <w:szCs w:val="31"/>
          <w:shd w:val="clear" w:color="auto" w:fill="FFFFFF"/>
        </w:rPr>
        <w:t> 个，实际编制项目绩效目标</w:t>
      </w:r>
      <w:r>
        <w:rPr>
          <w:rFonts w:hint="eastAsia" w:ascii="仿宋_GB2312" w:hAnsi="微软雅黑" w:eastAsia="仿宋_GB2312" w:cs="仿宋_GB2312"/>
          <w:color w:val="000000"/>
          <w:sz w:val="32"/>
          <w:szCs w:val="32"/>
          <w:shd w:val="clear" w:color="auto" w:fill="FFFFFF"/>
        </w:rPr>
        <w:t>7</w:t>
      </w:r>
      <w:r>
        <w:rPr>
          <w:rFonts w:hint="eastAsia" w:ascii="仿宋_GB2312" w:hAnsi="微软雅黑" w:eastAsia="仿宋_GB2312" w:cs="仿宋_GB2312"/>
          <w:color w:val="000000"/>
          <w:sz w:val="31"/>
          <w:szCs w:val="31"/>
          <w:shd w:val="clear" w:color="auto" w:fill="FFFFFF"/>
        </w:rPr>
        <w:t>个，涉及资金</w:t>
      </w:r>
      <w:r>
        <w:rPr>
          <w:rFonts w:hint="eastAsia" w:ascii="仿宋_GB2312" w:hAnsi="微软雅黑" w:eastAsia="仿宋_GB2312" w:cs="仿宋_GB2312"/>
          <w:color w:val="000000"/>
          <w:sz w:val="32"/>
          <w:szCs w:val="32"/>
          <w:shd w:val="clear" w:color="auto" w:fill="FFFFFF"/>
        </w:rPr>
        <w:t>3692.7</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万元，编制项目绩效目标的项目覆盖率（实际编制绩效目标的数量/应编制绩效目标的数量）为</w:t>
      </w:r>
      <w:r>
        <w:rPr>
          <w:rFonts w:hint="eastAsia"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1"/>
          <w:szCs w:val="31"/>
          <w:shd w:val="clear" w:color="auto" w:fill="FFFFFF"/>
        </w:rPr>
        <w:t>%。</w:t>
      </w:r>
    </w:p>
    <w:p w14:paraId="284D31C9">
      <w:pPr>
        <w:pStyle w:val="5"/>
        <w:widowControl/>
        <w:shd w:val="clear" w:color="auto" w:fill="FFFFFF"/>
        <w:spacing w:line="560" w:lineRule="atLeast"/>
        <w:ind w:firstLine="420"/>
        <w:jc w:val="left"/>
        <w:outlineLvl w:val="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 </w:t>
      </w:r>
    </w:p>
    <w:p w14:paraId="11C61358">
      <w:pPr>
        <w:pStyle w:val="5"/>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 2025年预算中无政府性基金预算拨款支出，项目支出中无特定目标类项目，无债务支出预算，无购买服务预算，因此“政府性基金预算支出表”、“部门预算项目（政策）绩效目标表”、“债务支出预算表”、“政府购买服务支出预算表”4张表中没有数据。</w:t>
      </w:r>
    </w:p>
    <w:p w14:paraId="360D9001">
      <w:pPr>
        <w:pStyle w:val="5"/>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 名词解释</w:t>
      </w:r>
      <w:r>
        <w:rPr>
          <w:rFonts w:hint="eastAsia" w:ascii="楷体" w:hAnsi="楷体" w:eastAsia="楷体" w:cs="楷体"/>
          <w:color w:val="000000"/>
          <w:sz w:val="32"/>
          <w:szCs w:val="32"/>
          <w:shd w:val="clear" w:color="auto" w:fill="FFFFFF"/>
        </w:rPr>
        <w:t> </w:t>
      </w:r>
    </w:p>
    <w:p w14:paraId="6FF34938">
      <w:pPr>
        <w:pStyle w:val="5"/>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2D0E547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1.一般公共预算拨款收入：指市级财政当年拨付的资金。</w:t>
      </w:r>
    </w:p>
    <w:p w14:paraId="3FAE99A0">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2D7FE6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3.财政专户管理的资金收入：反映缴入财政专户、实行专项管理的教育收费收入。</w:t>
      </w:r>
    </w:p>
    <w:p w14:paraId="7F4612C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4.单位资金收入：包括事业收入、上级补助收入、附属单位上缴收入、事业单位经营收入及其他收入。</w:t>
      </w:r>
    </w:p>
    <w:p w14:paraId="3C76B01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3297FB4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5C8A222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2A43BE1B">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6316BDA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7A4E576F">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5.上年结转：反映以前年度安排尚未使用完毕，结转到本年仍按原规定用途继续使用的资金。</w:t>
      </w:r>
    </w:p>
    <w:p w14:paraId="633141D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6.基本支出：指保障机构正常运转、完成日常工作任务而发生的人员支出和公用支出。</w:t>
      </w:r>
    </w:p>
    <w:p w14:paraId="22EDD86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7.项目支出：指在基本支出之外为完成特定行政任务和事业发展目标所发生的支出。</w:t>
      </w:r>
    </w:p>
    <w:p w14:paraId="5300F3A5">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0054C2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A53538">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10.部门管理专项资金：包括由部门主导分配的市本级项目和市对下转移支付项目。</w:t>
      </w:r>
    </w:p>
    <w:p w14:paraId="2D4F121E">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11.社会保障和就业（类）行政事业单位养老支出（款）行政单位离退休（项）：反映行政单位（包括实行公务员管理的事业单位）开支的离退休经费。 </w:t>
      </w:r>
    </w:p>
    <w:p w14:paraId="6D6251BA">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12.社会保障和就业（类）行政事业单位养老支出（款）事业单位离退休（项）：反映事业单位开支的离退休经费。</w:t>
      </w:r>
    </w:p>
    <w:p w14:paraId="0EF56CD7">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52637C39">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03DDE2B2">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13A249FC">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06880986">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17.卫生健康支出（类）行政事业单位医疗（款）其他行政事业单位医疗支出（项）：反映其他用于行政事业单位医疗方面的支出。</w:t>
      </w:r>
    </w:p>
    <w:p w14:paraId="6BE28997">
      <w:pPr>
        <w:pStyle w:val="5"/>
        <w:widowControl/>
        <w:shd w:val="clear" w:color="auto" w:fill="FFFFFF"/>
        <w:spacing w:line="560" w:lineRule="atLeast"/>
        <w:ind w:firstLine="64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466BE5D3">
      <w:pPr>
        <w:pStyle w:val="5"/>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564B97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4818DE"/>
    <w:rsid w:val="00052B01"/>
    <w:rsid w:val="0008540D"/>
    <w:rsid w:val="00111476"/>
    <w:rsid w:val="0013766F"/>
    <w:rsid w:val="001416DF"/>
    <w:rsid w:val="00187186"/>
    <w:rsid w:val="0018731D"/>
    <w:rsid w:val="001E0999"/>
    <w:rsid w:val="00291490"/>
    <w:rsid w:val="00297F31"/>
    <w:rsid w:val="002B2F15"/>
    <w:rsid w:val="002D2408"/>
    <w:rsid w:val="00303760"/>
    <w:rsid w:val="00381ABC"/>
    <w:rsid w:val="00407C99"/>
    <w:rsid w:val="004818DE"/>
    <w:rsid w:val="004909D2"/>
    <w:rsid w:val="00565076"/>
    <w:rsid w:val="00566998"/>
    <w:rsid w:val="00667BEA"/>
    <w:rsid w:val="00672367"/>
    <w:rsid w:val="006A7A0D"/>
    <w:rsid w:val="00755DCF"/>
    <w:rsid w:val="00850E05"/>
    <w:rsid w:val="008D177E"/>
    <w:rsid w:val="00904E32"/>
    <w:rsid w:val="00923296"/>
    <w:rsid w:val="00946D4D"/>
    <w:rsid w:val="0095248D"/>
    <w:rsid w:val="009759B0"/>
    <w:rsid w:val="00997D2E"/>
    <w:rsid w:val="009A0B64"/>
    <w:rsid w:val="00A12612"/>
    <w:rsid w:val="00A128FB"/>
    <w:rsid w:val="00AE1999"/>
    <w:rsid w:val="00B7019A"/>
    <w:rsid w:val="00BB0BF3"/>
    <w:rsid w:val="00CB60A6"/>
    <w:rsid w:val="00CF5274"/>
    <w:rsid w:val="00EB59A4"/>
    <w:rsid w:val="00F223A4"/>
    <w:rsid w:val="00FC0617"/>
    <w:rsid w:val="00FE1942"/>
    <w:rsid w:val="00FF657D"/>
    <w:rsid w:val="25E22D30"/>
    <w:rsid w:val="3280774E"/>
    <w:rsid w:val="44492AFD"/>
    <w:rsid w:val="4D952D2E"/>
    <w:rsid w:val="586C6306"/>
    <w:rsid w:val="60B27518"/>
    <w:rsid w:val="69790883"/>
    <w:rsid w:val="757A1C0A"/>
    <w:rsid w:val="77A254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0"/>
    <w:qFormat/>
    <w:uiPriority w:val="0"/>
    <w:rPr>
      <w:rFonts w:ascii="宋体" w:eastAsia="宋体"/>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 w:type="character" w:customStyle="1" w:styleId="9">
    <w:name w:val="页脚 字符"/>
    <w:basedOn w:val="7"/>
    <w:link w:val="3"/>
    <w:qFormat/>
    <w:uiPriority w:val="0"/>
    <w:rPr>
      <w:rFonts w:asciiTheme="minorHAnsi" w:hAnsiTheme="minorHAnsi" w:eastAsiaTheme="minorEastAsia" w:cstheme="minorBidi"/>
      <w:kern w:val="2"/>
      <w:sz w:val="18"/>
      <w:szCs w:val="18"/>
    </w:rPr>
  </w:style>
  <w:style w:type="character" w:customStyle="1" w:styleId="10">
    <w:name w:val="文档结构图 字符"/>
    <w:basedOn w:val="7"/>
    <w:link w:val="2"/>
    <w:qFormat/>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5864</Words>
  <Characters>6123</Characters>
  <Lines>46</Lines>
  <Paragraphs>12</Paragraphs>
  <TotalTime>96</TotalTime>
  <ScaleCrop>false</ScaleCrop>
  <LinksUpToDate>false</LinksUpToDate>
  <CharactersWithSpaces>6345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2025-01-17T06:49:28Z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