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53C6E">
      <w:pPr>
        <w:pStyle w:val="5"/>
        <w:widowControl/>
        <w:shd w:val="clear" w:color="auto" w:fill="FFFFFF"/>
        <w:jc w:val="left"/>
        <w:rPr>
          <w:rFonts w:ascii="微软雅黑" w:hAnsi="微软雅黑" w:eastAsia="微软雅黑" w:cs="微软雅黑"/>
          <w:color w:val="000000"/>
        </w:rPr>
      </w:pPr>
      <w:r>
        <w:rPr>
          <w:rFonts w:hint="eastAsia" w:ascii="宋体" w:hAnsi="宋体" w:eastAsia="宋体" w:cs="宋体"/>
          <w:b/>
          <w:bCs/>
          <w:color w:val="000000"/>
          <w:sz w:val="32"/>
          <w:szCs w:val="32"/>
          <w:shd w:val="clear" w:color="auto" w:fill="FFFFFF"/>
        </w:rPr>
        <w:t>附件2</w:t>
      </w:r>
    </w:p>
    <w:p w14:paraId="282A64F4">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088E61BA">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19AE33A2">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52EF9852">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3C1AB194">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28CC170C">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31278539">
      <w:pPr>
        <w:pStyle w:val="5"/>
        <w:widowControl/>
        <w:shd w:val="clear" w:color="auto" w:fill="FFFFFF"/>
        <w:jc w:val="center"/>
        <w:outlineLvl w:val="0"/>
        <w:rPr>
          <w:rFonts w:ascii="微软雅黑" w:hAnsi="微软雅黑" w:eastAsia="微软雅黑" w:cs="微软雅黑"/>
          <w:color w:val="000000"/>
        </w:rPr>
      </w:pPr>
      <w:r>
        <w:rPr>
          <w:rFonts w:hint="eastAsia" w:ascii="Times New Roman" w:hAnsi="Times New Roman" w:eastAsia="微软雅黑" w:cs="Times New Roman"/>
          <w:b/>
          <w:bCs/>
          <w:color w:val="000000"/>
          <w:sz w:val="36"/>
          <w:szCs w:val="36"/>
          <w:shd w:val="clear" w:color="auto" w:fill="FFFFFF"/>
        </w:rPr>
        <w:t>鞍山市千山区甘泉镇人民政府</w:t>
      </w:r>
    </w:p>
    <w:p w14:paraId="4AB86B68">
      <w:pPr>
        <w:pStyle w:val="5"/>
        <w:widowControl/>
        <w:shd w:val="clear" w:color="auto" w:fill="FFFFFF"/>
        <w:jc w:val="center"/>
        <w:rPr>
          <w:rFonts w:ascii="微软雅黑" w:hAnsi="微软雅黑" w:eastAsia="微软雅黑" w:cs="微软雅黑"/>
          <w:color w:val="000000"/>
        </w:rPr>
      </w:pPr>
      <w:r>
        <w:rPr>
          <w:rFonts w:hint="eastAsia" w:ascii="宋体" w:hAnsi="宋体" w:eastAsia="宋体" w:cs="宋体"/>
          <w:b/>
          <w:bCs/>
          <w:color w:val="000000"/>
          <w:sz w:val="44"/>
          <w:szCs w:val="44"/>
          <w:shd w:val="clear" w:color="auto" w:fill="FFFFFF"/>
        </w:rPr>
        <w:t>2025年度部门（单位）预算</w:t>
      </w:r>
    </w:p>
    <w:p w14:paraId="692F2ADE">
      <w:pPr>
        <w:pStyle w:val="5"/>
        <w:widowControl/>
        <w:shd w:val="clear" w:color="auto" w:fill="FFFFFF"/>
        <w:jc w:val="center"/>
        <w:rPr>
          <w:rFonts w:ascii="黑体" w:hAnsi="宋体" w:eastAsia="黑体" w:cs="黑体"/>
          <w:b/>
          <w:bCs/>
          <w:color w:val="000000"/>
          <w:sz w:val="32"/>
          <w:szCs w:val="32"/>
          <w:shd w:val="clear" w:color="auto" w:fill="FFFFFF"/>
        </w:rPr>
      </w:pPr>
    </w:p>
    <w:p w14:paraId="2BC8C3F9">
      <w:pPr>
        <w:pStyle w:val="5"/>
        <w:widowControl/>
        <w:shd w:val="clear" w:color="auto" w:fill="FFFFFF"/>
        <w:jc w:val="center"/>
        <w:rPr>
          <w:rFonts w:ascii="黑体" w:hAnsi="宋体" w:eastAsia="黑体" w:cs="黑体"/>
          <w:b/>
          <w:bCs/>
          <w:color w:val="000000"/>
          <w:sz w:val="32"/>
          <w:szCs w:val="32"/>
          <w:shd w:val="clear" w:color="auto" w:fill="FFFFFF"/>
        </w:rPr>
      </w:pPr>
    </w:p>
    <w:p w14:paraId="128EB438">
      <w:pPr>
        <w:pStyle w:val="5"/>
        <w:widowControl/>
        <w:shd w:val="clear" w:color="auto" w:fill="FFFFFF"/>
        <w:jc w:val="center"/>
        <w:rPr>
          <w:rFonts w:ascii="黑体" w:hAnsi="宋体" w:eastAsia="黑体" w:cs="黑体"/>
          <w:b/>
          <w:bCs/>
          <w:color w:val="000000"/>
          <w:sz w:val="32"/>
          <w:szCs w:val="32"/>
          <w:shd w:val="clear" w:color="auto" w:fill="FFFFFF"/>
        </w:rPr>
      </w:pPr>
    </w:p>
    <w:p w14:paraId="215BC057">
      <w:pPr>
        <w:pStyle w:val="5"/>
        <w:widowControl/>
        <w:shd w:val="clear" w:color="auto" w:fill="FFFFFF"/>
        <w:jc w:val="center"/>
        <w:rPr>
          <w:rFonts w:ascii="黑体" w:hAnsi="宋体" w:eastAsia="黑体" w:cs="黑体"/>
          <w:b/>
          <w:bCs/>
          <w:color w:val="000000"/>
          <w:sz w:val="32"/>
          <w:szCs w:val="32"/>
          <w:shd w:val="clear" w:color="auto" w:fill="FFFFFF"/>
        </w:rPr>
      </w:pPr>
    </w:p>
    <w:p w14:paraId="69BA090C">
      <w:pPr>
        <w:pStyle w:val="5"/>
        <w:widowControl/>
        <w:shd w:val="clear" w:color="auto" w:fill="FFFFFF"/>
        <w:jc w:val="center"/>
        <w:rPr>
          <w:rFonts w:ascii="黑体" w:hAnsi="宋体" w:eastAsia="黑体" w:cs="黑体"/>
          <w:b/>
          <w:bCs/>
          <w:color w:val="000000"/>
          <w:sz w:val="32"/>
          <w:szCs w:val="32"/>
          <w:shd w:val="clear" w:color="auto" w:fill="FFFFFF"/>
        </w:rPr>
      </w:pPr>
    </w:p>
    <w:p w14:paraId="0505E0FA">
      <w:pPr>
        <w:pStyle w:val="5"/>
        <w:widowControl/>
        <w:shd w:val="clear" w:color="auto" w:fill="FFFFFF"/>
        <w:jc w:val="center"/>
        <w:rPr>
          <w:rFonts w:ascii="黑体" w:hAnsi="宋体" w:eastAsia="黑体" w:cs="黑体"/>
          <w:b/>
          <w:bCs/>
          <w:color w:val="000000"/>
          <w:sz w:val="32"/>
          <w:szCs w:val="32"/>
          <w:shd w:val="clear" w:color="auto" w:fill="FFFFFF"/>
        </w:rPr>
      </w:pPr>
    </w:p>
    <w:p w14:paraId="3B814B16">
      <w:pPr>
        <w:pStyle w:val="5"/>
        <w:widowControl/>
        <w:shd w:val="clear" w:color="auto" w:fill="FFFFFF"/>
        <w:jc w:val="center"/>
        <w:rPr>
          <w:rFonts w:ascii="黑体" w:hAnsi="宋体" w:eastAsia="黑体" w:cs="黑体"/>
          <w:b/>
          <w:bCs/>
          <w:color w:val="000000"/>
          <w:sz w:val="32"/>
          <w:szCs w:val="32"/>
          <w:shd w:val="clear" w:color="auto" w:fill="FFFFFF"/>
        </w:rPr>
      </w:pPr>
    </w:p>
    <w:p w14:paraId="6324166D">
      <w:pPr>
        <w:pStyle w:val="5"/>
        <w:widowControl/>
        <w:shd w:val="clear" w:color="auto" w:fill="FFFFFF"/>
        <w:jc w:val="center"/>
        <w:rPr>
          <w:rFonts w:ascii="黑体" w:hAnsi="宋体" w:eastAsia="黑体" w:cs="黑体"/>
          <w:b/>
          <w:bCs/>
          <w:color w:val="000000"/>
          <w:sz w:val="32"/>
          <w:szCs w:val="32"/>
          <w:shd w:val="clear" w:color="auto" w:fill="FFFFFF"/>
        </w:rPr>
      </w:pPr>
    </w:p>
    <w:p w14:paraId="3BBC26E9">
      <w:pPr>
        <w:pStyle w:val="5"/>
        <w:widowControl/>
        <w:shd w:val="clear" w:color="auto" w:fill="FFFFFF"/>
        <w:jc w:val="center"/>
        <w:rPr>
          <w:rFonts w:ascii="黑体" w:hAnsi="宋体" w:eastAsia="黑体" w:cs="黑体"/>
          <w:b/>
          <w:bCs/>
          <w:color w:val="000000"/>
          <w:sz w:val="32"/>
          <w:szCs w:val="32"/>
          <w:shd w:val="clear" w:color="auto" w:fill="FFFFFF"/>
        </w:rPr>
      </w:pPr>
    </w:p>
    <w:p w14:paraId="1B378513">
      <w:pPr>
        <w:pStyle w:val="5"/>
        <w:widowControl/>
        <w:shd w:val="clear" w:color="auto" w:fill="FFFFFF"/>
        <w:jc w:val="center"/>
        <w:rPr>
          <w:rFonts w:ascii="黑体" w:hAnsi="宋体" w:eastAsia="黑体" w:cs="黑体"/>
          <w:b/>
          <w:bCs/>
          <w:color w:val="000000"/>
          <w:sz w:val="32"/>
          <w:szCs w:val="32"/>
          <w:shd w:val="clear" w:color="auto" w:fill="FFFFFF"/>
        </w:rPr>
      </w:pPr>
    </w:p>
    <w:p w14:paraId="412B8097">
      <w:pPr>
        <w:pStyle w:val="5"/>
        <w:widowControl/>
        <w:shd w:val="clear" w:color="auto" w:fill="FFFFFF"/>
        <w:jc w:val="center"/>
        <w:rPr>
          <w:rFonts w:ascii="黑体" w:hAnsi="宋体" w:eastAsia="黑体" w:cs="黑体"/>
          <w:b/>
          <w:bCs/>
          <w:color w:val="000000"/>
          <w:sz w:val="32"/>
          <w:szCs w:val="32"/>
          <w:shd w:val="clear" w:color="auto" w:fill="FFFFFF"/>
        </w:rPr>
      </w:pPr>
    </w:p>
    <w:p w14:paraId="319FF615">
      <w:pPr>
        <w:pStyle w:val="5"/>
        <w:widowControl/>
        <w:shd w:val="clear" w:color="auto" w:fill="FFFFFF"/>
        <w:jc w:val="center"/>
        <w:rPr>
          <w:rFonts w:ascii="黑体" w:hAnsi="宋体" w:eastAsia="黑体" w:cs="黑体"/>
          <w:b/>
          <w:bCs/>
          <w:color w:val="000000"/>
          <w:sz w:val="32"/>
          <w:szCs w:val="32"/>
          <w:shd w:val="clear" w:color="auto" w:fill="FFFFFF"/>
        </w:rPr>
      </w:pPr>
    </w:p>
    <w:p w14:paraId="75B84962">
      <w:pPr>
        <w:pStyle w:val="5"/>
        <w:widowControl/>
        <w:shd w:val="clear" w:color="auto" w:fill="FFFFFF"/>
        <w:jc w:val="center"/>
        <w:rPr>
          <w:rFonts w:ascii="黑体" w:hAnsi="宋体" w:eastAsia="黑体" w:cs="黑体"/>
          <w:b/>
          <w:bCs/>
          <w:color w:val="000000"/>
          <w:sz w:val="32"/>
          <w:szCs w:val="32"/>
          <w:shd w:val="clear" w:color="auto" w:fill="FFFFFF"/>
        </w:rPr>
      </w:pPr>
    </w:p>
    <w:p w14:paraId="111C9235">
      <w:pPr>
        <w:pStyle w:val="5"/>
        <w:widowControl/>
        <w:shd w:val="clear" w:color="auto" w:fill="FFFFFF"/>
        <w:jc w:val="center"/>
        <w:rPr>
          <w:rFonts w:ascii="微软雅黑" w:hAnsi="微软雅黑" w:eastAsia="微软雅黑" w:cs="微软雅黑"/>
          <w:color w:val="000000"/>
        </w:rPr>
      </w:pPr>
      <w:bookmarkStart w:id="0" w:name="_GoBack"/>
      <w:bookmarkEnd w:id="0"/>
      <w:r>
        <w:rPr>
          <w:rFonts w:ascii="黑体" w:hAnsi="宋体" w:eastAsia="黑体" w:cs="黑体"/>
          <w:b/>
          <w:bCs/>
          <w:color w:val="000000"/>
          <w:sz w:val="32"/>
          <w:szCs w:val="32"/>
          <w:shd w:val="clear" w:color="auto" w:fill="FFFFFF"/>
        </w:rPr>
        <w:t>目</w:t>
      </w:r>
      <w:r>
        <w:rPr>
          <w:rFonts w:hint="eastAsia" w:ascii="黑体" w:hAnsi="宋体" w:eastAsia="黑体" w:cs="黑体"/>
          <w:b/>
          <w:bCs/>
          <w:color w:val="000000"/>
          <w:sz w:val="32"/>
          <w:szCs w:val="32"/>
          <w:shd w:val="clear" w:color="auto" w:fill="FFFFFF"/>
        </w:rPr>
        <w:t>  录</w:t>
      </w:r>
    </w:p>
    <w:p w14:paraId="1521143C">
      <w:pPr>
        <w:pStyle w:val="5"/>
        <w:widowControl/>
        <w:shd w:val="clear" w:color="auto" w:fill="FFFFFF"/>
        <w:spacing w:line="560" w:lineRule="atLeast"/>
        <w:ind w:firstLine="422"/>
        <w:jc w:val="left"/>
        <w:rPr>
          <w:rFonts w:ascii="微软雅黑" w:hAnsi="微软雅黑" w:eastAsia="微软雅黑" w:cs="微软雅黑"/>
          <w:color w:val="000000"/>
        </w:rPr>
      </w:pPr>
      <w:r>
        <w:rPr>
          <w:rFonts w:ascii="楷体" w:hAnsi="楷体" w:eastAsia="楷体" w:cs="楷体"/>
          <w:b/>
          <w:bCs/>
          <w:color w:val="000000"/>
          <w:sz w:val="32"/>
          <w:szCs w:val="32"/>
          <w:shd w:val="clear" w:color="auto" w:fill="FFFFFF"/>
        </w:rPr>
        <w:t>第一部</w:t>
      </w:r>
      <w:r>
        <w:rPr>
          <w:rFonts w:hint="eastAsia" w:ascii="楷体" w:hAnsi="楷体" w:eastAsia="楷体" w:cs="楷体"/>
          <w:b/>
          <w:bCs/>
          <w:color w:val="000000"/>
          <w:sz w:val="32"/>
          <w:szCs w:val="32"/>
          <w:shd w:val="clear" w:color="auto" w:fill="FFFFFF"/>
        </w:rPr>
        <w:t>分 部门预算公开管理文件</w:t>
      </w:r>
      <w:r>
        <w:rPr>
          <w:rFonts w:hint="eastAsia" w:ascii="楷体" w:hAnsi="楷体" w:eastAsia="楷体" w:cs="楷体"/>
          <w:color w:val="000000"/>
          <w:sz w:val="32"/>
          <w:szCs w:val="32"/>
          <w:shd w:val="clear" w:color="auto" w:fill="FFFFFF"/>
        </w:rPr>
        <w:t> </w:t>
      </w:r>
    </w:p>
    <w:p w14:paraId="546D0C3A">
      <w:pPr>
        <w:pStyle w:val="5"/>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 部门（单位）概况</w:t>
      </w:r>
    </w:p>
    <w:p w14:paraId="7A265DD2">
      <w:pPr>
        <w:pStyle w:val="5"/>
        <w:widowControl/>
        <w:shd w:val="clear" w:color="auto" w:fill="FFFFFF"/>
        <w:spacing w:line="560" w:lineRule="atLeast"/>
        <w:ind w:firstLine="42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一、部门</w:t>
      </w:r>
      <w:r>
        <w:rPr>
          <w:rFonts w:hint="eastAsia" w:ascii="仿宋_GB2312" w:hAnsi="微软雅黑" w:eastAsia="仿宋_GB2312" w:cs="仿宋_GB2312"/>
          <w:color w:val="000000"/>
          <w:sz w:val="32"/>
          <w:szCs w:val="32"/>
          <w:shd w:val="clear" w:color="auto" w:fill="FFFFFF"/>
        </w:rPr>
        <w:t>（单位）职责 </w:t>
      </w:r>
    </w:p>
    <w:p w14:paraId="7649A78E">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二、机构设置 </w:t>
      </w:r>
    </w:p>
    <w:p w14:paraId="4DF69537">
      <w:pPr>
        <w:pStyle w:val="5"/>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第三部分 2025年部门（单位）预算表</w:t>
      </w:r>
      <w:r>
        <w:rPr>
          <w:rFonts w:hint="eastAsia" w:ascii="楷体" w:hAnsi="楷体" w:eastAsia="楷体" w:cs="楷体"/>
          <w:color w:val="000000"/>
          <w:sz w:val="32"/>
          <w:szCs w:val="32"/>
          <w:shd w:val="clear" w:color="auto" w:fill="FFFFFF"/>
        </w:rPr>
        <w:t> </w:t>
      </w:r>
    </w:p>
    <w:p w14:paraId="0ABB8B7C">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一、收支预算总表</w:t>
      </w:r>
    </w:p>
    <w:p w14:paraId="6DFDF02C">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二、收入预算总表</w:t>
      </w:r>
    </w:p>
    <w:p w14:paraId="547DF828">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三、支出预算总表</w:t>
      </w:r>
    </w:p>
    <w:p w14:paraId="4A07B2E5">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四、财政拨款收支预算总表</w:t>
      </w:r>
    </w:p>
    <w:p w14:paraId="6904E87A">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五、一般公共预算支出表</w:t>
      </w:r>
    </w:p>
    <w:p w14:paraId="6845EBC0">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六、一般公共预算基本支出表</w:t>
      </w:r>
    </w:p>
    <w:p w14:paraId="5258352F">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七、财政拨款预算“三公”经费支出表</w:t>
      </w:r>
    </w:p>
    <w:p w14:paraId="5563C5DE">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八、政府性基金预算支出表</w:t>
      </w:r>
    </w:p>
    <w:p w14:paraId="08E6A43C">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九、国有资本经营预算支出表</w:t>
      </w:r>
    </w:p>
    <w:p w14:paraId="1A9E634E">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十、项目支出预算表</w:t>
      </w:r>
    </w:p>
    <w:p w14:paraId="1E6ABA41">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十一、支出功能分类预算表</w:t>
      </w:r>
    </w:p>
    <w:p w14:paraId="08269367">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十二、支出经济分类预算表（政府预算）</w:t>
      </w:r>
    </w:p>
    <w:p w14:paraId="48E63250">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十三、支出经济分类预算表（部门预算）</w:t>
      </w:r>
    </w:p>
    <w:p w14:paraId="2E20D399">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十四、债务支出预算表</w:t>
      </w:r>
    </w:p>
    <w:p w14:paraId="7580DDDD">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十五、政府采购支出预算表</w:t>
      </w:r>
    </w:p>
    <w:p w14:paraId="0EB9EADB">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十六、政府购买服务支出预算表</w:t>
      </w:r>
    </w:p>
    <w:p w14:paraId="3D557F42">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十七、部门（单位）整体绩效目标表</w:t>
      </w:r>
    </w:p>
    <w:p w14:paraId="10A08174">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十八、部门预算项目（政策）绩效目标表</w:t>
      </w:r>
    </w:p>
    <w:p w14:paraId="5B09F0F8">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十九、部门管理专项资金预算表</w:t>
      </w:r>
    </w:p>
    <w:p w14:paraId="4FD6105F">
      <w:pPr>
        <w:pStyle w:val="5"/>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第四部分 2025年部门（单位）预算情况说明</w:t>
      </w:r>
      <w:r>
        <w:rPr>
          <w:rFonts w:hint="eastAsia" w:ascii="楷体" w:hAnsi="楷体" w:eastAsia="楷体" w:cs="楷体"/>
          <w:color w:val="000000"/>
          <w:sz w:val="32"/>
          <w:szCs w:val="32"/>
          <w:shd w:val="clear" w:color="auto" w:fill="FFFFFF"/>
        </w:rPr>
        <w:t> </w:t>
      </w:r>
    </w:p>
    <w:p w14:paraId="6B8949DE">
      <w:pPr>
        <w:pStyle w:val="5"/>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 名词解释</w:t>
      </w:r>
      <w:r>
        <w:rPr>
          <w:rFonts w:hint="eastAsia" w:ascii="楷体" w:hAnsi="楷体" w:eastAsia="楷体" w:cs="楷体"/>
          <w:color w:val="000000"/>
          <w:sz w:val="32"/>
          <w:szCs w:val="32"/>
          <w:shd w:val="clear" w:color="auto" w:fill="FFFFFF"/>
        </w:rPr>
        <w:t> </w:t>
      </w:r>
    </w:p>
    <w:p w14:paraId="2930757B">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1053527E">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786A1D37">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59261BDF">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092D95AB">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0D21FFDD">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5E5454DD">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1CF7DD57">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272A2670">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79F3CBDB">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4746B1DD">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5D6F5CC2">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1F2ECEE6">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4EFA0209">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18584390">
      <w:pPr>
        <w:pStyle w:val="5"/>
        <w:widowControl/>
        <w:shd w:val="clear" w:color="auto" w:fill="FFFFFF"/>
        <w:spacing w:line="60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第一部分  部门预算公开管理文件</w:t>
      </w:r>
    </w:p>
    <w:p w14:paraId="76F1A288">
      <w:pPr>
        <w:pStyle w:val="5"/>
        <w:widowControl/>
        <w:shd w:val="clear" w:color="auto" w:fill="FFFFFF"/>
        <w:spacing w:line="600" w:lineRule="atLeast"/>
        <w:jc w:val="center"/>
        <w:rPr>
          <w:rFonts w:ascii="微软雅黑" w:hAnsi="微软雅黑" w:eastAsia="微软雅黑" w:cs="微软雅黑"/>
          <w:color w:val="000000"/>
        </w:rPr>
      </w:pPr>
      <w:r>
        <w:rPr>
          <w:rFonts w:ascii="仿宋" w:hAnsi="仿宋" w:eastAsia="仿宋" w:cs="仿宋"/>
          <w:color w:val="333333"/>
          <w:sz w:val="32"/>
          <w:szCs w:val="32"/>
          <w:shd w:val="clear" w:color="auto" w:fill="FFFFFF"/>
        </w:rPr>
        <w:t>　鞍山市</w:t>
      </w:r>
      <w:r>
        <w:rPr>
          <w:rFonts w:hint="eastAsia" w:ascii="仿宋" w:hAnsi="仿宋" w:eastAsia="仿宋" w:cs="仿宋"/>
          <w:color w:val="333333"/>
          <w:sz w:val="32"/>
          <w:szCs w:val="32"/>
          <w:shd w:val="clear" w:color="auto" w:fill="FFFFFF"/>
        </w:rPr>
        <w:t>预决算信息公开管理暂行办法</w:t>
      </w:r>
    </w:p>
    <w:p w14:paraId="2726B348">
      <w:pPr>
        <w:pStyle w:val="5"/>
        <w:widowControl/>
        <w:shd w:val="clear" w:color="auto" w:fill="FFFFFF"/>
        <w:spacing w:line="600" w:lineRule="atLeast"/>
        <w:jc w:val="center"/>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（鞍财预〔2019〕313号）</w:t>
      </w:r>
    </w:p>
    <w:p w14:paraId="3CE8AD86">
      <w:pPr>
        <w:pStyle w:val="5"/>
        <w:widowControl/>
        <w:shd w:val="clear" w:color="auto" w:fill="FFFFFF"/>
        <w:spacing w:after="156"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第一章  公开原则</w:t>
      </w:r>
    </w:p>
    <w:p w14:paraId="3C04077B">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A25FC9D">
      <w:pPr>
        <w:pStyle w:val="5"/>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第二条  预决算信息以公开为常态，不公开为例外，依法依规公开预决算信息。除涉及国家秘密外，不得少公开、不公开应当公开的事项，保证公开内容全面、真实、完整。</w:t>
      </w:r>
    </w:p>
    <w:p w14:paraId="4324AE5C">
      <w:pPr>
        <w:pStyle w:val="5"/>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第三条  公开及时，内容准确，形式规范。方便社会监督，公开内容让公众找得着、看得懂、能监督。</w:t>
      </w:r>
    </w:p>
    <w:p w14:paraId="2115ACF8">
      <w:pPr>
        <w:pStyle w:val="5"/>
        <w:widowControl/>
        <w:shd w:val="clear" w:color="auto" w:fill="FFFFFF"/>
        <w:spacing w:after="156" w:line="600" w:lineRule="atLeast"/>
        <w:jc w:val="center"/>
        <w:rPr>
          <w:rFonts w:ascii="微软雅黑" w:hAnsi="微软雅黑" w:eastAsia="微软雅黑" w:cs="微软雅黑"/>
          <w:color w:val="000000"/>
        </w:rPr>
      </w:pPr>
      <w:r>
        <w:rPr>
          <w:rFonts w:ascii="Tahoma" w:hAnsi="Tahoma" w:eastAsia="Tahoma" w:cs="Tahoma"/>
          <w:color w:val="111111"/>
          <w:sz w:val="18"/>
          <w:szCs w:val="18"/>
          <w:shd w:val="clear" w:color="auto" w:fill="FFFFFF"/>
        </w:rPr>
        <w:t>　</w:t>
      </w:r>
      <w:r>
        <w:rPr>
          <w:rFonts w:hint="eastAsia" w:ascii="黑体" w:hAnsi="宋体" w:eastAsia="黑体" w:cs="黑体"/>
          <w:color w:val="333333"/>
          <w:sz w:val="32"/>
          <w:szCs w:val="32"/>
          <w:shd w:val="clear" w:color="auto" w:fill="FFFFFF"/>
        </w:rPr>
        <w:t>第二章</w:t>
      </w:r>
      <w:r>
        <w:rPr>
          <w:rFonts w:hint="eastAsia" w:ascii="宋体" w:hAnsi="宋体" w:eastAsia="宋体" w:cs="宋体"/>
          <w:color w:val="333333"/>
          <w:sz w:val="32"/>
          <w:szCs w:val="32"/>
          <w:shd w:val="clear" w:color="auto" w:fill="FFFFFF"/>
        </w:rPr>
        <w:t>  </w:t>
      </w:r>
      <w:r>
        <w:rPr>
          <w:rFonts w:hint="eastAsia" w:ascii="黑体" w:hAnsi="宋体" w:eastAsia="黑体" w:cs="黑体"/>
          <w:color w:val="333333"/>
          <w:sz w:val="32"/>
          <w:szCs w:val="32"/>
          <w:shd w:val="clear" w:color="auto" w:fill="FFFFFF"/>
        </w:rPr>
        <w:t>公开主体和职责</w:t>
      </w:r>
      <w:r>
        <w:rPr>
          <w:rFonts w:ascii="Tahoma" w:hAnsi="Tahoma" w:eastAsia="Tahoma" w:cs="Tahoma"/>
          <w:color w:val="111111"/>
          <w:sz w:val="18"/>
          <w:szCs w:val="18"/>
          <w:shd w:val="clear" w:color="auto" w:fill="FFFFFF"/>
        </w:rPr>
        <w:t> </w:t>
      </w:r>
    </w:p>
    <w:p w14:paraId="1956DDC5">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第四条  部门负责本单位及所属单位的预决算信息公开工作，履行下列职责：</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7F8CE4F8">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（一）制定本单位及所属单位预决算信息公开的工作方案；</w:t>
      </w:r>
    </w:p>
    <w:p w14:paraId="5B6FFE80">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（二）按规定公开本单位及所属单位的预决算信息；</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160980C9">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（三）对所属单位预决算信息公开工作进行指导、监督和检查；</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5A089375">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（四）按规定做好本单位及所属单位预决算信息公开中的答复工作；</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0333C279">
      <w:pPr>
        <w:pStyle w:val="5"/>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（五）法律、法规、规章规定的其他职责。</w:t>
      </w:r>
      <w:r>
        <w:rPr>
          <w:rFonts w:hint="eastAsia" w:ascii="宋体" w:hAnsi="宋体" w:eastAsia="宋体" w:cs="宋体"/>
          <w:color w:val="333333"/>
          <w:sz w:val="32"/>
          <w:szCs w:val="32"/>
          <w:shd w:val="clear" w:color="auto" w:fill="FFFFFF"/>
        </w:rPr>
        <w:t> </w:t>
      </w:r>
    </w:p>
    <w:p w14:paraId="5BEC9A54">
      <w:pPr>
        <w:pStyle w:val="5"/>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第三章  公开内容</w:t>
      </w:r>
    </w:p>
    <w:p w14:paraId="4F2FAB0D">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第五条  部门预算信息（涉密信息除外）公开内容包括：</w:t>
      </w:r>
    </w:p>
    <w:p w14:paraId="6EF5A334">
      <w:pPr>
        <w:pStyle w:val="5"/>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（一）部门概况：主要包括部门主要职责、预算单位构成等。</w:t>
      </w:r>
    </w:p>
    <w:p w14:paraId="0DC1F90D">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（二）部门预算表。主要包括</w:t>
      </w:r>
      <w:r>
        <w:rPr>
          <w:rFonts w:hint="eastAsia" w:ascii="仿宋" w:hAnsi="仿宋" w:eastAsia="仿宋" w:cs="仿宋"/>
          <w:color w:val="000000"/>
          <w:sz w:val="32"/>
          <w:szCs w:val="32"/>
          <w:shd w:val="clear" w:color="auto"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ascii="Tahoma" w:hAnsi="Tahoma" w:eastAsia="Tahoma" w:cs="Tahoma"/>
          <w:color w:val="000000"/>
          <w:sz w:val="18"/>
          <w:szCs w:val="18"/>
          <w:shd w:val="clear" w:color="auto" w:fill="FFFFFF"/>
        </w:rPr>
        <w:t> </w:t>
      </w:r>
    </w:p>
    <w:p w14:paraId="55A7584A">
      <w:pPr>
        <w:pStyle w:val="5"/>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（三）部门预算情况说明。主要包括</w:t>
      </w:r>
      <w:r>
        <w:rPr>
          <w:rFonts w:hint="eastAsia" w:ascii="仿宋" w:hAnsi="仿宋" w:eastAsia="仿宋" w:cs="仿宋"/>
          <w:color w:val="000000"/>
          <w:sz w:val="32"/>
          <w:szCs w:val="32"/>
          <w:shd w:val="clear" w:color="auto" w:fill="FFFFFF"/>
        </w:rPr>
        <w:t>部门预算收支增减变化情况说明、</w:t>
      </w:r>
      <w:r>
        <w:rPr>
          <w:rFonts w:hint="eastAsia" w:ascii="仿宋" w:hAnsi="仿宋" w:eastAsia="仿宋" w:cs="仿宋"/>
          <w:color w:val="333333"/>
          <w:sz w:val="32"/>
          <w:szCs w:val="32"/>
          <w:shd w:val="clear" w:color="auto" w:fill="FFFFFF"/>
        </w:rPr>
        <w:t>“三公经费”预算增减变化情况说明、</w:t>
      </w:r>
      <w:r>
        <w:rPr>
          <w:rFonts w:hint="eastAsia" w:ascii="仿宋" w:hAnsi="仿宋" w:eastAsia="仿宋" w:cs="仿宋"/>
          <w:color w:val="000000"/>
          <w:sz w:val="32"/>
          <w:szCs w:val="32"/>
          <w:shd w:val="clear" w:color="auto" w:fill="FFFFFF"/>
        </w:rPr>
        <w:t>机关运行经费安排情况说明、政府采购安排情况说明、国有资产占有使用情况说明、预算绩效目标情况说明等。</w:t>
      </w:r>
    </w:p>
    <w:p w14:paraId="5012602B">
      <w:pPr>
        <w:pStyle w:val="5"/>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（四）名词解释。主要对涉及本部门预算公开表中的专业名词进行解释说明。</w:t>
      </w:r>
    </w:p>
    <w:p w14:paraId="457C233F">
      <w:pPr>
        <w:pStyle w:val="5"/>
        <w:widowControl/>
        <w:shd w:val="clear" w:color="auto" w:fill="FFFFFF"/>
        <w:spacing w:line="600" w:lineRule="atLeast"/>
        <w:ind w:firstLine="640"/>
        <w:jc w:val="left"/>
        <w:rPr>
          <w:rFonts w:ascii="微软雅黑" w:hAnsi="微软雅黑" w:eastAsia="微软雅黑" w:cs="微软雅黑"/>
          <w:color w:val="000000"/>
        </w:rPr>
      </w:pPr>
      <w:r>
        <w:rPr>
          <w:rFonts w:ascii="Tahoma" w:hAnsi="Tahoma" w:eastAsia="Tahoma" w:cs="Tahoma"/>
          <w:color w:val="000000"/>
          <w:sz w:val="18"/>
          <w:szCs w:val="18"/>
          <w:shd w:val="clear" w:color="auto" w:fill="FFFFFF"/>
        </w:rPr>
        <w:t>　</w:t>
      </w:r>
      <w:r>
        <w:rPr>
          <w:rFonts w:hint="eastAsia" w:ascii="仿宋" w:hAnsi="仿宋" w:eastAsia="仿宋" w:cs="仿宋"/>
          <w:color w:val="000000"/>
          <w:sz w:val="32"/>
          <w:szCs w:val="32"/>
          <w:shd w:val="clear" w:color="auto" w:fill="FFFFFF"/>
        </w:rPr>
        <w:t>第六条 部门决算信息（涉密信息除外）公开内容包括：</w:t>
      </w:r>
      <w:r>
        <w:rPr>
          <w:rFonts w:ascii="Tahoma" w:hAnsi="Tahoma" w:eastAsia="Tahoma" w:cs="Tahoma"/>
          <w:color w:val="000000"/>
          <w:sz w:val="18"/>
          <w:szCs w:val="18"/>
          <w:shd w:val="clear" w:color="auto" w:fill="FFFFFF"/>
        </w:rPr>
        <w:t> </w:t>
      </w:r>
    </w:p>
    <w:p w14:paraId="54BF3C5A">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（一）部门概况。主要包括部门主要职能、部门决算单位构成情况等。</w:t>
      </w:r>
      <w:r>
        <w:rPr>
          <w:rFonts w:ascii="Tahoma" w:hAnsi="Tahoma" w:eastAsia="Tahoma" w:cs="Tahoma"/>
          <w:color w:val="000000"/>
          <w:sz w:val="18"/>
          <w:szCs w:val="18"/>
          <w:shd w:val="clear" w:color="auto" w:fill="FFFFFF"/>
        </w:rPr>
        <w:t> </w:t>
      </w:r>
    </w:p>
    <w:p w14:paraId="5B42D5DD">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ascii="Tahoma" w:hAnsi="Tahoma" w:eastAsia="Tahoma" w:cs="Tahoma"/>
          <w:color w:val="000000"/>
          <w:sz w:val="18"/>
          <w:szCs w:val="18"/>
          <w:shd w:val="clear" w:color="auto" w:fill="FFFFFF"/>
        </w:rPr>
        <w:t> </w:t>
      </w:r>
    </w:p>
    <w:p w14:paraId="412DA127">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ascii="Tahoma" w:hAnsi="Tahoma" w:eastAsia="Tahoma" w:cs="Tahoma"/>
          <w:color w:val="000000"/>
          <w:sz w:val="18"/>
          <w:szCs w:val="18"/>
          <w:shd w:val="clear" w:color="auto" w:fill="FFFFFF"/>
        </w:rPr>
        <w:t> </w:t>
      </w:r>
    </w:p>
    <w:p w14:paraId="7619747F">
      <w:pPr>
        <w:pStyle w:val="5"/>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（四）名词解释。主要对涉及本部门决算公开表中的专业名称进行解释说明。</w:t>
      </w:r>
    </w:p>
    <w:p w14:paraId="3B27C32C">
      <w:pPr>
        <w:pStyle w:val="5"/>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第四章  公开方式</w:t>
      </w:r>
    </w:p>
    <w:p w14:paraId="3749406B">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第七条  预决算信息在本部门门户网站和市政府门户网站设立的“预决算公开”专栏进行公开，并保持长期公开状态，便于社会公众查阅和监督。</w:t>
      </w:r>
    </w:p>
    <w:p w14:paraId="38BE33C2">
      <w:pPr>
        <w:pStyle w:val="5"/>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第五章  公开程序</w:t>
      </w:r>
    </w:p>
    <w:p w14:paraId="3EDD6B53">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第八条  根据本级财政部门批复的部门预算、部门决算及报表，应当在批复后20日内由本部门公开预决算信息。</w:t>
      </w:r>
    </w:p>
    <w:p w14:paraId="1146FC0D">
      <w:pPr>
        <w:pStyle w:val="5"/>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第六章  附  则</w:t>
      </w:r>
    </w:p>
    <w:p w14:paraId="2D1256C8">
      <w:pPr>
        <w:pStyle w:val="5"/>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第九条  本办法自印发之日起实行。</w:t>
      </w:r>
    </w:p>
    <w:p w14:paraId="0D26DA77">
      <w:pPr>
        <w:pStyle w:val="5"/>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  部门（单位）概况</w:t>
      </w:r>
    </w:p>
    <w:p w14:paraId="79A29C35">
      <w:pPr>
        <w:pStyle w:val="5"/>
        <w:widowControl/>
        <w:shd w:val="clear" w:color="auto" w:fill="FFFFFF"/>
        <w:spacing w:line="560" w:lineRule="atLeast"/>
        <w:jc w:val="left"/>
        <w:outlineLvl w:val="0"/>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 一、部门（单位）职责</w:t>
      </w:r>
      <w:r>
        <w:rPr>
          <w:rFonts w:hint="eastAsia" w:ascii="仿宋_GB2312" w:hAnsi="微软雅黑" w:eastAsia="仿宋_GB2312" w:cs="仿宋_GB2312"/>
          <w:color w:val="000000"/>
          <w:sz w:val="32"/>
          <w:szCs w:val="32"/>
          <w:shd w:val="clear" w:color="auto" w:fill="FFFFFF"/>
        </w:rPr>
        <w:t> </w:t>
      </w:r>
    </w:p>
    <w:p w14:paraId="3D123343">
      <w:pPr>
        <w:pStyle w:val="5"/>
        <w:widowControl/>
        <w:shd w:val="clear" w:color="auto" w:fill="FFFFFF"/>
        <w:spacing w:before="105" w:after="105"/>
        <w:ind w:firstLine="480"/>
        <w:rPr>
          <w:rFonts w:ascii="仿宋_GB2312" w:hAnsi="仿宋" w:eastAsia="仿宋_GB2312" w:cs="Calibri"/>
          <w:color w:val="5D5F60"/>
          <w:sz w:val="32"/>
          <w:szCs w:val="32"/>
        </w:rPr>
      </w:pPr>
      <w:r>
        <w:rPr>
          <w:rFonts w:hint="eastAsia" w:ascii="仿宋_GB2312" w:hAnsi="仿宋" w:eastAsia="仿宋_GB2312" w:cs="仿宋"/>
          <w:color w:val="000000"/>
          <w:sz w:val="32"/>
          <w:szCs w:val="32"/>
          <w:shd w:val="clear" w:color="auto" w:fill="FFFFFF"/>
        </w:rPr>
        <w:t>（一）</w:t>
      </w:r>
      <w:r>
        <w:rPr>
          <w:rFonts w:hint="eastAsia" w:ascii="仿宋_GB2312" w:hAnsi="仿宋" w:eastAsia="仿宋_GB2312" w:cs="Arial"/>
          <w:color w:val="5D5F60"/>
          <w:sz w:val="32"/>
          <w:szCs w:val="32"/>
          <w:shd w:val="clear" w:color="auto" w:fill="FFFFFF"/>
        </w:rPr>
        <w:t>制定和组织实施经济、科技和社会发展计划，制定资源开发技术改造和产业结构调整方案，组织指导好各业生产，搞好商品流通，协调好本辖区与外地区的经济交流与合作，抓好招商引资，人才引进项目开发，不断培育市场体系，组织经济运行，促进经济发展。</w:t>
      </w:r>
    </w:p>
    <w:p w14:paraId="1CBEFAB6">
      <w:pPr>
        <w:pStyle w:val="5"/>
        <w:widowControl/>
        <w:shd w:val="clear" w:color="auto" w:fill="FFFFFF"/>
        <w:spacing w:before="105" w:after="105"/>
        <w:ind w:firstLine="480"/>
        <w:rPr>
          <w:rFonts w:ascii="仿宋_GB2312" w:hAnsi="仿宋" w:eastAsia="仿宋_GB2312" w:cs="Calibri"/>
          <w:color w:val="5D5F60"/>
          <w:sz w:val="32"/>
          <w:szCs w:val="32"/>
        </w:rPr>
      </w:pPr>
      <w:r>
        <w:rPr>
          <w:rFonts w:hint="eastAsia" w:ascii="仿宋_GB2312" w:hAnsi="仿宋" w:eastAsia="仿宋_GB2312" w:cs="Arial"/>
          <w:color w:val="5D5F60"/>
          <w:sz w:val="32"/>
          <w:szCs w:val="32"/>
          <w:shd w:val="clear" w:color="auto" w:fill="FFFFFF"/>
        </w:rPr>
        <w:t>（二）制定并组织实施村镇建设规划，部署重点工程建设，地方道路建设及公共设施，水利设施的管理，负责土地、林木、水等自然资源和生态环境的保护，做好护林防火工作。</w:t>
      </w:r>
    </w:p>
    <w:p w14:paraId="0840A139">
      <w:pPr>
        <w:pStyle w:val="5"/>
        <w:widowControl/>
        <w:shd w:val="clear" w:color="auto" w:fill="FFFFFF"/>
        <w:spacing w:before="105" w:after="105"/>
        <w:ind w:firstLine="480"/>
        <w:rPr>
          <w:rFonts w:ascii="仿宋_GB2312" w:hAnsi="仿宋" w:eastAsia="仿宋_GB2312" w:cs="Calibri"/>
          <w:color w:val="5D5F60"/>
          <w:sz w:val="32"/>
          <w:szCs w:val="32"/>
        </w:rPr>
      </w:pPr>
      <w:r>
        <w:rPr>
          <w:rFonts w:hint="eastAsia" w:ascii="仿宋_GB2312" w:hAnsi="仿宋" w:eastAsia="仿宋_GB2312" w:cs="Arial"/>
          <w:color w:val="5D5F60"/>
          <w:sz w:val="32"/>
          <w:szCs w:val="32"/>
          <w:shd w:val="clear" w:color="auto" w:fill="FFFFFF"/>
        </w:rPr>
        <w:t>（三）负责本行政区域内的民政、计划生育、文化教育、卫生、体育等社会公益事业的综合性工作，维护一切经济单位和个人的正当经济权益，取缔非法经济活动，调解和处理民事纠纷，打击刑事犯罪维护社会稳定。</w:t>
      </w:r>
    </w:p>
    <w:p w14:paraId="081AF452">
      <w:pPr>
        <w:pStyle w:val="5"/>
        <w:widowControl/>
        <w:shd w:val="clear" w:color="auto" w:fill="FFFFFF"/>
        <w:spacing w:before="105" w:after="105"/>
        <w:ind w:firstLine="480"/>
        <w:rPr>
          <w:rFonts w:ascii="仿宋_GB2312" w:hAnsi="仿宋" w:eastAsia="仿宋_GB2312" w:cs="Calibri"/>
          <w:color w:val="5D5F60"/>
          <w:sz w:val="32"/>
          <w:szCs w:val="32"/>
        </w:rPr>
      </w:pPr>
      <w:r>
        <w:rPr>
          <w:rFonts w:hint="eastAsia" w:ascii="仿宋_GB2312" w:hAnsi="仿宋" w:eastAsia="仿宋_GB2312" w:cs="Arial"/>
          <w:color w:val="5D5F60"/>
          <w:sz w:val="32"/>
          <w:szCs w:val="32"/>
          <w:shd w:val="clear" w:color="auto" w:fill="FFFFFF"/>
        </w:rPr>
        <w:t>（四）按计划组织本级财政收入和地方税的征收，完成国家财政计划，不断培植税源，管好财政资金，增强财政实力。</w:t>
      </w:r>
    </w:p>
    <w:p w14:paraId="3D5BEF04">
      <w:pPr>
        <w:pStyle w:val="5"/>
        <w:widowControl/>
        <w:shd w:val="clear" w:color="auto" w:fill="FFFFFF"/>
        <w:spacing w:before="105" w:after="105"/>
        <w:ind w:firstLine="480"/>
        <w:rPr>
          <w:rFonts w:ascii="仿宋_GB2312" w:hAnsi="仿宋" w:eastAsia="仿宋_GB2312" w:cs="Calibri"/>
          <w:color w:val="5D5F60"/>
          <w:sz w:val="32"/>
          <w:szCs w:val="32"/>
        </w:rPr>
      </w:pPr>
      <w:r>
        <w:rPr>
          <w:rFonts w:hint="eastAsia" w:ascii="仿宋_GB2312" w:hAnsi="仿宋" w:eastAsia="仿宋_GB2312" w:cs="Arial"/>
          <w:color w:val="5D5F60"/>
          <w:sz w:val="32"/>
          <w:szCs w:val="32"/>
          <w:shd w:val="clear" w:color="auto" w:fill="FFFFFF"/>
        </w:rPr>
        <w:t>（五）抓好精神文明建设，丰富群众文化生活，提倡移风易俗，反对封建迷信，破除陈规陋习，树立社会主义新风尚。</w:t>
      </w:r>
    </w:p>
    <w:p w14:paraId="1135C71C">
      <w:pPr>
        <w:pStyle w:val="5"/>
        <w:widowControl/>
        <w:shd w:val="clear" w:color="auto" w:fill="FFFFFF"/>
        <w:ind w:firstLine="640"/>
        <w:rPr>
          <w:rFonts w:ascii="仿宋_GB2312" w:hAnsi="微软雅黑" w:eastAsia="仿宋_GB2312" w:cs="微软雅黑"/>
          <w:color w:val="000000"/>
        </w:rPr>
      </w:pPr>
      <w:r>
        <w:rPr>
          <w:rFonts w:hint="eastAsia" w:ascii="仿宋_GB2312" w:hAnsi="仿宋" w:eastAsia="仿宋_GB2312" w:cs="Arial"/>
          <w:color w:val="5D5F60"/>
          <w:sz w:val="32"/>
          <w:szCs w:val="32"/>
          <w:shd w:val="clear" w:color="auto" w:fill="FFFFFF"/>
        </w:rPr>
        <w:t>（六）完成上级政府交办的其他事项。</w:t>
      </w:r>
    </w:p>
    <w:p w14:paraId="27E861CD">
      <w:pPr>
        <w:pStyle w:val="5"/>
        <w:widowControl/>
        <w:shd w:val="clear" w:color="auto" w:fill="FFFFFF"/>
        <w:spacing w:line="560" w:lineRule="atLeast"/>
        <w:jc w:val="left"/>
        <w:outlineLvl w:val="0"/>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二、机构设置</w:t>
      </w:r>
      <w:r>
        <w:rPr>
          <w:rFonts w:hint="eastAsia" w:ascii="仿宋_GB2312" w:hAnsi="微软雅黑" w:eastAsia="仿宋_GB2312" w:cs="仿宋_GB2312"/>
          <w:color w:val="000000"/>
          <w:sz w:val="32"/>
          <w:szCs w:val="32"/>
          <w:shd w:val="clear" w:color="auto" w:fill="FFFFFF"/>
        </w:rPr>
        <w:t> </w:t>
      </w:r>
    </w:p>
    <w:p w14:paraId="34677498">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鞍山市千山区甘泉镇人民政府（部门名称或单位名称）2025年度部门（单位）预算仅包括鞍山市千山区甘泉镇人民政府本级预算，无其他下属单位预算。</w:t>
      </w:r>
    </w:p>
    <w:p w14:paraId="70DC8DF6">
      <w:pPr>
        <w:pStyle w:val="5"/>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第三部分 部门（单位）预算表</w:t>
      </w:r>
      <w:r>
        <w:rPr>
          <w:rFonts w:hint="eastAsia" w:ascii="楷体" w:hAnsi="楷体" w:eastAsia="楷体" w:cs="楷体"/>
          <w:color w:val="000000"/>
          <w:sz w:val="32"/>
          <w:szCs w:val="32"/>
          <w:shd w:val="clear" w:color="auto" w:fill="FFFFFF"/>
        </w:rPr>
        <w:t> </w:t>
      </w:r>
    </w:p>
    <w:p w14:paraId="46F34140">
      <w:pPr>
        <w:pStyle w:val="5"/>
        <w:widowControl/>
        <w:shd w:val="clear" w:color="auto" w:fill="FFFFFF"/>
        <w:spacing w:line="560" w:lineRule="atLeast"/>
        <w:jc w:val="center"/>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2025年部门（单位）预算表（具体明细见附表） </w:t>
      </w:r>
    </w:p>
    <w:p w14:paraId="4F273B52">
      <w:pPr>
        <w:pStyle w:val="5"/>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第四部分</w:t>
      </w:r>
      <w:r>
        <w:rPr>
          <w:rFonts w:hint="eastAsia" w:ascii="宋体" w:hAnsi="宋体" w:eastAsia="宋体" w:cs="宋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部门（单位）预算情况说明</w:t>
      </w:r>
      <w:r>
        <w:rPr>
          <w:rFonts w:hint="eastAsia" w:ascii="楷体" w:hAnsi="楷体" w:eastAsia="楷体" w:cs="楷体"/>
          <w:color w:val="000000"/>
          <w:sz w:val="32"/>
          <w:szCs w:val="32"/>
          <w:shd w:val="clear" w:color="auto" w:fill="FFFFFF"/>
        </w:rPr>
        <w:t> </w:t>
      </w:r>
    </w:p>
    <w:p w14:paraId="5D5A5487">
      <w:pPr>
        <w:pStyle w:val="5"/>
        <w:widowControl/>
        <w:shd w:val="clear" w:color="auto" w:fill="FFFFFF"/>
        <w:spacing w:line="560" w:lineRule="atLeast"/>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    一、收支预算的总体说明</w:t>
      </w:r>
      <w:r>
        <w:rPr>
          <w:rFonts w:hint="eastAsia" w:ascii="楷体" w:hAnsi="楷体" w:eastAsia="楷体" w:cs="楷体"/>
          <w:color w:val="000000"/>
          <w:sz w:val="32"/>
          <w:szCs w:val="32"/>
          <w:shd w:val="clear" w:color="auto" w:fill="FFFFFF"/>
        </w:rPr>
        <w:t> </w:t>
      </w:r>
    </w:p>
    <w:p w14:paraId="7A18E503">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按照综合预算的原则，鞍山市千山区甘泉镇人民政府部门及所属单位所有收入和支出均纳入部门预算管理，2025年收支总预算2440.69万元。</w:t>
      </w:r>
    </w:p>
    <w:p w14:paraId="21126D7F">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（一）收入预算2440.69万元，其中：</w:t>
      </w:r>
    </w:p>
    <w:p w14:paraId="140A3D12">
      <w:pPr>
        <w:pStyle w:val="5"/>
        <w:widowControl/>
        <w:shd w:val="clear" w:color="auto" w:fill="FFFFFF"/>
        <w:spacing w:line="560" w:lineRule="atLeast"/>
        <w:jc w:val="left"/>
        <w:outlineLvl w:val="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一般公共预算拨款收入 2440.69万元；</w:t>
      </w:r>
    </w:p>
    <w:p w14:paraId="40F451B1">
      <w:pPr>
        <w:pStyle w:val="5"/>
        <w:widowControl/>
        <w:shd w:val="clear" w:color="auto" w:fill="FFFFFF"/>
        <w:spacing w:line="560" w:lineRule="atLeast"/>
        <w:jc w:val="left"/>
        <w:outlineLvl w:val="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（二）支出预算2440.69万元，其中：</w:t>
      </w:r>
    </w:p>
    <w:p w14:paraId="393F5131">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1.基本支出786.22万元；</w:t>
      </w:r>
    </w:p>
    <w:p w14:paraId="229BA0D2">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2.项目支出1654.47万元。</w:t>
      </w:r>
    </w:p>
    <w:p w14:paraId="7BA78FF9">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在支出预算中，其中一般公共服务支出991.47万元，社会保障和就业支出215.22万元，卫生健康支出27万元，节能环保支出174万元，城乡社区支出340万元，农林水支出662万元，住房保障支出31万元。</w:t>
      </w:r>
    </w:p>
    <w:p w14:paraId="17DDCFB4">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在支出预算中，其中机关运行经费支出267.22万元，债务支出0万元，国有资本经营预算支出0万元，政府采购支出57万元，政府购买服务支出57万元。</w:t>
      </w:r>
    </w:p>
    <w:p w14:paraId="79C31883">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w:t>
      </w:r>
      <w:r>
        <w:rPr>
          <w:rFonts w:hint="eastAsia" w:ascii="楷体" w:hAnsi="楷体" w:eastAsia="楷体" w:cs="楷体"/>
          <w:b/>
          <w:bCs/>
          <w:color w:val="000000"/>
          <w:sz w:val="32"/>
          <w:szCs w:val="32"/>
          <w:shd w:val="clear" w:color="auto" w:fill="FFFFFF"/>
        </w:rPr>
        <w:t>  二、财政拨款收支预算情况说明</w:t>
      </w:r>
      <w:r>
        <w:rPr>
          <w:rFonts w:hint="eastAsia" w:ascii="楷体" w:hAnsi="楷体" w:eastAsia="楷体" w:cs="楷体"/>
          <w:color w:val="000000"/>
          <w:sz w:val="32"/>
          <w:szCs w:val="32"/>
          <w:shd w:val="clear" w:color="auto" w:fill="FFFFFF"/>
        </w:rPr>
        <w:t> </w:t>
      </w:r>
    </w:p>
    <w:p w14:paraId="5A7112E2">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鞍山市千山区甘泉镇人民政府部门及所属单位2025年财政拨款收支总预算2440.69万元。收入预算为一般公共预算拨款，无政府性基金预算拨款和国有资本经营预算拨款，包括：当年财政拨款收入2440.69万元，上年结转结余0万元；支出预算按功能支出包括：一般公共服务支出991.47万元、社会保障和就业支出215.22万元、卫生健康支出27万元，节能环保支出174万元，城乡社区支出340万元，农林水支出662万元，住房保障支出31万元；按经济支出包括:工资福利支出387万元，商品和服务支出1377.69万元，对个人和家庭的补助153万元，项目支出523万元。 </w:t>
      </w:r>
    </w:p>
    <w:p w14:paraId="2BC172DE">
      <w:pPr>
        <w:pStyle w:val="5"/>
        <w:widowControl/>
        <w:shd w:val="clear" w:color="auto" w:fill="FFFFFF"/>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w:t>
      </w:r>
      <w:r>
        <w:rPr>
          <w:rFonts w:hint="eastAsia" w:ascii="楷体" w:hAnsi="楷体" w:eastAsia="楷体" w:cs="楷体"/>
          <w:color w:val="000000"/>
          <w:sz w:val="32"/>
          <w:szCs w:val="32"/>
          <w:shd w:val="clear" w:color="auto" w:fill="FFFFFF"/>
        </w:rPr>
        <w:t>  三、</w:t>
      </w:r>
      <w:r>
        <w:rPr>
          <w:rFonts w:hint="eastAsia" w:ascii="楷体" w:hAnsi="楷体" w:eastAsia="楷体" w:cs="楷体"/>
          <w:b/>
          <w:bCs/>
          <w:color w:val="000000"/>
          <w:sz w:val="32"/>
          <w:szCs w:val="32"/>
          <w:shd w:val="clear" w:color="auto" w:fill="FFFFFF"/>
        </w:rPr>
        <w:t>一般公共预算基本支出情况说明</w:t>
      </w:r>
    </w:p>
    <w:p w14:paraId="46EADF38">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鞍山市千山区甘泉镇人民政府部门及所属单位2025年一般公共预算基本支出786.22 万元，其中工资福利支出387万元，商品和服务支出271.22万元，对个人和家庭补助支出109万元。</w:t>
      </w:r>
    </w:p>
    <w:p w14:paraId="15F5E617">
      <w:pPr>
        <w:pStyle w:val="5"/>
        <w:widowControl/>
        <w:shd w:val="clear" w:color="auto" w:fill="FFFFFF"/>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人员经费（即工资福利支出与对个人和家庭补助支出之和）519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color w:val="000000"/>
          <w:sz w:val="31"/>
          <w:szCs w:val="31"/>
          <w:shd w:val="clear" w:color="auto" w:fill="FFFFFF"/>
        </w:rPr>
        <w:t>离休费、退休费、抚恤金、生活补助、医疗费补助、奖励金、其他对个人和家庭的补助支出。</w:t>
      </w:r>
    </w:p>
    <w:p w14:paraId="7CE1D217">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公用经费（即商品和服务支出）267.22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581E5111">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四、“三公”经费预算情况说明（请注意增减原因要与数字逻辑关系相符）</w:t>
      </w:r>
      <w:r>
        <w:rPr>
          <w:rFonts w:hint="eastAsia" w:ascii="楷体" w:hAnsi="楷体" w:eastAsia="楷体" w:cs="楷体"/>
          <w:color w:val="000000"/>
          <w:sz w:val="32"/>
          <w:szCs w:val="32"/>
          <w:shd w:val="clear" w:color="auto" w:fill="FFFFFF"/>
        </w:rPr>
        <w:t> </w:t>
      </w:r>
    </w:p>
    <w:p w14:paraId="3F8D1ABC">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2025年财政拨款预算安排的“三公”经费预算数13万元，比上年预算数减少0万元，下降0%。其中：</w:t>
      </w:r>
    </w:p>
    <w:p w14:paraId="458617C6">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公务用车运行费13万元，比上年预算数减少0万元，下降0%。主要原因是树立过紧日子思想，按照厉行节约、改进作风等政策要求，严格控制三公经费支出，加强公务用车管理，减少公车运行费支出。</w:t>
      </w:r>
    </w:p>
    <w:p w14:paraId="05BAF8E3">
      <w:pPr>
        <w:pStyle w:val="5"/>
        <w:widowControl/>
        <w:shd w:val="clear" w:color="auto" w:fill="FFFFFF"/>
        <w:spacing w:line="560" w:lineRule="atLeast"/>
        <w:ind w:firstLine="64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五、其他重要事项情况说明</w:t>
      </w:r>
      <w:r>
        <w:rPr>
          <w:rFonts w:hint="eastAsia" w:ascii="楷体" w:hAnsi="楷体" w:eastAsia="楷体" w:cs="楷体"/>
          <w:color w:val="000000"/>
          <w:sz w:val="32"/>
          <w:szCs w:val="32"/>
          <w:shd w:val="clear" w:color="auto" w:fill="FFFFFF"/>
        </w:rPr>
        <w:t> </w:t>
      </w:r>
    </w:p>
    <w:p w14:paraId="2C8751E6">
      <w:pPr>
        <w:pStyle w:val="5"/>
        <w:widowControl/>
        <w:shd w:val="clear" w:color="auto" w:fill="FFFFFF"/>
        <w:spacing w:line="560" w:lineRule="atLeast"/>
        <w:ind w:firstLine="642"/>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（一）机关（事业）运行经费安排情况 </w:t>
      </w:r>
    </w:p>
    <w:p w14:paraId="387DDD04">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机关（事业）运行经费预算为267.22万元，主要包括本部门的办公及印刷费、邮电费、差旅费、会议费、福利费、日常维修费、专用材料及一般设备购置费、办公用房水电费、办公用房取暖费、办公用房物业管理费、公务用车运行维护费以及其他费用。</w:t>
      </w:r>
    </w:p>
    <w:p w14:paraId="373C9E82">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（二）政府采购预算安排情况 </w:t>
      </w:r>
    </w:p>
    <w:p w14:paraId="4819209E">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2025年政府采购预算57万元，其中：货物采购0万元。</w:t>
      </w:r>
    </w:p>
    <w:p w14:paraId="0B2210FF">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（三）政府购买服务预算安排情况 </w:t>
      </w:r>
    </w:p>
    <w:p w14:paraId="61445257">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2025年政府购买服务预算57万元 。 </w:t>
      </w:r>
    </w:p>
    <w:p w14:paraId="1A363F03">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（四）国有资产占有使用情况 </w:t>
      </w:r>
    </w:p>
    <w:p w14:paraId="151967A1">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截至2024年12月，鞍山市千山区大屯镇人民政府及所属单位共有车辆8辆，其中：一般公务用车4辆，其他用车4辆。</w:t>
      </w:r>
    </w:p>
    <w:p w14:paraId="6FF2C4E7">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单位价值50万元以上有通用设备0台（套），单位价值100万元以上专业设备0台（套）。 </w:t>
      </w:r>
    </w:p>
    <w:p w14:paraId="20579442">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2025年年初预算购置车辆0台，金额0万元。</w:t>
      </w:r>
    </w:p>
    <w:p w14:paraId="6E5E7EE3">
      <w:pPr>
        <w:pStyle w:val="5"/>
        <w:widowControl/>
        <w:shd w:val="clear" w:color="auto" w:fill="FFFFFF"/>
        <w:spacing w:line="560" w:lineRule="atLeast"/>
        <w:ind w:firstLine="420"/>
        <w:jc w:val="left"/>
        <w:outlineLvl w:val="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（五）预算资金绩效目标情况 </w:t>
      </w:r>
    </w:p>
    <w:p w14:paraId="0A761881">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根据预算绩效管理要求，2025年应编制部门（单位）整体绩效目标共1个，实际编制部门（单位）整体绩效目标共1个，编制覆盖率（实际编制部门（单位）整体绩效目标/应编制部门（单位）整体绩效目标为100%。</w:t>
      </w:r>
    </w:p>
    <w:p w14:paraId="316F509E">
      <w:pPr>
        <w:pStyle w:val="5"/>
        <w:widowControl/>
        <w:shd w:val="clear" w:color="auto" w:fill="FFFFFF"/>
        <w:ind w:firstLine="620"/>
        <w:jc w:val="left"/>
        <w:rPr>
          <w:rFonts w:ascii="微软雅黑" w:hAnsi="微软雅黑" w:eastAsia="微软雅黑" w:cs="微软雅黑"/>
          <w:color w:val="000000"/>
        </w:rPr>
      </w:pPr>
      <w:r>
        <w:rPr>
          <w:rFonts w:hint="eastAsia" w:ascii="仿宋_GB2312" w:hAnsi="微软雅黑" w:eastAsia="仿宋_GB2312" w:cs="仿宋_GB2312"/>
          <w:color w:val="000000"/>
          <w:sz w:val="31"/>
          <w:szCs w:val="31"/>
          <w:shd w:val="clear" w:color="auto" w:fill="FFFFFF"/>
        </w:rPr>
        <w:t>2025年应编制项目绩效目标（包括特定目标类和其他运转类）</w:t>
      </w:r>
      <w:r>
        <w:rPr>
          <w:rFonts w:hint="eastAsia" w:ascii="仿宋_GB2312" w:hAnsi="微软雅黑" w:eastAsia="仿宋_GB2312" w:cs="仿宋_GB2312"/>
          <w:color w:val="000000"/>
          <w:sz w:val="32"/>
          <w:szCs w:val="32"/>
          <w:shd w:val="clear" w:color="auto" w:fill="FFFFFF"/>
        </w:rPr>
        <w:t>8</w:t>
      </w:r>
      <w:r>
        <w:rPr>
          <w:rFonts w:hint="eastAsia" w:ascii="仿宋_GB2312" w:hAnsi="微软雅黑" w:eastAsia="仿宋_GB2312" w:cs="仿宋_GB2312"/>
          <w:color w:val="000000"/>
          <w:sz w:val="31"/>
          <w:szCs w:val="31"/>
          <w:shd w:val="clear" w:color="auto" w:fill="FFFFFF"/>
        </w:rPr>
        <w:t>个，实际编制项目绩效目标</w:t>
      </w:r>
      <w:r>
        <w:rPr>
          <w:rFonts w:hint="eastAsia" w:ascii="仿宋_GB2312" w:hAnsi="微软雅黑" w:eastAsia="仿宋_GB2312" w:cs="仿宋_GB2312"/>
          <w:color w:val="000000"/>
          <w:sz w:val="32"/>
          <w:szCs w:val="32"/>
          <w:shd w:val="clear" w:color="auto" w:fill="FFFFFF"/>
        </w:rPr>
        <w:t>8</w:t>
      </w:r>
      <w:r>
        <w:rPr>
          <w:rFonts w:hint="eastAsia" w:ascii="仿宋_GB2312" w:hAnsi="微软雅黑" w:eastAsia="仿宋_GB2312" w:cs="仿宋_GB2312"/>
          <w:color w:val="000000"/>
          <w:sz w:val="31"/>
          <w:szCs w:val="31"/>
          <w:shd w:val="clear" w:color="auto" w:fill="FFFFFF"/>
        </w:rPr>
        <w:t>个，涉及资金</w:t>
      </w:r>
      <w:r>
        <w:rPr>
          <w:rFonts w:hint="eastAsia" w:ascii="仿宋_GB2312" w:hAnsi="微软雅黑" w:eastAsia="仿宋_GB2312" w:cs="仿宋_GB2312"/>
          <w:color w:val="000000"/>
          <w:sz w:val="32"/>
          <w:szCs w:val="32"/>
          <w:shd w:val="clear" w:color="auto" w:fill="FFFFFF"/>
        </w:rPr>
        <w:t>1654.47</w:t>
      </w:r>
      <w:r>
        <w:rPr>
          <w:rFonts w:hint="eastAsia" w:ascii="仿宋_GB2312" w:hAnsi="微软雅黑" w:eastAsia="仿宋_GB2312" w:cs="仿宋_GB2312"/>
          <w:color w:val="000000"/>
          <w:sz w:val="31"/>
          <w:szCs w:val="31"/>
          <w:shd w:val="clear" w:color="auto" w:fill="FFFFFF"/>
        </w:rPr>
        <w:t>万元，编制项目绩效目标的项目覆盖率（实际编制绩效目标的数量/应编制绩效目标的数量）为</w:t>
      </w:r>
      <w:r>
        <w:rPr>
          <w:rFonts w:hint="eastAsia" w:ascii="仿宋_GB2312" w:hAnsi="微软雅黑" w:eastAsia="仿宋_GB2312" w:cs="仿宋_GB2312"/>
          <w:color w:val="000000"/>
          <w:sz w:val="32"/>
          <w:szCs w:val="32"/>
          <w:shd w:val="clear" w:color="auto" w:fill="FFFFFF"/>
        </w:rPr>
        <w:t>100</w:t>
      </w:r>
      <w:r>
        <w:rPr>
          <w:rFonts w:hint="eastAsia" w:ascii="仿宋_GB2312" w:hAnsi="微软雅黑" w:eastAsia="仿宋_GB2312" w:cs="仿宋_GB2312"/>
          <w:color w:val="000000"/>
          <w:sz w:val="31"/>
          <w:szCs w:val="31"/>
          <w:shd w:val="clear" w:color="auto" w:fill="FFFFFF"/>
        </w:rPr>
        <w:t>%。</w:t>
      </w:r>
    </w:p>
    <w:p w14:paraId="2AC1C212">
      <w:pPr>
        <w:pStyle w:val="5"/>
        <w:widowControl/>
        <w:shd w:val="clear" w:color="auto" w:fill="FFFFFF"/>
        <w:spacing w:line="560" w:lineRule="atLeast"/>
        <w:ind w:firstLine="420"/>
        <w:jc w:val="left"/>
        <w:outlineLvl w:val="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（六）预算公开表数据中没有数据的情况说明 </w:t>
      </w:r>
    </w:p>
    <w:p w14:paraId="69427FCD">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预算中无政府性基金预算拨款支出，无国有资本经营支出预算，无债务支出预算，无购买服务预算，因此“政府性基金预算支出表”、“国有资本经营支出预算表”、“部门预算项目（政策）绩效目标表”、“债务支出预算表”</w:t>
      </w:r>
      <w:r>
        <w:rPr>
          <w:rFonts w:ascii="仿宋_GB2312" w:hAnsi="微软雅黑" w:eastAsia="仿宋_GB2312" w:cs="仿宋_GB2312"/>
          <w:color w:val="000000"/>
          <w:sz w:val="32"/>
          <w:szCs w:val="32"/>
          <w:shd w:val="clear" w:color="auto" w:fill="FFFFFF"/>
        </w:rPr>
        <w:t>4</w:t>
      </w:r>
      <w:r>
        <w:rPr>
          <w:rFonts w:hint="eastAsia" w:ascii="仿宋_GB2312" w:hAnsi="微软雅黑" w:eastAsia="仿宋_GB2312" w:cs="仿宋_GB2312"/>
          <w:color w:val="000000"/>
          <w:sz w:val="32"/>
          <w:szCs w:val="32"/>
          <w:shd w:val="clear" w:color="auto" w:fill="FFFFFF"/>
        </w:rPr>
        <w:t>张表中没有数据。</w:t>
      </w:r>
    </w:p>
    <w:p w14:paraId="1A5794E0">
      <w:pPr>
        <w:pStyle w:val="5"/>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 名词解释</w:t>
      </w:r>
      <w:r>
        <w:rPr>
          <w:rFonts w:hint="eastAsia" w:ascii="楷体" w:hAnsi="楷体" w:eastAsia="楷体" w:cs="楷体"/>
          <w:color w:val="000000"/>
          <w:sz w:val="32"/>
          <w:szCs w:val="32"/>
          <w:shd w:val="clear" w:color="auto" w:fill="FFFFFF"/>
        </w:rPr>
        <w:t> </w:t>
      </w:r>
    </w:p>
    <w:p w14:paraId="4EA5AAEA">
      <w:pPr>
        <w:pStyle w:val="5"/>
        <w:widowControl/>
        <w:shd w:val="clear" w:color="auto" w:fill="FFFFFF"/>
        <w:spacing w:line="560" w:lineRule="atLeast"/>
        <w:jc w:val="center"/>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（以下内容各部门根据使用科目进行说明）</w:t>
      </w:r>
    </w:p>
    <w:p w14:paraId="6B222075">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1.一般公共预算拨款收入：指市级财政当年拨付的资金。</w:t>
      </w:r>
    </w:p>
    <w:p w14:paraId="20C43919">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18610276">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3.财政专户管理的资金收入：反映缴入财政专户、实行专项管理的教育收费收入。</w:t>
      </w:r>
    </w:p>
    <w:p w14:paraId="3993B277">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4.单位资金收入：包括事业收入、上级补助收入、附属单位上缴收入、事业单位经营收入及其他收入。</w:t>
      </w:r>
    </w:p>
    <w:p w14:paraId="05F6F504">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事业收入：是指事业单位开展专业业务活动及其辅助活动取得的收入，不包括教育收费。</w:t>
      </w:r>
    </w:p>
    <w:p w14:paraId="3C716856">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上级补助收入：是指从主管部门或上级单位取得的财政拨款以外的其他补助收入。</w:t>
      </w:r>
    </w:p>
    <w:p w14:paraId="36337E4A">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附属单位上缴收入：是指本单位所属下级单位上缴给本单位的全部收入（包括下级事业单位上缴的事业收入、其他收入和下级企业单位上缴的利润等）。</w:t>
      </w:r>
    </w:p>
    <w:p w14:paraId="237A708F">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事业单位经营收入：是指事业单位在专业业务活动及辅助活动之外开展非独立核算经营活动取得的收入。</w:t>
      </w:r>
    </w:p>
    <w:p w14:paraId="51D514D5">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其他收入：债务收入（不含政府债券、政府向外国政府贷款和国际组织贷款）、投资收益等收入。</w:t>
      </w:r>
    </w:p>
    <w:p w14:paraId="7439DEDE">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5.上年结转：反映以前年度安排尚未使用完毕，结转到本年仍按原规定用途继续使用的资金。</w:t>
      </w:r>
    </w:p>
    <w:p w14:paraId="52D3129F">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6.基本支出：指保障机构正常运转、完成日常工作任务而发生的人员支出和公用支出。</w:t>
      </w:r>
    </w:p>
    <w:p w14:paraId="6C9D23FA">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7.项目支出：指在基本支出之外为完成特定行政任务和事业发展目标所发生的支出。</w:t>
      </w:r>
    </w:p>
    <w:p w14:paraId="29128CE2">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00A1BBA8">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color w:val="000000"/>
          <w:sz w:val="31"/>
          <w:szCs w:val="31"/>
          <w:shd w:val="clear" w:color="auto" w:fill="FFFFFF"/>
        </w:rPr>
        <w:t>住宿费、伙食费</w:t>
      </w:r>
      <w:r>
        <w:rPr>
          <w:rFonts w:hint="eastAsia" w:ascii="仿宋_GB2312" w:hAnsi="微软雅黑" w:eastAsia="仿宋_GB2312" w:cs="仿宋_GB2312"/>
          <w:color w:val="000000"/>
          <w:sz w:val="32"/>
          <w:szCs w:val="32"/>
          <w:shd w:val="clear" w:color="auto"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637CFFB8">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10.部门管理专项资金：包括由部门主导分配的市本级项目和市对下转移支付项目。</w:t>
      </w:r>
    </w:p>
    <w:p w14:paraId="3CFED8C1">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11.社会保障和就业（类）行政事业单位养老支出（款）行政单位离退休（项）：反映行政单位（包括实行公务员管理的事业单位）开支的离退休经费。 </w:t>
      </w:r>
    </w:p>
    <w:p w14:paraId="6CAE8799">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12.社会保障和就业（类）行政事业单位养老支出（款）事业单位离退休（项）：反映事业单位开支的离退休经费。</w:t>
      </w:r>
    </w:p>
    <w:p w14:paraId="5DA64F59">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13.社会保障和就业（类）行政事业单位养老支出（款）机关事业单位基本养老保险缴费支出（项）：反映机关事业单位实施养老保险制度由单位缴纳的基本养老保险费支出。</w:t>
      </w:r>
    </w:p>
    <w:p w14:paraId="0745131A">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14.社会保障和就业（类）行政事业单位养老支出（款）机关事业单位职业年金缴费支出（项）：反映机关事业单位实施养老保险制度由单位实际缴纳的职业年金支出。</w:t>
      </w:r>
    </w:p>
    <w:p w14:paraId="71D31642">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5407D44A">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565D2A83">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17.卫生健康支出（类）行政事业单位医疗（款）其他行政事业单位医疗支出（项）：反映其他用于行政事业单位医疗方面的支出。</w:t>
      </w:r>
    </w:p>
    <w:p w14:paraId="2A79D31B">
      <w:pPr>
        <w:pStyle w:val="5"/>
        <w:widowControl/>
        <w:shd w:val="clear" w:color="auto" w:fill="FFFFFF"/>
        <w:spacing w:line="560" w:lineRule="atLeast"/>
        <w:ind w:firstLine="64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18.住房保障（类）住房改革（款）住房公积金（项）：反映行政事业单位按人力资源和社会保障部、财政部规定的基本工资和津贴补贴以及规定比例为职工缴纳的住房公积金。 </w:t>
      </w:r>
    </w:p>
    <w:p w14:paraId="199070F7">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19.住房保障（类）住房改革（款）购房补贴（项）：反映按房改政策规定，行政事业单位向符合条件职工（含离退休人员）、军队（含武警）向转役复员离退休人员发放的用于购买住房的补贴。</w:t>
      </w:r>
    </w:p>
    <w:p w14:paraId="32ED302B">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w:t>
      </w:r>
    </w:p>
    <w:p w14:paraId="129837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DE"/>
    <w:rsid w:val="00052B01"/>
    <w:rsid w:val="00111476"/>
    <w:rsid w:val="0013766F"/>
    <w:rsid w:val="001416DF"/>
    <w:rsid w:val="00187186"/>
    <w:rsid w:val="0018731D"/>
    <w:rsid w:val="001E0999"/>
    <w:rsid w:val="00291490"/>
    <w:rsid w:val="00297F31"/>
    <w:rsid w:val="002D2408"/>
    <w:rsid w:val="00303760"/>
    <w:rsid w:val="00407C99"/>
    <w:rsid w:val="004818DE"/>
    <w:rsid w:val="004909D2"/>
    <w:rsid w:val="00565076"/>
    <w:rsid w:val="00566998"/>
    <w:rsid w:val="00667BEA"/>
    <w:rsid w:val="00672367"/>
    <w:rsid w:val="006A7A0D"/>
    <w:rsid w:val="00755DCF"/>
    <w:rsid w:val="00850E05"/>
    <w:rsid w:val="008D177E"/>
    <w:rsid w:val="00923296"/>
    <w:rsid w:val="0095248D"/>
    <w:rsid w:val="009759B0"/>
    <w:rsid w:val="00997D2E"/>
    <w:rsid w:val="00A12612"/>
    <w:rsid w:val="00A128FB"/>
    <w:rsid w:val="00AE1999"/>
    <w:rsid w:val="00B463C1"/>
    <w:rsid w:val="00B7019A"/>
    <w:rsid w:val="00CB60A6"/>
    <w:rsid w:val="00CF5274"/>
    <w:rsid w:val="00EB59A4"/>
    <w:rsid w:val="00ED5A8B"/>
    <w:rsid w:val="00F223A4"/>
    <w:rsid w:val="00FC0617"/>
    <w:rsid w:val="00FE1942"/>
    <w:rsid w:val="00FF657D"/>
    <w:rsid w:val="248079BE"/>
    <w:rsid w:val="25E22D30"/>
    <w:rsid w:val="44492AFD"/>
    <w:rsid w:val="4D952D2E"/>
    <w:rsid w:val="586C6306"/>
    <w:rsid w:val="60B27518"/>
    <w:rsid w:val="651601F4"/>
    <w:rsid w:val="69790883"/>
    <w:rsid w:val="757A1C0A"/>
    <w:rsid w:val="77A254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0"/>
    <w:qFormat/>
    <w:uiPriority w:val="0"/>
    <w:rPr>
      <w:rFonts w:ascii="宋体" w:eastAsia="宋体"/>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customStyle="1" w:styleId="8">
    <w:name w:val="页眉 字符"/>
    <w:basedOn w:val="7"/>
    <w:link w:val="4"/>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 w:type="character" w:customStyle="1" w:styleId="10">
    <w:name w:val="文档结构图 字符"/>
    <w:basedOn w:val="7"/>
    <w:link w:val="2"/>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5497</Words>
  <Characters>5735</Characters>
  <Lines>43</Lines>
  <Paragraphs>12</Paragraphs>
  <TotalTime>0</TotalTime>
  <ScaleCrop>false</ScaleCrop>
  <LinksUpToDate>false</LinksUpToDate>
  <CharactersWithSpaces>5953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2025-01-16T07:27:00Z</dcterms:created>
  <dc:creator>86136</dc:creator>
  <cp:lastModifiedBy>于延博</cp:lastModifiedBy>
  <dcterms:modified xsi:type="dcterms:W3CDTF">2025-01-17T07:12:58Z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