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32"/>
          <w:szCs w:val="32"/>
          <w:shd w:val="clear" w:fill="FFFFFF"/>
        </w:rPr>
        <w:t>附件2</w:t>
      </w:r>
    </w:p>
    <w:p w14:paraId="551B4B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1DA80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100F9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6FA02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189D3A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39B4A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r>
        <w:rPr>
          <w:rFonts w:hint="eastAsia" w:ascii="Times New Roman" w:hAnsi="Times New Roman" w:eastAsia="微软雅黑" w:cs="Times New Roman"/>
          <w:b/>
          <w:bCs/>
          <w:i w:val="0"/>
          <w:iCs w:val="0"/>
          <w:caps w:val="0"/>
          <w:color w:val="000000"/>
          <w:spacing w:val="0"/>
          <w:sz w:val="36"/>
          <w:szCs w:val="36"/>
          <w:shd w:val="clear" w:fill="FFFFFF"/>
          <w:lang w:val="en-US" w:eastAsia="zh-CN"/>
        </w:rPr>
        <w:t>鞍山市千山区经济合作局</w:t>
      </w:r>
    </w:p>
    <w:p w14:paraId="73224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44"/>
          <w:szCs w:val="44"/>
          <w:shd w:val="clear" w:fill="FFFFFF"/>
        </w:rPr>
        <w:t>2025年度单位预算</w:t>
      </w:r>
    </w:p>
    <w:p w14:paraId="6AE83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55F2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08C22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185F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4F3B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A9C3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CF82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99EF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B871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8F26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06D9A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0A26B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80670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1D392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bookmarkStart w:id="0" w:name="_GoBack"/>
      <w:bookmarkEnd w:id="0"/>
      <w:r>
        <w:rPr>
          <w:rFonts w:ascii="黑体" w:hAnsi="宋体" w:eastAsia="黑体" w:cs="黑体"/>
          <w:b/>
          <w:bCs/>
          <w:i w:val="0"/>
          <w:iCs w:val="0"/>
          <w:caps w:val="0"/>
          <w:color w:val="000000"/>
          <w:spacing w:val="0"/>
          <w:sz w:val="32"/>
          <w:szCs w:val="32"/>
          <w:shd w:val="clear" w:fill="FFFFFF"/>
        </w:rPr>
        <w:t>目</w:t>
      </w:r>
      <w:r>
        <w:rPr>
          <w:rFonts w:hint="eastAsia" w:ascii="黑体" w:hAnsi="宋体" w:eastAsia="黑体" w:cs="黑体"/>
          <w:b/>
          <w:bCs/>
          <w:i w:val="0"/>
          <w:iCs w:val="0"/>
          <w:caps w:val="0"/>
          <w:color w:val="000000"/>
          <w:spacing w:val="0"/>
          <w:sz w:val="32"/>
          <w:szCs w:val="32"/>
          <w:shd w:val="clear" w:fill="FFFFFF"/>
        </w:rPr>
        <w:t>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ascii="楷体" w:hAnsi="楷体" w:eastAsia="楷体" w:cs="楷体"/>
          <w:b/>
          <w:bCs/>
          <w:i w:val="0"/>
          <w:iCs w:val="0"/>
          <w:caps w:val="0"/>
          <w:color w:val="000000"/>
          <w:spacing w:val="0"/>
          <w:sz w:val="32"/>
          <w:szCs w:val="32"/>
          <w:shd w:val="clear" w:fill="FFFFFF"/>
        </w:rPr>
        <w:t>第一部</w:t>
      </w:r>
      <w:r>
        <w:rPr>
          <w:rFonts w:hint="eastAsia" w:ascii="楷体" w:hAnsi="楷体" w:eastAsia="楷体" w:cs="楷体"/>
          <w:b/>
          <w:bCs/>
          <w:i w:val="0"/>
          <w:iCs w:val="0"/>
          <w:caps w:val="0"/>
          <w:color w:val="000000"/>
          <w:spacing w:val="0"/>
          <w:sz w:val="32"/>
          <w:szCs w:val="32"/>
          <w:shd w:val="clear" w:fill="FFFFFF"/>
        </w:rPr>
        <w:t>分 部门预算公开管理文件</w:t>
      </w:r>
      <w:r>
        <w:rPr>
          <w:rFonts w:hint="eastAsia" w:ascii="楷体" w:hAnsi="楷体" w:eastAsia="楷体" w:cs="楷体"/>
          <w:i w:val="0"/>
          <w:iCs w:val="0"/>
          <w:caps w:val="0"/>
          <w:color w:val="000000"/>
          <w:spacing w:val="0"/>
          <w:sz w:val="32"/>
          <w:szCs w:val="32"/>
          <w:shd w:val="clear" w:fill="FFFFFF"/>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一、部门</w:t>
      </w:r>
      <w:r>
        <w:rPr>
          <w:rFonts w:hint="eastAsia" w:ascii="仿宋_GB2312" w:hAnsi="微软雅黑" w:eastAsia="仿宋_GB2312" w:cs="仿宋_GB2312"/>
          <w:i w:val="0"/>
          <w:iCs w:val="0"/>
          <w:caps w:val="0"/>
          <w:color w:val="000000"/>
          <w:spacing w:val="0"/>
          <w:sz w:val="32"/>
          <w:szCs w:val="32"/>
          <w:shd w:val="clear" w:fill="FFFFFF"/>
        </w:rPr>
        <w:t>（单位）职责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2025年部门（单位）预算表</w:t>
      </w:r>
      <w:r>
        <w:rPr>
          <w:rFonts w:hint="eastAsia" w:ascii="楷体" w:hAnsi="楷体" w:eastAsia="楷体" w:cs="楷体"/>
          <w:i w:val="0"/>
          <w:iCs w:val="0"/>
          <w:caps w:val="0"/>
          <w:color w:val="000000"/>
          <w:spacing w:val="0"/>
          <w:sz w:val="32"/>
          <w:szCs w:val="32"/>
          <w:shd w:val="clear" w:fill="FFFFFF"/>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 2025年部门（单位）预算情况说明</w:t>
      </w:r>
      <w:r>
        <w:rPr>
          <w:rFonts w:hint="eastAsia" w:ascii="楷体" w:hAnsi="楷体" w:eastAsia="楷体" w:cs="楷体"/>
          <w:i w:val="0"/>
          <w:iCs w:val="0"/>
          <w:caps w:val="0"/>
          <w:color w:val="000000"/>
          <w:spacing w:val="0"/>
          <w:sz w:val="32"/>
          <w:szCs w:val="32"/>
          <w:shd w:val="clear" w:fill="FFFFFF"/>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119CD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7A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1633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3F27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FF71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10C9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D2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4AD2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5EF4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FBE9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2C66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C8CA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E803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9F33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8637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第一部分  部门预算公开管理文件</w:t>
      </w:r>
    </w:p>
    <w:p w14:paraId="64509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33333"/>
          <w:spacing w:val="0"/>
          <w:sz w:val="32"/>
          <w:szCs w:val="32"/>
          <w:shd w:val="clear" w:fill="FFFFFF"/>
        </w:rPr>
        <w:t>　鞍山市</w:t>
      </w:r>
      <w:r>
        <w:rPr>
          <w:rFonts w:hint="eastAsia" w:ascii="仿宋" w:hAnsi="仿宋" w:eastAsia="仿宋" w:cs="仿宋"/>
          <w:i w:val="0"/>
          <w:iCs w:val="0"/>
          <w:caps w:val="0"/>
          <w:color w:val="333333"/>
          <w:spacing w:val="0"/>
          <w:sz w:val="32"/>
          <w:szCs w:val="32"/>
          <w:shd w:val="clear" w:fill="FFFFFF"/>
        </w:rPr>
        <w:t>预决算信息公开管理</w:t>
      </w:r>
      <w:r>
        <w:rPr>
          <w:rFonts w:hint="eastAsia" w:ascii="仿宋" w:hAnsi="仿宋" w:eastAsia="仿宋" w:cs="仿宋"/>
          <w:i w:val="0"/>
          <w:iCs w:val="0"/>
          <w:caps w:val="0"/>
          <w:color w:val="333333"/>
          <w:spacing w:val="0"/>
          <w:sz w:val="32"/>
          <w:szCs w:val="32"/>
          <w:shd w:val="clear" w:fill="FFFFFF"/>
          <w:lang w:val="en-US" w:eastAsia="zh-CN"/>
        </w:rPr>
        <w:t>暂行</w:t>
      </w:r>
      <w:r>
        <w:rPr>
          <w:rFonts w:hint="eastAsia" w:ascii="仿宋" w:hAnsi="仿宋" w:eastAsia="仿宋" w:cs="仿宋"/>
          <w:i w:val="0"/>
          <w:iCs w:val="0"/>
          <w:caps w:val="0"/>
          <w:color w:val="333333"/>
          <w:spacing w:val="0"/>
          <w:sz w:val="32"/>
          <w:szCs w:val="32"/>
          <w:shd w:val="clear" w:fill="FFFFFF"/>
        </w:rPr>
        <w:t>办法</w:t>
      </w:r>
    </w:p>
    <w:p w14:paraId="5EB66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（鞍</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313</w:t>
      </w:r>
      <w:r>
        <w:rPr>
          <w:rFonts w:hint="eastAsia" w:ascii="仿宋" w:hAnsi="仿宋" w:eastAsia="仿宋" w:cs="仿宋"/>
          <w:i w:val="0"/>
          <w:iCs w:val="0"/>
          <w:caps w:val="0"/>
          <w:color w:val="333333"/>
          <w:spacing w:val="0"/>
          <w:sz w:val="32"/>
          <w:szCs w:val="32"/>
          <w:shd w:val="clear" w:fill="FFFFFF"/>
        </w:rPr>
        <w:t>号）</w:t>
      </w:r>
    </w:p>
    <w:p w14:paraId="68C6D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第一章  公开原则</w:t>
      </w:r>
    </w:p>
    <w:p w14:paraId="4092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76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第二条  预决算信息以公开为常态，不公开为例外，依法依规公开预决算信息。除涉及国家秘密外，不得少公开、不公开应当公开的事项，保证公开内容全面、真实、完整。</w:t>
      </w:r>
    </w:p>
    <w:p w14:paraId="5CA37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第三条  公开及时，内容准确，形式规范。方便社会监督，公开内容让公众找得着、看得懂、能监督。</w:t>
      </w:r>
    </w:p>
    <w:p w14:paraId="4368B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Tahoma" w:hAnsi="Tahoma" w:eastAsia="Tahoma" w:cs="Tahoma"/>
          <w:i w:val="0"/>
          <w:iCs w:val="0"/>
          <w:caps w:val="0"/>
          <w:color w:val="111111"/>
          <w:spacing w:val="0"/>
          <w:sz w:val="18"/>
          <w:szCs w:val="18"/>
          <w:shd w:val="clear" w:fill="FFFFFF"/>
        </w:rPr>
        <w:t>　</w:t>
      </w:r>
      <w:r>
        <w:rPr>
          <w:rFonts w:hint="eastAsia" w:ascii="黑体" w:hAnsi="宋体" w:eastAsia="黑体" w:cs="黑体"/>
          <w:i w:val="0"/>
          <w:iCs w:val="0"/>
          <w:caps w:val="0"/>
          <w:color w:val="333333"/>
          <w:spacing w:val="0"/>
          <w:sz w:val="32"/>
          <w:szCs w:val="32"/>
          <w:shd w:val="clear" w:fill="FFFFFF"/>
        </w:rPr>
        <w:t>第二章</w:t>
      </w:r>
      <w:r>
        <w:rPr>
          <w:rFonts w:hint="eastAsia" w:ascii="宋体" w:hAnsi="宋体" w:eastAsia="宋体" w:cs="宋体"/>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公开主体和职责</w:t>
      </w:r>
      <w:r>
        <w:rPr>
          <w:rFonts w:hint="default" w:ascii="Tahoma" w:hAnsi="Tahoma" w:eastAsia="Tahoma" w:cs="Tahoma"/>
          <w:i w:val="0"/>
          <w:iCs w:val="0"/>
          <w:caps w:val="0"/>
          <w:color w:val="111111"/>
          <w:spacing w:val="0"/>
          <w:sz w:val="18"/>
          <w:szCs w:val="18"/>
          <w:shd w:val="clear" w:fill="FFFFFF"/>
        </w:rPr>
        <w:t> </w:t>
      </w:r>
    </w:p>
    <w:p w14:paraId="44D57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第四条  部门负责本单位及所属单位的预决算信息公开工作，履行下列职责：</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037C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（一）制定本单位及所属单位预决算信息公开的工作方案；</w:t>
      </w:r>
    </w:p>
    <w:p w14:paraId="57C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（二）按规定公开本单位及所属单位的预决算信息；</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B42F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（三）对所属单位预决算信息公开工作进行指导、监督和检查；</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0BC1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（四）按规定做好本单位及所属单位预决算信息公开中的答复工作；</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13C5E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（五）法律、法规、规章规定的其他职责。</w:t>
      </w:r>
      <w:r>
        <w:rPr>
          <w:rFonts w:hint="eastAsia" w:ascii="宋体" w:hAnsi="宋体" w:eastAsia="宋体" w:cs="宋体"/>
          <w:i w:val="0"/>
          <w:iCs w:val="0"/>
          <w:caps w:val="0"/>
          <w:color w:val="333333"/>
          <w:spacing w:val="0"/>
          <w:sz w:val="32"/>
          <w:szCs w:val="32"/>
          <w:shd w:val="clear" w:fill="FFFFFF"/>
        </w:rPr>
        <w:t> </w:t>
      </w:r>
    </w:p>
    <w:p w14:paraId="5C134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第三章  公开内容</w:t>
      </w:r>
    </w:p>
    <w:p w14:paraId="0B2A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第五条  部门预算信息（涉密信息除外）公开内容包括：</w:t>
      </w:r>
    </w:p>
    <w:p w14:paraId="5C0B0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（一）部门概况：主要包括部门主要职责、预算单位构成等。</w:t>
      </w:r>
    </w:p>
    <w:p w14:paraId="0D0A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（二）部门预算表。主要包括</w:t>
      </w:r>
      <w:r>
        <w:rPr>
          <w:rFonts w:hint="eastAsia" w:ascii="仿宋" w:hAnsi="仿宋" w:eastAsia="仿宋" w:cs="仿宋"/>
          <w:i w:val="0"/>
          <w:iCs w:val="0"/>
          <w:caps w:val="0"/>
          <w:color w:val="000000"/>
          <w:spacing w:val="0"/>
          <w:sz w:val="32"/>
          <w:szCs w:val="32"/>
          <w:shd w:val="clear"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ahoma" w:hAnsi="Tahoma" w:eastAsia="Tahoma" w:cs="Tahoma"/>
          <w:i w:val="0"/>
          <w:iCs w:val="0"/>
          <w:caps w:val="0"/>
          <w:color w:val="000000"/>
          <w:spacing w:val="0"/>
          <w:sz w:val="18"/>
          <w:szCs w:val="18"/>
          <w:shd w:val="clear" w:fill="FFFFFF"/>
        </w:rPr>
        <w:t> </w:t>
      </w:r>
    </w:p>
    <w:p w14:paraId="4DF5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（三）部门预算情况说明。主要包括</w:t>
      </w:r>
      <w:r>
        <w:rPr>
          <w:rFonts w:hint="eastAsia" w:ascii="仿宋" w:hAnsi="仿宋" w:eastAsia="仿宋" w:cs="仿宋"/>
          <w:i w:val="0"/>
          <w:iCs w:val="0"/>
          <w:caps w:val="0"/>
          <w:color w:val="000000"/>
          <w:spacing w:val="0"/>
          <w:sz w:val="32"/>
          <w:szCs w:val="32"/>
          <w:shd w:val="clear" w:fill="FFFFFF"/>
        </w:rPr>
        <w:t>部门预算收支增减变化情况说明、</w:t>
      </w:r>
      <w:r>
        <w:rPr>
          <w:rFonts w:hint="eastAsia" w:ascii="仿宋" w:hAnsi="仿宋" w:eastAsia="仿宋" w:cs="仿宋"/>
          <w:i w:val="0"/>
          <w:iCs w:val="0"/>
          <w:caps w:val="0"/>
          <w:color w:val="333333"/>
          <w:spacing w:val="0"/>
          <w:sz w:val="32"/>
          <w:szCs w:val="32"/>
          <w:shd w:val="clear" w:fill="FFFFFF"/>
        </w:rPr>
        <w:t>“三公经费”预算增减变化情况说明、</w:t>
      </w:r>
      <w:r>
        <w:rPr>
          <w:rFonts w:hint="eastAsia" w:ascii="仿宋" w:hAnsi="仿宋" w:eastAsia="仿宋" w:cs="仿宋"/>
          <w:i w:val="0"/>
          <w:iCs w:val="0"/>
          <w:caps w:val="0"/>
          <w:color w:val="000000"/>
          <w:spacing w:val="0"/>
          <w:sz w:val="32"/>
          <w:szCs w:val="32"/>
          <w:shd w:val="clear" w:fill="FFFFFF"/>
        </w:rPr>
        <w:t>机关运行经费安排情况说明、政府采购安排情况说明、国有资产占有使用情况说明、预算绩效目标情况说明等。</w:t>
      </w:r>
    </w:p>
    <w:p w14:paraId="60D5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（四）名词解释。主要对涉及本部门预算公开表中的专业名词进行解释说明。</w:t>
      </w:r>
    </w:p>
    <w:p w14:paraId="70B6D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ahoma" w:hAnsi="Tahoma" w:eastAsia="Tahoma" w:cs="Tahoma"/>
          <w:i w:val="0"/>
          <w:iCs w:val="0"/>
          <w:caps w:val="0"/>
          <w:color w:val="000000"/>
          <w:spacing w:val="0"/>
          <w:sz w:val="18"/>
          <w:szCs w:val="18"/>
          <w:shd w:val="clear" w:fill="FFFFFF"/>
        </w:rPr>
        <w:t>　</w:t>
      </w:r>
      <w:r>
        <w:rPr>
          <w:rFonts w:hint="eastAsia" w:ascii="仿宋" w:hAnsi="仿宋" w:eastAsia="仿宋" w:cs="仿宋"/>
          <w:i w:val="0"/>
          <w:iCs w:val="0"/>
          <w:caps w:val="0"/>
          <w:color w:val="000000"/>
          <w:spacing w:val="0"/>
          <w:sz w:val="32"/>
          <w:szCs w:val="32"/>
          <w:shd w:val="clear" w:fill="FFFFFF"/>
        </w:rPr>
        <w:t>第六条 部门决算信息（涉密信息除外）公开内容包括：</w:t>
      </w:r>
      <w:r>
        <w:rPr>
          <w:rFonts w:hint="default" w:ascii="Tahoma" w:hAnsi="Tahoma" w:eastAsia="Tahoma" w:cs="Tahoma"/>
          <w:i w:val="0"/>
          <w:iCs w:val="0"/>
          <w:caps w:val="0"/>
          <w:color w:val="000000"/>
          <w:spacing w:val="0"/>
          <w:sz w:val="18"/>
          <w:szCs w:val="18"/>
          <w:shd w:val="clear" w:fill="FFFFFF"/>
        </w:rPr>
        <w:t> </w:t>
      </w:r>
    </w:p>
    <w:p w14:paraId="3C4C5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（一）部门概况。主要包括部门主要职能、部门决算单位构成情况等。</w:t>
      </w:r>
      <w:r>
        <w:rPr>
          <w:rFonts w:hint="default" w:ascii="Tahoma" w:hAnsi="Tahoma" w:eastAsia="Tahoma" w:cs="Tahoma"/>
          <w:i w:val="0"/>
          <w:iCs w:val="0"/>
          <w:caps w:val="0"/>
          <w:color w:val="000000"/>
          <w:spacing w:val="0"/>
          <w:sz w:val="18"/>
          <w:szCs w:val="18"/>
          <w:shd w:val="clear" w:fill="FFFFFF"/>
        </w:rPr>
        <w:t> </w:t>
      </w:r>
    </w:p>
    <w:p w14:paraId="54FF5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ahoma" w:hAnsi="Tahoma" w:eastAsia="Tahoma" w:cs="Tahoma"/>
          <w:i w:val="0"/>
          <w:iCs w:val="0"/>
          <w:caps w:val="0"/>
          <w:color w:val="000000"/>
          <w:spacing w:val="0"/>
          <w:sz w:val="18"/>
          <w:szCs w:val="18"/>
          <w:shd w:val="clear" w:fill="FFFFFF"/>
        </w:rPr>
        <w:t> </w:t>
      </w:r>
    </w:p>
    <w:p w14:paraId="76C9A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ahoma" w:hAnsi="Tahoma" w:eastAsia="Tahoma" w:cs="Tahoma"/>
          <w:i w:val="0"/>
          <w:iCs w:val="0"/>
          <w:caps w:val="0"/>
          <w:color w:val="000000"/>
          <w:spacing w:val="0"/>
          <w:sz w:val="18"/>
          <w:szCs w:val="18"/>
          <w:shd w:val="clear" w:fill="FFFFFF"/>
        </w:rPr>
        <w:t> </w:t>
      </w:r>
    </w:p>
    <w:p w14:paraId="4029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（四）名词解释。主要对涉及本部门决算公开表中的专业名称进行解释说明。</w:t>
      </w:r>
    </w:p>
    <w:p w14:paraId="55BD4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第四章  公开方式</w:t>
      </w:r>
    </w:p>
    <w:p w14:paraId="1691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第七条  预决算信息在本部门门户网站和市政府门户网站设立的“预决算公开”专栏进行公开，并保持长期公开状态，便于社会公众查阅和监督。</w:t>
      </w:r>
    </w:p>
    <w:p w14:paraId="1F231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第五章  公开程序</w:t>
      </w:r>
    </w:p>
    <w:p w14:paraId="41CC1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第八条  根据本级财政部门批复的部门预算、部门决算及报表，应当在批复后20日内由本部门公开预决算信息。</w:t>
      </w:r>
    </w:p>
    <w:p w14:paraId="31857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第六章  附  则</w:t>
      </w:r>
    </w:p>
    <w:p w14:paraId="38CA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第九条  本办法自印发之日起实行。</w:t>
      </w:r>
    </w:p>
    <w:p w14:paraId="309E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657D7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一、部门（单位）职责</w:t>
      </w:r>
      <w:r>
        <w:rPr>
          <w:rFonts w:hint="eastAsia" w:ascii="仿宋_GB2312" w:hAnsi="微软雅黑" w:eastAsia="仿宋_GB2312" w:cs="仿宋_GB2312"/>
          <w:i w:val="0"/>
          <w:iCs w:val="0"/>
          <w:caps w:val="0"/>
          <w:color w:val="000000"/>
          <w:spacing w:val="0"/>
          <w:sz w:val="32"/>
          <w:szCs w:val="32"/>
          <w:shd w:val="clear" w:fill="FFFFFF"/>
        </w:rPr>
        <w:t> </w:t>
      </w:r>
    </w:p>
    <w:p w14:paraId="4088B5B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(一)贯彻执行国家、省、市、区有关加强招商引资(投资促进)、经济合作和外事的方针政策和战略部署。根据区域经济社会发展的实际，研究制定招商引资年度计划，并组织实施。</w:t>
      </w:r>
    </w:p>
    <w:p w14:paraId="6BB9D73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(二)跟踪国内外产业投资趋势及相关政策变化，研究制定全区招商引资(投资促进)和区域合作的相关政策并组织实施。</w:t>
      </w:r>
    </w:p>
    <w:p w14:paraId="768C0D5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三)负责全区招商引资工作组织推进、综合指导和投资服务工作，负责全区重点招商方向、投资优势、招商政策、重大项目等方面的投资宣传，负责全区招商项目信息搜集发布，建立全区招商项目信息资源共享、联动招商工作机制。</w:t>
      </w:r>
    </w:p>
    <w:p w14:paraId="22DE65C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四)负责全区境内外招商活动的组织与实施。负责区本级重大招商引资项目前期运作、跟踪洽谈、签约履约和投资服务，负责根据全区重点产业发展规划，谋划对全区经济发展有牵动作用的重大招商项目，负责建立和管理全区重点招商项目数据库，协调做好招商项目储备工作。</w:t>
      </w:r>
    </w:p>
    <w:p w14:paraId="22DE1BF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(五)统筹推进区级相关部门的投资促进、招商引资工作，指导各镇街开展投资促进、招商引资工作。</w:t>
      </w:r>
    </w:p>
    <w:p w14:paraId="793FC1A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(六)负责全区投资促进、招商引资综合评价考核工作，负责监督和检查各镇街、区级相关部门投资促进、招商引资的工作落实及任务完成情况。</w:t>
      </w:r>
    </w:p>
    <w:p w14:paraId="75163DC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(七)统筹推进境内外招商网络体系建设。负责全区投资促进、招商引资队伍专业化建设。</w:t>
      </w:r>
    </w:p>
    <w:p w14:paraId="2267DDE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八)负责重点推进与发达地区的经济合作与交流。负责区域经济合作情况的统计、分析;负责国内友好城区的创建、联络、交流工作，负责与国内区域性经济合作组织的联络工作，牵头组织和参加区域合作相关活动，促进区域合作项目的落实。负责国内外经济合作代表团来访的联络、协调和接待工作;负责我区外出招商的联络、洽谈等工作。</w:t>
      </w:r>
    </w:p>
    <w:p w14:paraId="44ED842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(九)承担区委外事工作委员会的具体工作。负责区委外事工作委员会各项会议的筹备和会议决定事项的落实、督办工作。</w:t>
      </w:r>
    </w:p>
    <w:p w14:paraId="3EBF2A5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(十)组织协调区委外事工作委员会成员单位开展重要涉外问题调查研究，并提出意见建议，为区委外事工作委员会提供重要涉外信息服务和决策依据。</w:t>
      </w:r>
    </w:p>
    <w:p w14:paraId="6F3FCD2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一)依据国家、省、市外事工作规划负责起草千山区外事工作规划，拟订并组织实施外事工作管理制度，监督有关部门和单位贯彻对外方针政策和涉外法规的执行情况，协调千山区重大外事、涉外活动，负责处理或协助处理重要的涉外事务。</w:t>
      </w:r>
    </w:p>
    <w:p w14:paraId="79C9B9B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(十二)统筹安排区委、区人大、区政府和区政协领导的外事活动，配合相关部门做好来千山区进行公务活动的国宾、党宾、外国驻华外交人员和其他重要外宾的接待协调工作。</w:t>
      </w:r>
    </w:p>
    <w:p w14:paraId="02DCF0A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(十三)参与起草或修改全区重要涉外文件，会同有关部门负责千山区对外政策、重大国际问题的宣传材料和对外表态口径。</w:t>
      </w:r>
    </w:p>
    <w:p w14:paraId="09A49F1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(十四)主管我区涉外有关事务，会同有关部门或单位做好外国记者采访活动的安排。</w:t>
      </w:r>
    </w:p>
    <w:p w14:paraId="7B92E5D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五)统筹安排和管理全区各部门、各单位与外国领事机构的交往活动。负责领事保护和协助工作，会同有关部门处置境外涉千突发事件，保护境外千山区公民和机构的合法权益，参与处置区内涉外突发事件，指导协调各镇街及有关单位处理领事保护和协助案件的办理工作。</w:t>
      </w:r>
    </w:p>
    <w:p w14:paraId="64C0116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(十六)对全区各部门及企业派驻国外的贸易机构实行统一管理，负责联系中国驻国外使领馆、经商处及外国驻中国使领馆的商务交流工作。</w:t>
      </w:r>
    </w:p>
    <w:p w14:paraId="011087C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(十七)承担千山区与外国友好城市、友好区(县)以及其他友好商会、民间组织等单位的交往活动，办理对外结好的报批手续，指导协调千山区民间对外交往工作。</w:t>
      </w:r>
    </w:p>
    <w:p w14:paraId="0D86EE1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(十八)承办区级领导同志出访和邀请国外有关人员来访的具体事宜，负责全区因公出国(境)的审批和管理事项，办理全区因公出国(境)人员的护照、签证和应邀来访外国人士的签证函电以及其他领事业务。</w:t>
      </w:r>
    </w:p>
    <w:p w14:paraId="2BDF912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(十九)承办区委、区政府及上级部门交办的其他事项。</w:t>
      </w:r>
    </w:p>
    <w:p w14:paraId="71B92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二、机构设置</w:t>
      </w:r>
      <w:r>
        <w:rPr>
          <w:rFonts w:hint="eastAsia" w:ascii="仿宋_GB2312" w:hAnsi="微软雅黑" w:eastAsia="仿宋_GB2312" w:cs="仿宋_GB2312"/>
          <w:i w:val="0"/>
          <w:iCs w:val="0"/>
          <w:caps w:val="0"/>
          <w:color w:val="000000"/>
          <w:spacing w:val="0"/>
          <w:sz w:val="32"/>
          <w:szCs w:val="32"/>
          <w:shd w:val="clear" w:fill="FFFFFF"/>
        </w:rPr>
        <w:t> </w:t>
      </w:r>
    </w:p>
    <w:p w14:paraId="62632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鞍山市千山区经济合作局</w:t>
      </w:r>
      <w:r>
        <w:rPr>
          <w:rFonts w:hint="eastAsia" w:ascii="仿宋_GB2312" w:hAnsi="微软雅黑" w:eastAsia="仿宋_GB2312" w:cs="仿宋_GB2312"/>
          <w:i w:val="0"/>
          <w:iCs w:val="0"/>
          <w:caps w:val="0"/>
          <w:color w:val="000000"/>
          <w:spacing w:val="0"/>
          <w:sz w:val="32"/>
          <w:szCs w:val="32"/>
          <w:shd w:val="clear" w:fill="FFFFFF"/>
        </w:rPr>
        <w:t>2025年度</w:t>
      </w:r>
      <w:r>
        <w:rPr>
          <w:rFonts w:hint="eastAsia" w:ascii="仿宋_GB2312" w:hAnsi="微软雅黑" w:eastAsia="仿宋_GB2312" w:cs="仿宋_GB2312"/>
          <w:b w:val="0"/>
          <w:bCs w:val="0"/>
          <w:i w:val="0"/>
          <w:iCs w:val="0"/>
          <w:caps w:val="0"/>
          <w:color w:val="000000"/>
          <w:spacing w:val="0"/>
          <w:sz w:val="32"/>
          <w:szCs w:val="32"/>
          <w:shd w:val="clear" w:fill="FFFFFF"/>
        </w:rPr>
        <w:t>单位</w:t>
      </w:r>
      <w:r>
        <w:rPr>
          <w:rFonts w:hint="eastAsia" w:ascii="仿宋_GB2312" w:hAnsi="微软雅黑" w:eastAsia="仿宋_GB2312" w:cs="仿宋_GB2312"/>
          <w:i w:val="0"/>
          <w:iCs w:val="0"/>
          <w:caps w:val="0"/>
          <w:color w:val="000000"/>
          <w:spacing w:val="0"/>
          <w:sz w:val="32"/>
          <w:szCs w:val="32"/>
          <w:shd w:val="clear" w:fill="FFFFFF"/>
        </w:rPr>
        <w:t>预算。</w:t>
      </w:r>
    </w:p>
    <w:p w14:paraId="01EEA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纳入</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经济合作局</w:t>
      </w:r>
      <w:r>
        <w:rPr>
          <w:rFonts w:hint="eastAsia" w:ascii="仿宋_GB2312" w:hAnsi="微软雅黑" w:eastAsia="仿宋_GB2312" w:cs="仿宋_GB2312"/>
          <w:i w:val="0"/>
          <w:iCs w:val="0"/>
          <w:caps w:val="0"/>
          <w:color w:val="000000"/>
          <w:spacing w:val="0"/>
          <w:sz w:val="32"/>
          <w:szCs w:val="32"/>
          <w:shd w:val="clear" w:fill="FFFFFF"/>
        </w:rPr>
        <w:t>2025年度部门预算编制范围的二级预算单位包括</w:t>
      </w:r>
      <w:r>
        <w:rPr>
          <w:rFonts w:hint="eastAsia" w:ascii="仿宋_GB2312" w:hAnsi="微软雅黑" w:eastAsia="仿宋_GB2312" w:cs="仿宋_GB2312"/>
          <w:i w:val="0"/>
          <w:iCs w:val="0"/>
          <w:caps w:val="0"/>
          <w:color w:val="000000"/>
          <w:spacing w:val="0"/>
          <w:sz w:val="32"/>
          <w:szCs w:val="32"/>
          <w:shd w:val="clear" w:fill="FFFFFF"/>
          <w:lang w:val="en-US" w:eastAsia="zh-CN"/>
        </w:rPr>
        <w:t>XX</w:t>
      </w:r>
      <w:r>
        <w:rPr>
          <w:rFonts w:hint="eastAsia" w:ascii="仿宋_GB2312" w:hAnsi="微软雅黑" w:eastAsia="仿宋_GB2312" w:cs="仿宋_GB2312"/>
          <w:b w:val="0"/>
          <w:bCs w:val="0"/>
          <w:i w:val="0"/>
          <w:iCs w:val="0"/>
          <w:caps w:val="0"/>
          <w:color w:val="000000"/>
          <w:spacing w:val="0"/>
          <w:sz w:val="32"/>
          <w:szCs w:val="32"/>
          <w:shd w:val="clear" w:fill="FFFFFF"/>
        </w:rPr>
        <w:t>（无下属单位表述示例）</w:t>
      </w:r>
    </w:p>
    <w:p w14:paraId="1B24D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val="0"/>
          <w:bCs w:val="0"/>
          <w:i w:val="0"/>
          <w:iCs w:val="0"/>
          <w:caps w:val="0"/>
          <w:color w:val="000000"/>
          <w:spacing w:val="0"/>
          <w:sz w:val="32"/>
          <w:szCs w:val="32"/>
          <w:shd w:val="clear" w:fill="FFFFFF"/>
        </w:rPr>
        <w:t>XX（部门名称或单位名称）</w:t>
      </w:r>
      <w:r>
        <w:rPr>
          <w:rFonts w:hint="eastAsia" w:ascii="仿宋_GB2312" w:hAnsi="微软雅黑" w:eastAsia="仿宋_GB2312" w:cs="仿宋_GB2312"/>
          <w:i w:val="0"/>
          <w:iCs w:val="0"/>
          <w:caps w:val="0"/>
          <w:color w:val="000000"/>
          <w:spacing w:val="0"/>
          <w:sz w:val="32"/>
          <w:szCs w:val="32"/>
          <w:shd w:val="clear" w:fill="FFFFFF"/>
        </w:rPr>
        <w:t>2025年度部门（单位）预算仅包括</w:t>
      </w:r>
      <w:r>
        <w:rPr>
          <w:rFonts w:hint="eastAsia" w:ascii="仿宋_GB2312" w:hAnsi="微软雅黑" w:eastAsia="仿宋_GB2312" w:cs="仿宋_GB2312"/>
          <w:b w:val="0"/>
          <w:bCs w:val="0"/>
          <w:i w:val="0"/>
          <w:iCs w:val="0"/>
          <w:caps w:val="0"/>
          <w:color w:val="000000"/>
          <w:spacing w:val="0"/>
          <w:sz w:val="32"/>
          <w:szCs w:val="32"/>
          <w:shd w:val="clear" w:fill="FFFFFF"/>
        </w:rPr>
        <w:t>XX本级预算，无其他下属单位预算。</w:t>
      </w:r>
    </w:p>
    <w:p w14:paraId="67019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部门（单位）预算表</w:t>
      </w:r>
      <w:r>
        <w:rPr>
          <w:rFonts w:hint="eastAsia" w:ascii="楷体" w:hAnsi="楷体" w:eastAsia="楷体" w:cs="楷体"/>
          <w:i w:val="0"/>
          <w:iCs w:val="0"/>
          <w:caps w:val="0"/>
          <w:color w:val="000000"/>
          <w:spacing w:val="0"/>
          <w:sz w:val="32"/>
          <w:szCs w:val="32"/>
          <w:shd w:val="clear" w:fill="FFFFFF"/>
        </w:rPr>
        <w:t> </w:t>
      </w:r>
    </w:p>
    <w:p w14:paraId="419E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2025年部门（单位）预算表（具体明细见附表） </w:t>
      </w: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w:t>
      </w:r>
      <w:r>
        <w:rPr>
          <w:rFonts w:hint="eastAsia" w:ascii="宋体" w:hAnsi="宋体" w:eastAsia="宋体" w:cs="宋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部门（单位）预算情况说明</w:t>
      </w:r>
      <w:r>
        <w:rPr>
          <w:rFonts w:hint="eastAsia" w:ascii="楷体" w:hAnsi="楷体" w:eastAsia="楷体" w:cs="楷体"/>
          <w:i w:val="0"/>
          <w:iCs w:val="0"/>
          <w:caps w:val="0"/>
          <w:color w:val="000000"/>
          <w:spacing w:val="0"/>
          <w:sz w:val="32"/>
          <w:szCs w:val="32"/>
          <w:shd w:val="clear" w:fill="FFFFFF"/>
        </w:rPr>
        <w:t> </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    一、收支预算的总体说明</w:t>
      </w:r>
      <w:r>
        <w:rPr>
          <w:rFonts w:hint="eastAsia" w:ascii="楷体" w:hAnsi="楷体" w:eastAsia="楷体" w:cs="楷体"/>
          <w:i w:val="0"/>
          <w:iCs w:val="0"/>
          <w:caps w:val="0"/>
          <w:color w:val="000000"/>
          <w:spacing w:val="0"/>
          <w:sz w:val="32"/>
          <w:szCs w:val="32"/>
          <w:shd w:val="clear" w:fill="FFFFFF"/>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按照综合预算的原则，</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鞍山市千山区经济合作局</w:t>
      </w:r>
      <w:r>
        <w:rPr>
          <w:rFonts w:hint="eastAsia" w:ascii="仿宋_GB2312" w:hAnsi="微软雅黑" w:eastAsia="仿宋_GB2312" w:cs="仿宋_GB2312"/>
          <w:i w:val="0"/>
          <w:iCs w:val="0"/>
          <w:caps w:val="0"/>
          <w:color w:val="000000"/>
          <w:spacing w:val="0"/>
          <w:sz w:val="32"/>
          <w:szCs w:val="32"/>
          <w:shd w:val="clear" w:fill="FFFFFF"/>
        </w:rPr>
        <w:t>部门及所属单位所有收入和支出均纳入部门预算管理，2025年收支总预算231.49万元。</w:t>
      </w:r>
    </w:p>
    <w:p w14:paraId="3DF92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（一）收入预算231.49万元，其中：</w:t>
      </w:r>
    </w:p>
    <w:p w14:paraId="140E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1.一般公共预算拨款收入 231.49万元；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0" w:firstLineChars="10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0886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0" w:firstLineChars="10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3.国有资本经营预算拨款收入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4.财政专户管理资金收入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0" w:firstLineChars="10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5.单位资金收入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0" w:firstLineChars="10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（二）支出预算231.49万元，其中：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1.基本支出</w:t>
      </w:r>
      <w:r>
        <w:rPr>
          <w:rFonts w:hint="eastAsia" w:ascii="仿宋_GB2312" w:hAnsi="微软雅黑" w:eastAsia="仿宋_GB2312" w:cs="仿宋_GB2312"/>
          <w:i w:val="0"/>
          <w:iCs w:val="0"/>
          <w:caps w:val="0"/>
          <w:color w:val="000000"/>
          <w:spacing w:val="0"/>
          <w:sz w:val="32"/>
          <w:szCs w:val="32"/>
          <w:shd w:val="clear" w:fill="FFFFFF"/>
          <w:lang w:val="en-US" w:eastAsia="zh-CN"/>
        </w:rPr>
        <w:t>51.49</w:t>
      </w:r>
      <w:r>
        <w:rPr>
          <w:rFonts w:hint="eastAsia" w:ascii="仿宋_GB2312" w:hAnsi="微软雅黑" w:eastAsia="仿宋_GB2312" w:cs="仿宋_GB2312"/>
          <w:i w:val="0"/>
          <w:iCs w:val="0"/>
          <w:caps w:val="0"/>
          <w:color w:val="000000"/>
          <w:spacing w:val="0"/>
          <w:sz w:val="32"/>
          <w:szCs w:val="32"/>
          <w:shd w:val="clear" w:fill="FFFFFF"/>
        </w:rPr>
        <w:t>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180</w:t>
      </w:r>
      <w:r>
        <w:rPr>
          <w:rFonts w:hint="eastAsia" w:ascii="仿宋_GB2312" w:hAnsi="微软雅黑" w:eastAsia="仿宋_GB2312" w:cs="仿宋_GB2312"/>
          <w:i w:val="0"/>
          <w:iCs w:val="0"/>
          <w:caps w:val="0"/>
          <w:color w:val="000000"/>
          <w:spacing w:val="0"/>
          <w:sz w:val="32"/>
          <w:szCs w:val="32"/>
          <w:shd w:val="clear" w:fill="FFFFFF"/>
        </w:rPr>
        <w:t>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180</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7.24</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3.83</w:t>
      </w:r>
      <w:r>
        <w:rPr>
          <w:rFonts w:hint="eastAsia" w:ascii="仿宋_GB2312" w:hAnsi="微软雅黑" w:eastAsia="仿宋_GB2312" w:cs="仿宋_GB2312"/>
          <w:i w:val="0"/>
          <w:iCs w:val="0"/>
          <w:caps w:val="0"/>
          <w:color w:val="000000"/>
          <w:spacing w:val="0"/>
          <w:sz w:val="32"/>
          <w:szCs w:val="32"/>
          <w:shd w:val="clear" w:fill="FFFFFF"/>
        </w:rPr>
        <w:t>万元，  …  。</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在支出预算中，其中机关运行经费支出</w:t>
      </w:r>
      <w:r>
        <w:rPr>
          <w:rFonts w:hint="eastAsia" w:ascii="仿宋_GB2312" w:hAnsi="微软雅黑" w:eastAsia="仿宋_GB2312" w:cs="仿宋_GB2312"/>
          <w:i w:val="0"/>
          <w:iCs w:val="0"/>
          <w:caps w:val="0"/>
          <w:color w:val="000000"/>
          <w:spacing w:val="0"/>
          <w:sz w:val="32"/>
          <w:szCs w:val="32"/>
          <w:shd w:val="clear" w:fill="FFFFFF"/>
          <w:lang w:val="en-US" w:eastAsia="zh-CN"/>
        </w:rPr>
        <w:t>37.3</w:t>
      </w:r>
      <w:r>
        <w:rPr>
          <w:rFonts w:hint="eastAsia" w:ascii="仿宋_GB2312" w:hAnsi="微软雅黑" w:eastAsia="仿宋_GB2312" w:cs="仿宋_GB2312"/>
          <w:i w:val="0"/>
          <w:iCs w:val="0"/>
          <w:caps w:val="0"/>
          <w:color w:val="000000"/>
          <w:spacing w:val="0"/>
          <w:sz w:val="32"/>
          <w:szCs w:val="32"/>
          <w:shd w:val="clear" w:fill="FFFFFF"/>
        </w:rPr>
        <w:t>万元，债务支出  万元，国有资本经营预算支出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万元，政府采购支出  万元，政府购买服务支出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74FC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收支预算增减情况。2025年，</w:t>
      </w:r>
      <w:r>
        <w:rPr>
          <w:rFonts w:hint="eastAsia" w:ascii="仿宋_GB2312" w:hAnsi="微软雅黑" w:eastAsia="仿宋_GB2312" w:cs="仿宋_GB2312"/>
          <w:i w:val="0"/>
          <w:iCs w:val="0"/>
          <w:caps w:val="0"/>
          <w:color w:val="000000"/>
          <w:spacing w:val="0"/>
          <w:sz w:val="32"/>
          <w:szCs w:val="32"/>
          <w:shd w:val="clear" w:fill="FFFFFF"/>
          <w:lang w:val="en-US" w:eastAsia="zh-CN"/>
        </w:rPr>
        <w:t>经济合作局</w:t>
      </w:r>
      <w:r>
        <w:rPr>
          <w:rFonts w:hint="eastAsia" w:ascii="仿宋_GB2312" w:hAnsi="微软雅黑" w:eastAsia="仿宋_GB2312" w:cs="仿宋_GB2312"/>
          <w:i w:val="0"/>
          <w:iCs w:val="0"/>
          <w:caps w:val="0"/>
          <w:color w:val="000000"/>
          <w:spacing w:val="0"/>
          <w:sz w:val="32"/>
          <w:szCs w:val="32"/>
          <w:shd w:val="clear" w:fill="FFFFFF"/>
        </w:rPr>
        <w:t>部门及所属单位部门收支预算231.49万元，比上年减少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减少的主要原因（按实际情况说明增减原因，以下原因仅供参考）：一是继续贯彻落实中央八项规定和党政机关厉行节约有关要求，坚持精打细算、厉行节约，压减一般性支出；二是非急需、非刚性支出不予安排；三是“三公”经费预算比上年只减不增。</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二、财政拨款收支预算情况说明</w:t>
      </w:r>
      <w:r>
        <w:rPr>
          <w:rFonts w:hint="eastAsia" w:ascii="楷体" w:hAnsi="楷体" w:eastAsia="楷体" w:cs="楷体"/>
          <w:i w:val="0"/>
          <w:iCs w:val="0"/>
          <w:caps w:val="0"/>
          <w:color w:val="000000"/>
          <w:spacing w:val="0"/>
          <w:sz w:val="32"/>
          <w:szCs w:val="32"/>
          <w:shd w:val="clear" w:fill="FFFFFF"/>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鞍山市千山区经济合作局</w:t>
      </w:r>
      <w:r>
        <w:rPr>
          <w:rFonts w:hint="eastAsia" w:ascii="仿宋_GB2312" w:hAnsi="微软雅黑" w:eastAsia="仿宋_GB2312" w:cs="仿宋_GB2312"/>
          <w:i w:val="0"/>
          <w:iCs w:val="0"/>
          <w:caps w:val="0"/>
          <w:color w:val="000000"/>
          <w:spacing w:val="0"/>
          <w:sz w:val="32"/>
          <w:szCs w:val="32"/>
          <w:shd w:val="clear" w:fill="FFFFFF"/>
        </w:rPr>
        <w:t>2025年财政拨款收支总预算231.49万元。收入预算为一般公共预算拨款，无政府性基金预算拨款和国有资本经营预算拨款，包括：当年财政拨款收入231.49万元，上年结转结余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支出预算按功能支出包括：一般公共服务支出180万元、社会保障和就业支出7.24万元、住房保障支出3.83万元；按经济支出包括:工资福利支出46.74万元，商品和服务支出4.74万元，对个人和家庭的补助0.01万元，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180</w:t>
      </w:r>
      <w:r>
        <w:rPr>
          <w:rFonts w:hint="eastAsia" w:ascii="仿宋_GB2312" w:hAnsi="微软雅黑" w:eastAsia="仿宋_GB2312" w:cs="仿宋_GB2312"/>
          <w:i w:val="0"/>
          <w:iCs w:val="0"/>
          <w:caps w:val="0"/>
          <w:color w:val="000000"/>
          <w:spacing w:val="0"/>
          <w:sz w:val="32"/>
          <w:szCs w:val="32"/>
          <w:shd w:val="clear" w:fill="FFFFFF"/>
        </w:rPr>
        <w:t>万元。 </w:t>
      </w:r>
    </w:p>
    <w:p w14:paraId="7DCFF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财政拨款收支预算增减情况。2025年，</w:t>
      </w:r>
      <w:r>
        <w:rPr>
          <w:rFonts w:hint="eastAsia" w:ascii="仿宋_GB2312" w:hAnsi="微软雅黑" w:eastAsia="仿宋_GB2312" w:cs="仿宋_GB2312"/>
          <w:i w:val="0"/>
          <w:iCs w:val="0"/>
          <w:caps w:val="0"/>
          <w:color w:val="000000"/>
          <w:spacing w:val="0"/>
          <w:sz w:val="32"/>
          <w:szCs w:val="32"/>
          <w:shd w:val="clear" w:fill="FFFFFF"/>
          <w:lang w:val="en-US" w:eastAsia="zh-CN"/>
        </w:rPr>
        <w:t>经济合作局</w:t>
      </w:r>
      <w:r>
        <w:rPr>
          <w:rFonts w:hint="eastAsia" w:ascii="仿宋_GB2312" w:hAnsi="微软雅黑" w:eastAsia="仿宋_GB2312" w:cs="仿宋_GB2312"/>
          <w:i w:val="0"/>
          <w:iCs w:val="0"/>
          <w:caps w:val="0"/>
          <w:color w:val="000000"/>
          <w:spacing w:val="0"/>
          <w:sz w:val="32"/>
          <w:szCs w:val="32"/>
          <w:shd w:val="clear" w:fill="FFFFFF"/>
        </w:rPr>
        <w:t>部门财政拨款收支预算231.49万元，比上年减少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%。财政拨款收入同比减少的主要原因：一是；二是。</w:t>
      </w: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    三、</w:t>
      </w:r>
      <w:r>
        <w:rPr>
          <w:rFonts w:hint="eastAsia" w:ascii="楷体" w:hAnsi="楷体" w:eastAsia="楷体" w:cs="楷体"/>
          <w:b/>
          <w:bCs/>
          <w:i w:val="0"/>
          <w:iCs w:val="0"/>
          <w:caps w:val="0"/>
          <w:color w:val="000000"/>
          <w:spacing w:val="0"/>
          <w:sz w:val="32"/>
          <w:szCs w:val="32"/>
          <w:shd w:val="clear" w:fill="FFFFFF"/>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微软雅黑" w:eastAsia="仿宋_GB2312" w:cs="仿宋_GB2312"/>
          <w:b/>
          <w:bCs/>
          <w:i w:val="0"/>
          <w:iCs w:val="0"/>
          <w:caps w:val="0"/>
          <w:color w:val="000000"/>
          <w:spacing w:val="0"/>
          <w:sz w:val="32"/>
          <w:szCs w:val="32"/>
          <w:shd w:val="clear" w:fill="FFFFFF"/>
          <w:lang w:val="en-US" w:eastAsia="zh-CN"/>
        </w:rPr>
        <w:t>鞍山市千山区经济合作局</w:t>
      </w:r>
      <w:r>
        <w:rPr>
          <w:rFonts w:hint="eastAsia" w:ascii="仿宋_GB2312" w:hAnsi="微软雅黑" w:eastAsia="仿宋_GB2312" w:cs="仿宋_GB2312"/>
          <w:i w:val="0"/>
          <w:iCs w:val="0"/>
          <w:caps w:val="0"/>
          <w:color w:val="000000"/>
          <w:spacing w:val="0"/>
          <w:sz w:val="32"/>
          <w:szCs w:val="32"/>
          <w:shd w:val="clear" w:fill="FFFFFF"/>
        </w:rPr>
        <w:t>2025年一般公共预算基本支出231.49万元，其中工资福利支出46.74万元，商品和服务支出4.74万元，对个人和家庭补助支出0.01万元。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人员经费（即工资福利支出与对个人和家庭补助支出之和）</w:t>
      </w:r>
      <w:r>
        <w:rPr>
          <w:rFonts w:hint="eastAsia" w:ascii="仿宋_GB2312" w:hAnsi="微软雅黑" w:eastAsia="仿宋_GB2312" w:cs="仿宋_GB2312"/>
          <w:i w:val="0"/>
          <w:iCs w:val="0"/>
          <w:caps w:val="0"/>
          <w:color w:val="000000"/>
          <w:spacing w:val="0"/>
          <w:sz w:val="32"/>
          <w:szCs w:val="32"/>
          <w:shd w:val="clear" w:fill="FFFFFF"/>
          <w:lang w:val="en-US" w:eastAsia="zh-CN"/>
        </w:rPr>
        <w:t>46.75</w:t>
      </w:r>
      <w:r>
        <w:rPr>
          <w:rFonts w:hint="eastAsia" w:ascii="仿宋_GB2312" w:hAnsi="微软雅黑" w:eastAsia="仿宋_GB2312" w:cs="仿宋_GB2312"/>
          <w:i w:val="0"/>
          <w:iCs w:val="0"/>
          <w:caps w:val="0"/>
          <w:color w:val="000000"/>
          <w:spacing w:val="0"/>
          <w:sz w:val="32"/>
          <w:szCs w:val="32"/>
          <w:shd w:val="clear"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i w:val="0"/>
          <w:iCs w:val="0"/>
          <w:caps w:val="0"/>
          <w:color w:val="000000"/>
          <w:spacing w:val="0"/>
          <w:sz w:val="31"/>
          <w:szCs w:val="31"/>
          <w:shd w:val="clear" w:fill="FFFFFF"/>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公用经费（即商品和服务支出）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4.74</w:t>
      </w:r>
      <w:r>
        <w:rPr>
          <w:rFonts w:hint="eastAsia" w:ascii="仿宋_GB2312" w:hAnsi="微软雅黑" w:eastAsia="仿宋_GB2312" w:cs="仿宋_GB2312"/>
          <w:i w:val="0"/>
          <w:iCs w:val="0"/>
          <w:caps w:val="0"/>
          <w:color w:val="000000"/>
          <w:spacing w:val="0"/>
          <w:sz w:val="32"/>
          <w:szCs w:val="32"/>
          <w:shd w:val="clear" w:fill="FFFFFF"/>
        </w:rPr>
        <w:t>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四、“三公”经费预算情况说明（请注意增减原因要与数字逻辑关系相符）</w:t>
      </w:r>
      <w:r>
        <w:rPr>
          <w:rFonts w:hint="eastAsia" w:ascii="楷体" w:hAnsi="楷体" w:eastAsia="楷体" w:cs="楷体"/>
          <w:i w:val="0"/>
          <w:iCs w:val="0"/>
          <w:caps w:val="0"/>
          <w:color w:val="000000"/>
          <w:spacing w:val="0"/>
          <w:sz w:val="32"/>
          <w:szCs w:val="32"/>
          <w:shd w:val="clear" w:fill="FFFFFF"/>
        </w:rPr>
        <w:t> </w:t>
      </w:r>
    </w:p>
    <w:p w14:paraId="1833C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2025年财政拨款预算安排的“三公”经费预算数</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%。其中：</w:t>
      </w:r>
    </w:p>
    <w:p w14:paraId="05105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1.因公出国（境）费XX万元，与上年持平，无增减变化。</w:t>
      </w:r>
    </w:p>
    <w:p w14:paraId="5E2F9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2.公务接待费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%。主要是树立过紧日子思想，严格控制三公经费支出，压减公务接待费。</w:t>
      </w:r>
    </w:p>
    <w:p w14:paraId="4EFD6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3.公务用车购置及运行费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w:t>
      </w:r>
    </w:p>
    <w:p w14:paraId="61F7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（1）公务用车购置</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4027F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（2）公务用车运行费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%。主要原因是树立过紧日子思想，按照厉行节约、改进作风等政策要求，严格控制三公经费支出，加强公务用车管理，减少公车运行费支出。</w:t>
      </w: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五、其他重要事项情况说明</w:t>
      </w:r>
      <w:r>
        <w:rPr>
          <w:rFonts w:hint="eastAsia" w:ascii="楷体" w:hAnsi="楷体" w:eastAsia="楷体" w:cs="楷体"/>
          <w:i w:val="0"/>
          <w:iCs w:val="0"/>
          <w:caps w:val="0"/>
          <w:color w:val="000000"/>
          <w:spacing w:val="0"/>
          <w:sz w:val="32"/>
          <w:szCs w:val="32"/>
          <w:shd w:val="clear" w:fill="FFFFFF"/>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（一）机关（事业）运行经费安排情况 </w:t>
      </w:r>
    </w:p>
    <w:p w14:paraId="290C0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2025年机关（事业）运行经费预算为</w:t>
      </w:r>
      <w:r>
        <w:rPr>
          <w:rFonts w:hint="eastAsia" w:ascii="仿宋_GB2312" w:hAnsi="微软雅黑" w:eastAsia="仿宋_GB2312" w:cs="仿宋_GB2312"/>
          <w:i w:val="0"/>
          <w:iCs w:val="0"/>
          <w:caps w:val="0"/>
          <w:color w:val="000000"/>
          <w:spacing w:val="0"/>
          <w:sz w:val="32"/>
          <w:szCs w:val="32"/>
          <w:shd w:val="clear" w:fill="FFFFFF"/>
          <w:lang w:val="en-US" w:eastAsia="zh-CN"/>
        </w:rPr>
        <w:t>4.74</w:t>
      </w:r>
      <w:r>
        <w:rPr>
          <w:rFonts w:hint="eastAsia" w:ascii="仿宋_GB2312" w:hAnsi="微软雅黑" w:eastAsia="仿宋_GB2312" w:cs="仿宋_GB2312"/>
          <w:i w:val="0"/>
          <w:iCs w:val="0"/>
          <w:caps w:val="0"/>
          <w:color w:val="000000"/>
          <w:spacing w:val="0"/>
          <w:sz w:val="32"/>
          <w:szCs w:val="32"/>
          <w:shd w:val="clear" w:fill="FFFFFF"/>
        </w:rPr>
        <w:t>万元，主要包括本部门的办公及印刷费、邮电费、差旅费、会议费、福利费、日常维修费、专用材料及一般设备购置费、办公用房水电费、办公用房取暖费、办公用房物业管理费、公务用车运行维护费以及其他费用。比上年预算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%。主要是落实过紧日子要求，厉行勤俭节约，压减一般性支出。</w:t>
      </w:r>
    </w:p>
    <w:p w14:paraId="6F56D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（二）政府采购预算安排情况 </w:t>
      </w:r>
    </w:p>
    <w:p w14:paraId="7EC51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2025年政府采购预算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万元，其中：货物采购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万元，工程采购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万元，服务采购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2025年政府购买服务预算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万元，其中主要用于</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（四）国有资产占有使用情况 </w:t>
      </w:r>
    </w:p>
    <w:p w14:paraId="329C3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截至2024年12月，</w:t>
      </w:r>
      <w:r>
        <w:rPr>
          <w:rFonts w:hint="eastAsia" w:ascii="仿宋_GB2312" w:hAnsi="微软雅黑" w:eastAsia="仿宋_GB2312" w:cs="仿宋_GB2312"/>
          <w:i w:val="0"/>
          <w:iCs w:val="0"/>
          <w:caps w:val="0"/>
          <w:color w:val="000000"/>
          <w:spacing w:val="0"/>
          <w:sz w:val="32"/>
          <w:szCs w:val="32"/>
          <w:shd w:val="clear" w:fill="FFFFFF"/>
          <w:lang w:val="en-US" w:eastAsia="zh-CN"/>
        </w:rPr>
        <w:t>经济合作局</w:t>
      </w:r>
      <w:r>
        <w:rPr>
          <w:rFonts w:hint="eastAsia" w:ascii="仿宋_GB2312" w:hAnsi="微软雅黑" w:eastAsia="仿宋_GB2312" w:cs="仿宋_GB2312"/>
          <w:i w:val="0"/>
          <w:iCs w:val="0"/>
          <w:caps w:val="0"/>
          <w:color w:val="000000"/>
          <w:spacing w:val="0"/>
          <w:sz w:val="32"/>
          <w:szCs w:val="32"/>
          <w:shd w:val="clear" w:fill="FFFFFF"/>
        </w:rPr>
        <w:t>共有车辆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辆，其中：部级领导干部用车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辆、一般公务用车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辆、一般执法执勤用车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辆、特种专业技术用车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辆，其他用车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w:t>
      </w:r>
    </w:p>
    <w:p w14:paraId="211B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单位价值50万元以上有通用设备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台（套），单位价值100万元以上专业设备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 </w:t>
      </w:r>
    </w:p>
    <w:p w14:paraId="1FB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2025年年初预算购置车辆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台，金额</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根据预算绩效管理要求，2025年应编制单位整体绩效目标共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25</w:t>
      </w:r>
      <w:r>
        <w:rPr>
          <w:rFonts w:hint="eastAsia" w:ascii="仿宋_GB2312" w:hAnsi="微软雅黑" w:eastAsia="仿宋_GB2312" w:cs="仿宋_GB2312"/>
          <w:i w:val="0"/>
          <w:iCs w:val="0"/>
          <w:caps w:val="0"/>
          <w:color w:val="000000"/>
          <w:spacing w:val="0"/>
          <w:sz w:val="32"/>
          <w:szCs w:val="32"/>
          <w:shd w:val="clear" w:fill="FFFFFF"/>
        </w:rPr>
        <w:t>个，实际编制部门（单位）整体绩效目标共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25</w:t>
      </w:r>
      <w:r>
        <w:rPr>
          <w:rFonts w:hint="eastAsia" w:ascii="仿宋_GB2312" w:hAnsi="微软雅黑" w:eastAsia="仿宋_GB2312" w:cs="仿宋_GB2312"/>
          <w:i w:val="0"/>
          <w:iCs w:val="0"/>
          <w:caps w:val="0"/>
          <w:color w:val="000000"/>
          <w:spacing w:val="0"/>
          <w:sz w:val="32"/>
          <w:szCs w:val="32"/>
          <w:shd w:val="clear" w:fill="FFFFFF"/>
        </w:rPr>
        <w:t>个，编制覆盖率（实际编制部门（单位）整体绩效目标/应编制部门（单位）整体绩效目标为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2"/>
          <w:szCs w:val="32"/>
          <w:shd w:val="clear" w:fill="FFFFFF"/>
        </w:rPr>
        <w:t>%。</w:t>
      </w:r>
    </w:p>
    <w:p w14:paraId="11502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2025年应编制项目绩效目标（包括特定目标类和其他运转类）</w:t>
      </w:r>
      <w:r>
        <w:rPr>
          <w:rFonts w:hint="eastAsia" w:ascii="仿宋_GB2312" w:hAnsi="微软雅黑" w:eastAsia="仿宋_GB2312" w:cs="仿宋_GB2312"/>
          <w:i w:val="0"/>
          <w:iCs w:val="0"/>
          <w:caps w:val="0"/>
          <w:color w:val="000000"/>
          <w:spacing w:val="0"/>
          <w:sz w:val="32"/>
          <w:szCs w:val="32"/>
          <w:shd w:val="clear" w:fill="FFFFFF"/>
          <w:lang w:val="en-US" w:eastAsia="zh-CN"/>
        </w:rPr>
        <w:t>9</w:t>
      </w:r>
      <w:r>
        <w:rPr>
          <w:rFonts w:hint="eastAsia" w:ascii="仿宋_GB2312" w:hAnsi="微软雅黑" w:eastAsia="仿宋_GB2312" w:cs="仿宋_GB2312"/>
          <w:i w:val="0"/>
          <w:iCs w:val="0"/>
          <w:caps w:val="0"/>
          <w:color w:val="000000"/>
          <w:spacing w:val="0"/>
          <w:sz w:val="31"/>
          <w:szCs w:val="31"/>
          <w:shd w:val="clear" w:fill="FFFFFF"/>
        </w:rPr>
        <w:t>个，实际编制项目绩效目标</w:t>
      </w:r>
      <w:r>
        <w:rPr>
          <w:rFonts w:hint="eastAsia" w:ascii="仿宋_GB2312" w:hAnsi="微软雅黑" w:eastAsia="仿宋_GB2312" w:cs="仿宋_GB2312"/>
          <w:i w:val="0"/>
          <w:iCs w:val="0"/>
          <w:caps w:val="0"/>
          <w:color w:val="000000"/>
          <w:spacing w:val="0"/>
          <w:sz w:val="32"/>
          <w:szCs w:val="32"/>
          <w:shd w:val="clear" w:fill="FFFFFF"/>
          <w:lang w:val="en-US" w:eastAsia="zh-CN"/>
        </w:rPr>
        <w:t>9</w:t>
      </w:r>
      <w:r>
        <w:rPr>
          <w:rFonts w:hint="eastAsia" w:ascii="仿宋_GB2312" w:hAnsi="微软雅黑" w:eastAsia="仿宋_GB2312" w:cs="仿宋_GB2312"/>
          <w:i w:val="0"/>
          <w:iCs w:val="0"/>
          <w:caps w:val="0"/>
          <w:color w:val="000000"/>
          <w:spacing w:val="0"/>
          <w:sz w:val="31"/>
          <w:szCs w:val="31"/>
          <w:shd w:val="clear" w:fill="FFFFFF"/>
        </w:rPr>
        <w:t>个，涉及资金</w:t>
      </w:r>
      <w:r>
        <w:rPr>
          <w:rFonts w:hint="eastAsia" w:ascii="仿宋_GB2312" w:hAnsi="微软雅黑" w:eastAsia="仿宋_GB2312" w:cs="仿宋_GB2312"/>
          <w:i w:val="0"/>
          <w:iCs w:val="0"/>
          <w:caps w:val="0"/>
          <w:color w:val="000000"/>
          <w:spacing w:val="0"/>
          <w:sz w:val="31"/>
          <w:szCs w:val="31"/>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万元，编制项目绩效目标的项目覆盖率（实际编制绩效目标的数量/应编制绩效目标的数量）为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1"/>
          <w:szCs w:val="31"/>
          <w:shd w:val="clear" w:fill="FFFFFF"/>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（六）预算公开表数据中没有数据的情况说明 </w:t>
      </w:r>
    </w:p>
    <w:p w14:paraId="3172C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预算中无政府性基金预算拨款支出，项目支出中无特定目标类项目，无债务支出预算，无政府采购预算，无购买服务预算，因此“政府性基金预算支出表”、“部门预算项目（政策）绩效目标表”、“债务支出预算表”、“政府采购支出预算表”、“政府购买服务支出预算表”</w:t>
      </w:r>
      <w:r>
        <w:rPr>
          <w:rFonts w:hint="eastAsia" w:ascii="仿宋_GB2312" w:hAnsi="微软雅黑" w:eastAsia="仿宋_GB2312"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张表中没有数据。</w:t>
      </w: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i w:val="0"/>
          <w:iCs w:val="0"/>
          <w:caps w:val="0"/>
          <w:color w:val="000000"/>
          <w:spacing w:val="0"/>
          <w:sz w:val="31"/>
          <w:szCs w:val="31"/>
          <w:shd w:val="clear" w:fill="FFFFFF"/>
        </w:rPr>
        <w:t>住宿费、伙食费</w:t>
      </w:r>
      <w:r>
        <w:rPr>
          <w:rFonts w:hint="eastAsia" w:ascii="仿宋_GB2312" w:hAnsi="微软雅黑" w:eastAsia="仿宋_GB2312" w:cs="仿宋_GB2312"/>
          <w:i w:val="0"/>
          <w:iCs w:val="0"/>
          <w:caps w:val="0"/>
          <w:color w:val="000000"/>
          <w:spacing w:val="0"/>
          <w:sz w:val="32"/>
          <w:szCs w:val="32"/>
          <w:shd w:val="clear"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19.住房保障（类）住房改革（款）购房补贴（项）：反映按房改政策规定，行政事业单位向符合条件职工（含离退休人员）、军队（含武警）向转役复员离退休人员发放的用于购买住房的补贴。</w:t>
      </w:r>
    </w:p>
    <w:p w14:paraId="48990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w:t>
      </w:r>
    </w:p>
    <w:p w14:paraId="38B1D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1942"/>
    <w:rsid w:val="25E22D30"/>
    <w:rsid w:val="2AEE4FC3"/>
    <w:rsid w:val="44492AFD"/>
    <w:rsid w:val="47F52924"/>
    <w:rsid w:val="4D952D2E"/>
    <w:rsid w:val="50BD3C5A"/>
    <w:rsid w:val="586C6306"/>
    <w:rsid w:val="60B27518"/>
    <w:rsid w:val="687A2716"/>
    <w:rsid w:val="69790883"/>
    <w:rsid w:val="6D565F2F"/>
    <w:rsid w:val="71FE06FB"/>
    <w:rsid w:val="757A1C0A"/>
    <w:rsid w:val="77A25449"/>
    <w:rsid w:val="7AA9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6999</Words>
  <Characters>7231</Characters>
  <Lines>0</Lines>
  <Paragraphs>0</Paragraphs>
  <TotalTime>12</TotalTime>
  <ScaleCrop>false</ScaleCrop>
  <LinksUpToDate>false</LinksUpToDate>
  <CharactersWithSpaces>7478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于延博</cp:lastModifiedBy>
  <dcterms:modified xsi:type="dcterms:W3CDTF">2025-01-16T08:17:59Z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eyJoZGlkIjoiNGZhNjA5NjJiNzEyYjBhODgxZWE3NWQxZDQxYTgyMjEiLCJ1c2VySWQiOiIxMDU1OTMyMDU4In0=</vt:lpwstr>
  </property>
  <property fmtid="{D5CDD505-2E9C-101B-9397-08002B2CF9AE}" pid="4" name="ICV">
    <vt:lpwstr>F9715AF6072D4578893C7BA9CCD21203_13</vt:lpwstr>
  </property>
</Properties>
</file>