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54924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7BB94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5A2902C3">
      <w:pPr>
        <w:widowControl/>
        <w:spacing w:before="100" w:beforeAutospacing="1" w:after="100" w:afterAutospacing="1"/>
        <w:jc w:val="center"/>
        <w:rPr>
          <w:rFonts w:hint="eastAsia"/>
          <w:b/>
          <w:sz w:val="36"/>
          <w:szCs w:val="36"/>
          <w:lang w:eastAsia="zh-CN"/>
        </w:rPr>
      </w:pPr>
    </w:p>
    <w:p w14:paraId="0DA1D3DB">
      <w:pPr>
        <w:widowControl/>
        <w:spacing w:before="100" w:beforeAutospacing="1" w:after="100" w:afterAutospacing="1"/>
        <w:jc w:val="center"/>
        <w:rPr>
          <w:rFonts w:hint="eastAsia"/>
          <w:b/>
          <w:sz w:val="36"/>
          <w:szCs w:val="36"/>
          <w:lang w:eastAsia="zh-CN"/>
        </w:rPr>
      </w:pPr>
    </w:p>
    <w:p w14:paraId="2A1766E5">
      <w:pPr>
        <w:widowControl/>
        <w:spacing w:before="100" w:beforeAutospacing="1" w:after="100" w:afterAutospacing="1"/>
        <w:jc w:val="center"/>
        <w:rPr>
          <w:rFonts w:hint="eastAsia" w:ascii="宋体" w:hAnsi="宋体" w:eastAsia="宋体" w:cs="宋体"/>
          <w:b/>
          <w:bCs/>
          <w:i w:val="0"/>
          <w:iCs w:val="0"/>
          <w:caps w:val="0"/>
          <w:color w:val="000000"/>
          <w:spacing w:val="0"/>
          <w:sz w:val="44"/>
          <w:szCs w:val="44"/>
          <w:shd w:val="clear" w:fill="FFFFFF"/>
        </w:rPr>
      </w:pPr>
      <w:r>
        <w:rPr>
          <w:rFonts w:hint="eastAsia"/>
          <w:b/>
          <w:sz w:val="36"/>
          <w:szCs w:val="36"/>
          <w:lang w:eastAsia="zh-CN"/>
        </w:rPr>
        <w:t>中共鞍山市千山区委宣传部</w:t>
      </w:r>
      <w:r>
        <w:rPr>
          <w:b/>
          <w:sz w:val="36"/>
          <w:szCs w:val="36"/>
        </w:rPr>
        <w:t xml:space="preserve"> </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3C407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073B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1F25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13582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428C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8C2633A">
      <w:pPr>
        <w:widowControl/>
        <w:spacing w:before="100" w:beforeAutospacing="1" w:after="100" w:afterAutospacing="1"/>
        <w:jc w:val="center"/>
        <w:rPr>
          <w:rFonts w:hint="eastAsia"/>
          <w:b/>
          <w:sz w:val="36"/>
          <w:szCs w:val="36"/>
          <w:lang w:eastAsia="zh-CN"/>
        </w:rPr>
      </w:pPr>
    </w:p>
    <w:p w14:paraId="7FC0EF4A">
      <w:pPr>
        <w:widowControl/>
        <w:spacing w:before="100" w:beforeAutospacing="1" w:after="100" w:afterAutospacing="1"/>
        <w:jc w:val="center"/>
        <w:rPr>
          <w:rFonts w:hint="eastAsia"/>
          <w:b/>
          <w:sz w:val="36"/>
          <w:szCs w:val="36"/>
          <w:lang w:eastAsia="zh-CN"/>
        </w:rPr>
      </w:pPr>
    </w:p>
    <w:p w14:paraId="241D2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6A46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AAFE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4278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566E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09F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22090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楷体" w:hAnsi="楷体" w:eastAsia="楷体" w:cs="楷体"/>
          <w:b/>
          <w:bCs/>
          <w:i w:val="0"/>
          <w:iCs w:val="0"/>
          <w:caps w:val="0"/>
          <w:color w:val="000000"/>
          <w:spacing w:val="0"/>
          <w:sz w:val="32"/>
          <w:szCs w:val="32"/>
          <w:shd w:val="clear" w:fill="FFFFFF"/>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240C356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贯彻落实中央、省委、市委关于宣传思想文化工作重大方针政策和事业发展总体规划，拟定千山区宣传思想文化工作发展规划，按照区委统一部署，协调宣传思想文化系统各部门之间的工作。</w:t>
      </w:r>
    </w:p>
    <w:p w14:paraId="4574D96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贯彻落实中央、省委和市委关于意识形态工作决策部署及区委具体要求，组织协调意识形态工作责任制落实和日常监督检查,结合巡察工作开展专项检查。</w:t>
      </w:r>
    </w:p>
    <w:p w14:paraId="3AD5D3C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统筹指导协调全区理论研究、理论学习、理论宣传工作，组织推动理论武装工作。</w:t>
      </w:r>
    </w:p>
    <w:p w14:paraId="2713693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负责规划组织全区思想政治工作，配合区委组织部做好党员教育工作。</w:t>
      </w:r>
    </w:p>
    <w:p w14:paraId="3E1A02B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分析研判和引导社会舆论，联络沟通协调各新闻媒体工作，组织全区突发公共事件应急新闻工作。</w:t>
      </w:r>
    </w:p>
    <w:p w14:paraId="22010CF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贯彻落实国家新闻出版业管理政策和法律法规，管理新闻出版行政事务，组织协调有关行政审批工作，统筹规划和指导协调新闻出版事业、产业发展，监督管理出版物内容和质量，监督管理印刷业，管理著作权，管理出版物进出口，组织指导协调全区“扫黄打非”工作。</w:t>
      </w:r>
    </w:p>
    <w:p w14:paraId="6630B84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统筹指导协调文化体制改革和文化事业、文化产业及旅游业发展。</w:t>
      </w:r>
    </w:p>
    <w:p w14:paraId="083C57F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统筹指导舆情信息工作，组织协调开展区内外舆情信息收集分析研判工作，跟踪了解、研究掌握宣传舆情动态。</w:t>
      </w:r>
    </w:p>
    <w:p w14:paraId="7BC2187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拟定全区基层宣传思想文化工作规划并组织实施，指导督查基层宣传思想文化工作，指导加强基层宣传思想文化队伍建设。</w:t>
      </w:r>
    </w:p>
    <w:p w14:paraId="018F597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统筹协调对外宣传工作，研究拟定千山区对外宣传</w:t>
      </w:r>
    </w:p>
    <w:p w14:paraId="58E223A8">
      <w:pPr>
        <w:ind w:firstLine="640" w:firstLineChars="200"/>
        <w:rPr>
          <w:rFonts w:hint="eastAsia" w:ascii="仿宋" w:hAnsi="仿宋" w:eastAsia="仿宋" w:cs="仿宋"/>
          <w:sz w:val="32"/>
          <w:szCs w:val="32"/>
        </w:rPr>
      </w:pPr>
      <w:r>
        <w:rPr>
          <w:rFonts w:hint="eastAsia" w:ascii="仿宋" w:hAnsi="仿宋" w:eastAsia="仿宋" w:cs="仿宋"/>
          <w:sz w:val="32"/>
          <w:szCs w:val="32"/>
        </w:rPr>
        <w:t>工作规划和对外宣传事业发展规划，加强国际传播能力建设，指导对外文化交流工作，协调推动千山区文化走出去工作。</w:t>
      </w:r>
    </w:p>
    <w:p w14:paraId="131B43D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从宏观上统筹指导协调推动精神文化产品的创作和生产，协调组织全区中华优秀传统文化传承发展有关工作，指导协调推动群众文化建设。</w:t>
      </w:r>
    </w:p>
    <w:p w14:paraId="7C5CD4D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负责管理电影行政事务，指导监管放映工作，指导协调全区性重大电影活动。</w:t>
      </w:r>
    </w:p>
    <w:p w14:paraId="79FB6CA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统筹协调组织开展新闻发布工作，承担区委新闻发布有关组织协调工作，负责区政府新闻发布组织实施工作，推动新闻发言人制度建设。拟定全区重大问题对外宣传口径。</w:t>
      </w:r>
    </w:p>
    <w:p w14:paraId="686BD04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负责落实中央、省、市精神文明建设指导委员会工作部署和区具体要求，拟定全区精神文明建设工作规划并组织实施，承担区精神文明建设指导委员会日常工作。</w:t>
      </w:r>
    </w:p>
    <w:p w14:paraId="61AB7CE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负责组织实施重大主题宣讲，对全区党员干部群众进行经常性的形势政策教育工作。</w:t>
      </w:r>
    </w:p>
    <w:p w14:paraId="0ADA6D5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贯彻落实中央和省市委关于网络安全和信息化工作的决策部署，负责处理区委网络安全和信息化委员会（以下简称网信委）日常事务工作，协调督促有关方面落实网信委决定事项、工作部署和要求，向网信委提出工作建议。</w:t>
      </w:r>
    </w:p>
    <w:p w14:paraId="6325A53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督促落实涉及全区政治、经济、文化、社会及军事等各领域网络安全和信息化重大事项，负责协调处理全区网络安全和信息化重大突发事件与有关应急工作。</w:t>
      </w:r>
    </w:p>
    <w:p w14:paraId="33CD26B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负责全区互联网信息内容管理，统筹协调组织互联网宣传管理和舆论引导工作，维护互联网意识形态安全，负责互联网信息内容监督管理，组织开展网络舆论生态治理，处置和封堵属地网上有害信息，依照相关法律和规定查处属地有关违法违规行为和网站。</w:t>
      </w:r>
    </w:p>
    <w:p w14:paraId="3F7F4A0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负责指导协调网络舆情信息工作，组织开展涉区网络舆情信息收集分析研判工作，跟踪了解和掌握网络舆情动态，负责处置网上涉区负面敏感舆情。</w:t>
      </w:r>
    </w:p>
    <w:p w14:paraId="3E7E9F1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按干部管理权限，协同区委组织部管理区直宣传文化系统领导干部，对各镇（街）宣传委员的任免提出意见，负责组织开展宣传思想文化系统干部教育培训和人才工作。 </w:t>
      </w:r>
    </w:p>
    <w:p w14:paraId="1F67CC0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组织开展全民国防教育和政治动员工作，负责制订并组织实施政治动员和国防教育规划、计划，组织开展政治动员潜力调查，编制政治动员预案，组织战时政治动员，组织开展国防教育和政治动员力量建设等，负责制订并组织实施全区国防教育规划，负责征兵和战时动员宣传教育工作。</w:t>
      </w:r>
    </w:p>
    <w:p w14:paraId="436ADB1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完成区委、区文明委及区委网信办交办的其他任务</w:t>
      </w:r>
      <w:r>
        <w:rPr>
          <w:rFonts w:hint="eastAsia" w:ascii="仿宋_GB2312" w:hAnsi="仿宋_GB2312" w:eastAsia="仿宋_GB2312" w:cs="仿宋_GB2312"/>
          <w:sz w:val="32"/>
          <w:szCs w:val="32"/>
        </w:rPr>
        <w:t>。</w:t>
      </w:r>
    </w:p>
    <w:p w14:paraId="36D52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微软雅黑" w:eastAsia="仿宋_GB2312" w:cs="仿宋_GB2312"/>
          <w:b/>
          <w:bCs/>
          <w:i w:val="0"/>
          <w:iCs w:val="0"/>
          <w:caps w:val="0"/>
          <w:color w:val="000000"/>
          <w:spacing w:val="0"/>
          <w:sz w:val="32"/>
          <w:szCs w:val="32"/>
          <w:shd w:val="clear" w:fill="FFFFFF"/>
        </w:rPr>
      </w:pP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62632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宣传部</w:t>
      </w:r>
      <w:r>
        <w:rPr>
          <w:rFonts w:hint="eastAsia" w:ascii="仿宋_GB2312" w:hAnsi="微软雅黑" w:eastAsia="仿宋_GB2312" w:cs="仿宋_GB2312"/>
          <w:i w:val="0"/>
          <w:iCs w:val="0"/>
          <w:caps w:val="0"/>
          <w:color w:val="000000"/>
          <w:spacing w:val="0"/>
          <w:sz w:val="32"/>
          <w:szCs w:val="32"/>
          <w:shd w:val="clear" w:fill="FFFFFF"/>
        </w:rPr>
        <w:t>2025年度部门预算包括</w:t>
      </w:r>
      <w:r>
        <w:rPr>
          <w:rFonts w:hint="eastAsia" w:ascii="仿宋_GB2312" w:hAnsi="微软雅黑" w:eastAsia="仿宋_GB2312" w:cs="仿宋_GB2312"/>
          <w:b w:val="0"/>
          <w:bCs w:val="0"/>
          <w:i w:val="0"/>
          <w:iCs w:val="0"/>
          <w:caps w:val="0"/>
          <w:color w:val="000000"/>
          <w:spacing w:val="0"/>
          <w:sz w:val="32"/>
          <w:szCs w:val="32"/>
          <w:shd w:val="clear" w:fill="FFFFFF"/>
          <w:lang w:eastAsia="zh-CN"/>
        </w:rPr>
        <w:t>宣传部</w:t>
      </w:r>
      <w:r>
        <w:rPr>
          <w:rFonts w:hint="eastAsia" w:ascii="仿宋_GB2312" w:hAnsi="微软雅黑" w:eastAsia="仿宋_GB2312" w:cs="仿宋_GB2312"/>
          <w:b w:val="0"/>
          <w:bCs w:val="0"/>
          <w:i w:val="0"/>
          <w:iCs w:val="0"/>
          <w:caps w:val="0"/>
          <w:color w:val="000000"/>
          <w:spacing w:val="0"/>
          <w:sz w:val="32"/>
          <w:szCs w:val="32"/>
          <w:shd w:val="clear" w:fill="FFFFFF"/>
        </w:rPr>
        <w:t>本级预算和所属单位</w:t>
      </w:r>
      <w:r>
        <w:rPr>
          <w:rFonts w:hint="eastAsia" w:ascii="仿宋_GB2312" w:hAnsi="微软雅黑" w:eastAsia="仿宋_GB2312" w:cs="仿宋_GB2312"/>
          <w:i w:val="0"/>
          <w:iCs w:val="0"/>
          <w:caps w:val="0"/>
          <w:color w:val="000000"/>
          <w:spacing w:val="0"/>
          <w:sz w:val="32"/>
          <w:szCs w:val="32"/>
          <w:shd w:val="clear" w:fill="FFFFFF"/>
        </w:rPr>
        <w:t>预算。</w:t>
      </w:r>
    </w:p>
    <w:p w14:paraId="71E2B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纳入</w:t>
      </w:r>
      <w:r>
        <w:rPr>
          <w:rFonts w:hint="eastAsia" w:ascii="仿宋_GB2312" w:hAnsi="微软雅黑" w:eastAsia="仿宋_GB2312" w:cs="仿宋_GB2312"/>
          <w:b w:val="0"/>
          <w:bCs w:val="0"/>
          <w:i w:val="0"/>
          <w:iCs w:val="0"/>
          <w:caps w:val="0"/>
          <w:color w:val="000000"/>
          <w:spacing w:val="0"/>
          <w:sz w:val="32"/>
          <w:szCs w:val="32"/>
          <w:shd w:val="clear" w:fill="FFFFFF"/>
          <w:lang w:eastAsia="zh-CN"/>
        </w:rPr>
        <w:t>宣传部</w:t>
      </w:r>
      <w:r>
        <w:rPr>
          <w:rFonts w:hint="eastAsia" w:ascii="仿宋_GB2312" w:hAnsi="微软雅黑" w:eastAsia="仿宋_GB2312" w:cs="仿宋_GB2312"/>
          <w:i w:val="0"/>
          <w:iCs w:val="0"/>
          <w:caps w:val="0"/>
          <w:color w:val="000000"/>
          <w:spacing w:val="0"/>
          <w:sz w:val="32"/>
          <w:szCs w:val="32"/>
          <w:shd w:val="clear" w:fill="FFFFFF"/>
        </w:rPr>
        <w:t>2025年度部门预算编制范围的二级预算单位包括： </w:t>
      </w:r>
    </w:p>
    <w:p w14:paraId="6CB07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w:t>
      </w:r>
      <w:r>
        <w:rPr>
          <w:rFonts w:hint="eastAsia" w:ascii="仿宋_GB2312" w:hAnsi="微软雅黑" w:eastAsia="仿宋_GB2312" w:cs="仿宋_GB2312"/>
          <w:i w:val="0"/>
          <w:iCs w:val="0"/>
          <w:caps w:val="0"/>
          <w:color w:val="000000"/>
          <w:spacing w:val="0"/>
          <w:sz w:val="32"/>
          <w:szCs w:val="32"/>
          <w:shd w:val="clear" w:fill="FFFFFF"/>
          <w:lang w:eastAsia="zh-CN"/>
        </w:rPr>
        <w:t>中共鞍山市千山区委员会宣传部</w:t>
      </w:r>
      <w:r>
        <w:rPr>
          <w:rFonts w:hint="eastAsia" w:ascii="仿宋_GB2312" w:hAnsi="微软雅黑" w:eastAsia="仿宋_GB2312" w:cs="仿宋_GB2312"/>
          <w:b w:val="0"/>
          <w:bCs w:val="0"/>
          <w:i w:val="0"/>
          <w:iCs w:val="0"/>
          <w:caps w:val="0"/>
          <w:color w:val="000000"/>
          <w:spacing w:val="0"/>
          <w:sz w:val="32"/>
          <w:szCs w:val="32"/>
          <w:shd w:val="clear" w:fill="FFFFFF"/>
        </w:rPr>
        <w:t>本级</w:t>
      </w:r>
    </w:p>
    <w:p w14:paraId="53054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lang w:eastAsia="zh-CN"/>
        </w:rPr>
        <w:t>鞍山市千山区互联网舆情监测中心</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w:t>
      </w:r>
      <w:r>
        <w:rPr>
          <w:rFonts w:hint="eastAsia" w:ascii="仿宋_GB2312" w:hAnsi="微软雅黑" w:eastAsia="仿宋_GB2312" w:cs="仿宋_GB2312"/>
          <w:i w:val="0"/>
          <w:iCs w:val="0"/>
          <w:caps w:val="0"/>
          <w:color w:val="000000"/>
          <w:spacing w:val="0"/>
          <w:sz w:val="32"/>
          <w:szCs w:val="32"/>
          <w:shd w:val="clear" w:fill="FFFFFF"/>
          <w:lang w:eastAsia="zh-CN"/>
        </w:rPr>
        <w:t>宣传</w:t>
      </w:r>
      <w:r>
        <w:rPr>
          <w:rFonts w:hint="eastAsia" w:ascii="仿宋_GB2312" w:hAnsi="微软雅黑" w:eastAsia="仿宋_GB2312" w:cs="仿宋_GB2312"/>
          <w:i w:val="0"/>
          <w:iCs w:val="0"/>
          <w:caps w:val="0"/>
          <w:color w:val="000000"/>
          <w:spacing w:val="0"/>
          <w:sz w:val="32"/>
          <w:szCs w:val="32"/>
          <w:shd w:val="clear" w:fill="FFFFFF"/>
        </w:rPr>
        <w:t>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宣传</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235.53</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257.3</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436.94</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25.07</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18.38</w:t>
      </w:r>
      <w:r>
        <w:rPr>
          <w:rFonts w:hint="eastAsia" w:ascii="仿宋_GB2312" w:hAnsi="微软雅黑" w:eastAsia="仿宋_GB2312" w:cs="仿宋_GB2312"/>
          <w:i w:val="0"/>
          <w:iCs w:val="0"/>
          <w:caps w:val="0"/>
          <w:color w:val="000000"/>
          <w:spacing w:val="0"/>
          <w:sz w:val="32"/>
          <w:szCs w:val="32"/>
          <w:shd w:val="clear" w:fill="FFFFFF"/>
        </w:rPr>
        <w:t>万元，  …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宣传</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33.33</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6.3</w:t>
      </w:r>
      <w:r>
        <w:rPr>
          <w:rFonts w:hint="eastAsia" w:ascii="仿宋_GB2312" w:hAnsi="微软雅黑" w:eastAsia="仿宋_GB2312" w:cs="仿宋_GB2312"/>
          <w:i w:val="0"/>
          <w:iCs w:val="0"/>
          <w:caps w:val="0"/>
          <w:color w:val="000000"/>
          <w:spacing w:val="0"/>
          <w:sz w:val="32"/>
          <w:szCs w:val="32"/>
          <w:shd w:val="clear" w:fill="FFFFFF"/>
        </w:rPr>
        <w:t>%，减少的主要原因（按实际情况说明增减原因，以下原因仅供参考）：一是继续贯彻落实中央八项规定和党政机关厉行节约有关要求，坚持精打细算、厉行节约，压减一般性支出；二是非急需、非刚性支出不予安排；三是“三公”经费预算比上年只减不增。</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宣传</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436.94</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25.07</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18.38</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214.02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17.21</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4.3</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257.3</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宣传</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492.83</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33.33</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6.3</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w:t>
      </w:r>
      <w:r>
        <w:rPr>
          <w:rFonts w:hint="eastAsia" w:ascii="仿宋_GB2312" w:hAnsi="微软雅黑" w:eastAsia="仿宋_GB2312" w:cs="仿宋_GB2312"/>
          <w:i w:val="0"/>
          <w:iCs w:val="0"/>
          <w:caps w:val="0"/>
          <w:color w:val="000000"/>
          <w:spacing w:val="0"/>
          <w:sz w:val="32"/>
          <w:szCs w:val="32"/>
          <w:shd w:val="clear" w:fill="FFFFFF"/>
          <w:lang w:eastAsia="zh-CN"/>
        </w:rPr>
        <w:t>压缩支出</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宣传</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235.53</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214.02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17.21</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4.3</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227.13</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8.4</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17.21</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2.73</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17</w:t>
      </w:r>
      <w:r>
        <w:rPr>
          <w:rFonts w:hint="eastAsia" w:ascii="仿宋_GB2312" w:hAnsi="微软雅黑" w:eastAsia="仿宋_GB2312" w:cs="仿宋_GB2312"/>
          <w:i w:val="0"/>
          <w:iCs w:val="0"/>
          <w:caps w:val="0"/>
          <w:color w:val="000000"/>
          <w:spacing w:val="0"/>
          <w:sz w:val="32"/>
          <w:szCs w:val="32"/>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宣传部</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25E22D30"/>
    <w:rsid w:val="268E4CE1"/>
    <w:rsid w:val="3DD94B7E"/>
    <w:rsid w:val="44492AFD"/>
    <w:rsid w:val="4D952D2E"/>
    <w:rsid w:val="586C6306"/>
    <w:rsid w:val="5F0D0A00"/>
    <w:rsid w:val="60B27518"/>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7037</Words>
  <Characters>7314</Characters>
  <Lines>0</Lines>
  <Paragraphs>0</Paragraphs>
  <TotalTime>0</TotalTime>
  <ScaleCrop>false</ScaleCrop>
  <LinksUpToDate>false</LinksUpToDate>
  <CharactersWithSpaces>7565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2025-01-17T07:52:51Z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8E1B993953C2426093B123E9C365AFEF_13</vt:lpwstr>
  </property>
</Properties>
</file>