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29D42">
      <w:pPr>
        <w:widowControl/>
        <w:spacing w:before="100" w:beforeAutospacing="1" w:after="100" w:afterAutospacing="1"/>
        <w:jc w:val="center"/>
        <w:rPr>
          <w:rFonts w:ascii="宋体" w:hAnsi="宋体"/>
          <w:b/>
          <w:sz w:val="44"/>
          <w:szCs w:val="44"/>
        </w:rPr>
      </w:pPr>
    </w:p>
    <w:p w14:paraId="05C7D98D">
      <w:pPr>
        <w:widowControl/>
        <w:spacing w:before="100" w:beforeAutospacing="1" w:after="100" w:afterAutospacing="1"/>
        <w:jc w:val="center"/>
        <w:rPr>
          <w:rFonts w:hint="eastAsia" w:ascii="宋体" w:hAnsi="宋体"/>
          <w:b/>
          <w:sz w:val="44"/>
          <w:szCs w:val="44"/>
        </w:rPr>
      </w:pPr>
    </w:p>
    <w:p w14:paraId="7EF7BC28">
      <w:pPr>
        <w:widowControl/>
        <w:spacing w:before="100" w:beforeAutospacing="1" w:after="100" w:afterAutospacing="1"/>
        <w:jc w:val="center"/>
        <w:rPr>
          <w:rFonts w:hint="eastAsia" w:ascii="宋体" w:hAnsi="宋体"/>
          <w:b/>
          <w:sz w:val="44"/>
          <w:szCs w:val="44"/>
        </w:rPr>
      </w:pPr>
    </w:p>
    <w:p w14:paraId="00FA5467">
      <w:pPr>
        <w:widowControl/>
        <w:spacing w:before="100" w:beforeAutospacing="1" w:after="100" w:afterAutospacing="1"/>
        <w:jc w:val="center"/>
        <w:rPr>
          <w:rFonts w:hint="eastAsia" w:ascii="宋体" w:hAnsi="宋体"/>
          <w:b/>
          <w:sz w:val="44"/>
          <w:szCs w:val="44"/>
        </w:rPr>
      </w:pPr>
    </w:p>
    <w:p w14:paraId="1E84AF4A">
      <w:pPr>
        <w:widowControl/>
        <w:spacing w:before="100" w:beforeAutospacing="1" w:after="100" w:afterAutospacing="1"/>
        <w:jc w:val="center"/>
        <w:rPr>
          <w:rFonts w:hint="eastAsia" w:ascii="宋体" w:hAnsi="宋体"/>
          <w:b/>
          <w:sz w:val="44"/>
          <w:szCs w:val="44"/>
        </w:rPr>
      </w:pPr>
    </w:p>
    <w:p w14:paraId="63456261">
      <w:pPr>
        <w:widowControl/>
        <w:spacing w:before="100" w:beforeAutospacing="1" w:after="100" w:afterAutospacing="1"/>
        <w:jc w:val="center"/>
        <w:rPr>
          <w:rFonts w:ascii="宋体" w:hAnsi="宋体"/>
          <w:b/>
          <w:sz w:val="44"/>
          <w:szCs w:val="44"/>
        </w:rPr>
      </w:pPr>
    </w:p>
    <w:p w14:paraId="5EF1B144">
      <w:pPr>
        <w:widowControl/>
        <w:spacing w:before="100" w:beforeAutospacing="1" w:after="100" w:afterAutospacing="1"/>
        <w:jc w:val="center"/>
        <w:rPr>
          <w:rFonts w:ascii="宋体" w:hAnsi="宋体"/>
          <w:b/>
          <w:sz w:val="44"/>
          <w:szCs w:val="44"/>
        </w:rPr>
      </w:pPr>
      <w:r>
        <w:rPr>
          <w:rFonts w:hint="eastAsia" w:ascii="宋体" w:hAnsi="宋体"/>
          <w:b/>
          <w:sz w:val="44"/>
          <w:szCs w:val="44"/>
        </w:rPr>
        <w:t>中共鞍山市千山区委员会统一战线工作部</w:t>
      </w:r>
    </w:p>
    <w:p w14:paraId="792A5CA2">
      <w:pPr>
        <w:widowControl/>
        <w:spacing w:before="100" w:beforeAutospacing="1" w:after="100" w:afterAutospacing="1"/>
        <w:jc w:val="center"/>
        <w:rPr>
          <w:rFonts w:ascii="黑体" w:hAnsi="黑体" w:eastAsia="宋体" w:cs="宋体"/>
          <w:b/>
          <w:bCs/>
          <w:kern w:val="0"/>
          <w:sz w:val="32"/>
          <w:szCs w:val="32"/>
        </w:rPr>
      </w:pPr>
      <w:r>
        <w:rPr>
          <w:rFonts w:ascii="宋体" w:hAnsi="宋体"/>
          <w:b/>
          <w:sz w:val="44"/>
          <w:szCs w:val="44"/>
        </w:rPr>
        <w:t>20</w:t>
      </w:r>
      <w:r>
        <w:rPr>
          <w:rFonts w:hint="eastAsia" w:ascii="宋体" w:hAnsi="宋体"/>
          <w:b/>
          <w:sz w:val="44"/>
          <w:szCs w:val="44"/>
        </w:rPr>
        <w:t>25</w:t>
      </w:r>
      <w:r>
        <w:rPr>
          <w:rFonts w:ascii="宋体" w:hAnsi="宋体"/>
          <w:b/>
          <w:sz w:val="44"/>
          <w:szCs w:val="44"/>
        </w:rPr>
        <w:t>年</w:t>
      </w:r>
      <w:r>
        <w:rPr>
          <w:rFonts w:hint="eastAsia" w:ascii="宋体" w:hAnsi="宋体"/>
          <w:b/>
          <w:sz w:val="44"/>
          <w:szCs w:val="44"/>
        </w:rPr>
        <w:t>度单位</w:t>
      </w:r>
      <w:r>
        <w:rPr>
          <w:rFonts w:ascii="宋体" w:hAnsi="宋体"/>
          <w:b/>
          <w:sz w:val="44"/>
          <w:szCs w:val="44"/>
        </w:rPr>
        <w:t>预算</w:t>
      </w:r>
      <w:r>
        <w:rPr>
          <w:rFonts w:hint="eastAsia" w:ascii="宋体" w:hAnsi="宋体"/>
          <w:b/>
          <w:sz w:val="44"/>
          <w:szCs w:val="44"/>
        </w:rPr>
        <w:t>公开（部门）</w:t>
      </w:r>
    </w:p>
    <w:p w14:paraId="543BD71A">
      <w:pPr>
        <w:pStyle w:val="4"/>
        <w:widowControl/>
        <w:shd w:val="clear" w:color="auto" w:fill="FFFFFF"/>
        <w:jc w:val="center"/>
        <w:rPr>
          <w:rFonts w:ascii="黑体" w:hAnsi="宋体" w:eastAsia="黑体" w:cs="黑体"/>
          <w:b/>
          <w:bCs/>
          <w:color w:val="000000"/>
          <w:sz w:val="32"/>
          <w:szCs w:val="32"/>
          <w:shd w:val="clear" w:color="auto" w:fill="FFFFFF"/>
        </w:rPr>
      </w:pPr>
    </w:p>
    <w:p w14:paraId="16B7E946">
      <w:pPr>
        <w:pStyle w:val="4"/>
        <w:widowControl/>
        <w:shd w:val="clear" w:color="auto" w:fill="FFFFFF"/>
        <w:jc w:val="center"/>
        <w:rPr>
          <w:rFonts w:ascii="黑体" w:hAnsi="宋体" w:eastAsia="黑体" w:cs="黑体"/>
          <w:b/>
          <w:bCs/>
          <w:color w:val="000000"/>
          <w:sz w:val="32"/>
          <w:szCs w:val="32"/>
          <w:shd w:val="clear" w:color="auto" w:fill="FFFFFF"/>
        </w:rPr>
      </w:pPr>
    </w:p>
    <w:p w14:paraId="287CDA54">
      <w:pPr>
        <w:pStyle w:val="4"/>
        <w:widowControl/>
        <w:shd w:val="clear" w:color="auto" w:fill="FFFFFF"/>
        <w:jc w:val="center"/>
        <w:rPr>
          <w:rFonts w:ascii="黑体" w:hAnsi="宋体" w:eastAsia="黑体" w:cs="黑体"/>
          <w:b/>
          <w:bCs/>
          <w:color w:val="000000"/>
          <w:sz w:val="32"/>
          <w:szCs w:val="32"/>
          <w:shd w:val="clear" w:color="auto" w:fill="FFFFFF"/>
        </w:rPr>
      </w:pPr>
    </w:p>
    <w:p w14:paraId="58D08F52">
      <w:pPr>
        <w:pStyle w:val="4"/>
        <w:widowControl/>
        <w:shd w:val="clear" w:color="auto" w:fill="FFFFFF"/>
        <w:jc w:val="center"/>
        <w:rPr>
          <w:rFonts w:ascii="黑体" w:hAnsi="宋体" w:eastAsia="黑体" w:cs="黑体"/>
          <w:b/>
          <w:bCs/>
          <w:color w:val="000000"/>
          <w:sz w:val="32"/>
          <w:szCs w:val="32"/>
          <w:shd w:val="clear" w:color="auto" w:fill="FFFFFF"/>
        </w:rPr>
      </w:pPr>
    </w:p>
    <w:p w14:paraId="54172F94">
      <w:pPr>
        <w:pStyle w:val="4"/>
        <w:widowControl/>
        <w:shd w:val="clear" w:color="auto" w:fill="FFFFFF"/>
        <w:jc w:val="center"/>
        <w:rPr>
          <w:rFonts w:ascii="黑体" w:hAnsi="宋体" w:eastAsia="黑体" w:cs="黑体"/>
          <w:b/>
          <w:bCs/>
          <w:color w:val="000000"/>
          <w:sz w:val="32"/>
          <w:szCs w:val="32"/>
          <w:shd w:val="clear" w:color="auto" w:fill="FFFFFF"/>
        </w:rPr>
      </w:pPr>
    </w:p>
    <w:p w14:paraId="45446DA1">
      <w:pPr>
        <w:pStyle w:val="4"/>
        <w:widowControl/>
        <w:shd w:val="clear" w:color="auto" w:fill="FFFFFF"/>
        <w:jc w:val="center"/>
        <w:rPr>
          <w:rFonts w:ascii="黑体" w:hAnsi="宋体" w:eastAsia="黑体" w:cs="黑体"/>
          <w:b/>
          <w:bCs/>
          <w:color w:val="000000"/>
          <w:sz w:val="32"/>
          <w:szCs w:val="32"/>
          <w:shd w:val="clear" w:color="auto" w:fill="FFFFFF"/>
        </w:rPr>
      </w:pPr>
    </w:p>
    <w:p w14:paraId="6D2E8829">
      <w:pPr>
        <w:pStyle w:val="4"/>
        <w:widowControl/>
        <w:shd w:val="clear" w:color="auto" w:fill="FFFFFF"/>
        <w:jc w:val="center"/>
        <w:rPr>
          <w:rFonts w:ascii="黑体" w:hAnsi="宋体" w:eastAsia="黑体" w:cs="黑体"/>
          <w:b/>
          <w:bCs/>
          <w:color w:val="000000"/>
          <w:sz w:val="32"/>
          <w:szCs w:val="32"/>
          <w:shd w:val="clear" w:color="auto" w:fill="FFFFFF"/>
        </w:rPr>
      </w:pPr>
    </w:p>
    <w:p w14:paraId="2D2A8275">
      <w:pPr>
        <w:pStyle w:val="4"/>
        <w:widowControl/>
        <w:shd w:val="clear" w:color="auto" w:fill="FFFFFF"/>
        <w:jc w:val="center"/>
        <w:rPr>
          <w:rFonts w:ascii="黑体" w:hAnsi="宋体" w:eastAsia="黑体" w:cs="黑体"/>
          <w:b/>
          <w:bCs/>
          <w:color w:val="000000"/>
          <w:sz w:val="32"/>
          <w:szCs w:val="32"/>
          <w:shd w:val="clear" w:color="auto" w:fill="FFFFFF"/>
        </w:rPr>
      </w:pPr>
    </w:p>
    <w:p w14:paraId="18892519">
      <w:pPr>
        <w:pStyle w:val="4"/>
        <w:widowControl/>
        <w:shd w:val="clear" w:color="auto" w:fill="FFFFFF"/>
        <w:jc w:val="center"/>
        <w:rPr>
          <w:rFonts w:ascii="黑体" w:hAnsi="宋体" w:eastAsia="黑体" w:cs="黑体"/>
          <w:b/>
          <w:bCs/>
          <w:color w:val="000000"/>
          <w:sz w:val="32"/>
          <w:szCs w:val="32"/>
          <w:shd w:val="clear" w:color="auto" w:fill="FFFFFF"/>
        </w:rPr>
      </w:pPr>
    </w:p>
    <w:p w14:paraId="6060EBE0">
      <w:pPr>
        <w:pStyle w:val="4"/>
        <w:widowControl/>
        <w:shd w:val="clear" w:color="auto" w:fill="FFFFFF"/>
        <w:jc w:val="center"/>
        <w:rPr>
          <w:rFonts w:hint="eastAsia" w:ascii="黑体" w:hAnsi="宋体" w:eastAsia="黑体" w:cs="黑体"/>
          <w:b/>
          <w:bCs/>
          <w:color w:val="000000"/>
          <w:sz w:val="32"/>
          <w:szCs w:val="32"/>
          <w:shd w:val="clear" w:color="auto" w:fill="FFFFFF"/>
        </w:rPr>
      </w:pPr>
    </w:p>
    <w:p w14:paraId="28A8A904">
      <w:pPr>
        <w:pStyle w:val="4"/>
        <w:widowControl/>
        <w:shd w:val="clear" w:color="auto" w:fill="FFFFFF"/>
        <w:jc w:val="center"/>
        <w:rPr>
          <w:rFonts w:ascii="黑体" w:hAnsi="宋体" w:eastAsia="黑体" w:cs="黑体"/>
          <w:b/>
          <w:bCs/>
          <w:color w:val="000000"/>
          <w:sz w:val="32"/>
          <w:szCs w:val="32"/>
          <w:shd w:val="clear" w:color="auto" w:fill="FFFFFF"/>
        </w:rPr>
      </w:pPr>
    </w:p>
    <w:p w14:paraId="4F646880">
      <w:pPr>
        <w:pStyle w:val="4"/>
        <w:widowControl/>
        <w:shd w:val="clear" w:color="auto" w:fill="FFFFFF"/>
        <w:jc w:val="center"/>
        <w:rPr>
          <w:rFonts w:ascii="微软雅黑" w:hAnsi="微软雅黑" w:eastAsia="微软雅黑" w:cs="微软雅黑"/>
          <w:color w:val="000000"/>
        </w:rPr>
      </w:pPr>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33A67CE1">
      <w:pPr>
        <w:pStyle w:val="4"/>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6F8EB4EC">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5FD064A8">
      <w:pPr>
        <w:pStyle w:val="4"/>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2601537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4CA207D5">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680D9AE8">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1746A48F">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5A10126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40C5EC5D">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449DFD68">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54D2731A">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49A0B5D1">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40D5F45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02E91F5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70BDB9BF">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683149B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4E4DE0B4">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1236325B">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66057932">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27329AF7">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2690C93B">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5C90126A">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33E7012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566574F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14820AF0">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2025年单位预算情况说明</w:t>
      </w:r>
      <w:r>
        <w:rPr>
          <w:rFonts w:hint="eastAsia" w:ascii="楷体" w:hAnsi="楷体" w:eastAsia="楷体" w:cs="楷体"/>
          <w:color w:val="000000"/>
          <w:sz w:val="32"/>
          <w:szCs w:val="32"/>
          <w:shd w:val="clear" w:color="auto" w:fill="FFFFFF"/>
        </w:rPr>
        <w:t> </w:t>
      </w:r>
    </w:p>
    <w:p w14:paraId="45FC1994">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119CD681">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B47AF74">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163348A">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3F27FFA">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2C663A1">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9F33CF7">
      <w:pPr>
        <w:pStyle w:val="4"/>
        <w:widowControl/>
        <w:shd w:val="clear" w:color="auto" w:fill="FFFFFF"/>
        <w:spacing w:line="600" w:lineRule="atLeast"/>
        <w:rPr>
          <w:rFonts w:ascii="楷体" w:hAnsi="楷体" w:eastAsia="楷体" w:cs="楷体"/>
          <w:b/>
          <w:bCs/>
          <w:color w:val="000000"/>
          <w:sz w:val="32"/>
          <w:szCs w:val="32"/>
          <w:shd w:val="clear" w:color="auto" w:fill="FFFFFF"/>
        </w:rPr>
      </w:pPr>
    </w:p>
    <w:p w14:paraId="38637DFD">
      <w:pPr>
        <w:pStyle w:val="4"/>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64509CFF">
      <w:pPr>
        <w:pStyle w:val="4"/>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5EB66DAC">
      <w:pPr>
        <w:pStyle w:val="4"/>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68C6D599">
      <w:pPr>
        <w:pStyle w:val="4"/>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40925A6B">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5CA37090">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4368B8C0">
      <w:pPr>
        <w:pStyle w:val="4"/>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44D57578">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037CCF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7C5A425">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B42F732">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0BC15D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13C5E1BF">
      <w:pPr>
        <w:pStyle w:val="4"/>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5C134145">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0B2A46F0">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5C0B0C0B">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0D0AC380">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4DF5BB34">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60D58ECF">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70B6D2A0">
      <w:pPr>
        <w:pStyle w:val="4"/>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3C4C5665">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54FF5AB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76C9A5D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4029B3F1">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55BD4D90">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16914C78">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1F2317E7">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41CC1042">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31857ED7">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706C3D99">
      <w:pPr>
        <w:pStyle w:val="4"/>
        <w:widowControl/>
        <w:shd w:val="clear" w:color="auto" w:fill="FFFFFF"/>
        <w:spacing w:line="600" w:lineRule="atLeast"/>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第九条  本办法自印发之日起实行。</w:t>
      </w:r>
    </w:p>
    <w:p w14:paraId="309E77D0">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657D7848">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02AC83BE">
      <w:pPr>
        <w:widowControl/>
        <w:spacing w:line="56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区委领导下，宣传贯彻落实党的统一战线政策，协助培养、选拔、考察党外干部，调查研究并反映非公有制经济代表人士的情况，协调关系，提出政策建议；调查研究党的民族、宗教政策，维护民族团结、社会稳定；负责对党外各界人士的团结教育工作，做好党外代表人士参政议政和民主监督工作，指导协调民族宗教和工商联工作。</w:t>
      </w:r>
    </w:p>
    <w:p w14:paraId="08940CE9">
      <w:pPr>
        <w:pStyle w:val="4"/>
        <w:widowControl/>
        <w:shd w:val="clear" w:color="auto" w:fill="FFFFFF"/>
        <w:spacing w:line="560" w:lineRule="atLeast"/>
        <w:jc w:val="left"/>
        <w:rPr>
          <w:rFonts w:ascii="仿宋_GB2312" w:hAnsi="微软雅黑" w:eastAsia="仿宋_GB2312" w:cs="仿宋_GB2312"/>
          <w:b/>
          <w:bCs/>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rPr>
        <w:t xml:space="preserve">     二、机构设置 </w:t>
      </w:r>
    </w:p>
    <w:p w14:paraId="32BFF5DA">
      <w:pPr>
        <w:pStyle w:val="4"/>
        <w:widowControl/>
        <w:shd w:val="clear" w:color="auto" w:fill="FFFFFF"/>
        <w:spacing w:line="560" w:lineRule="atLeast"/>
        <w:ind w:firstLine="640" w:firstLineChars="200"/>
        <w:jc w:val="left"/>
        <w:rPr>
          <w:rFonts w:ascii="仿宋_GB2312" w:hAnsi="微软雅黑" w:eastAsia="仿宋_GB2312" w:cs="仿宋_GB2312"/>
          <w:bCs/>
          <w:color w:val="000000"/>
          <w:sz w:val="32"/>
          <w:szCs w:val="32"/>
          <w:shd w:val="clear" w:color="auto" w:fill="FFFFFF"/>
        </w:rPr>
      </w:pPr>
      <w:r>
        <w:rPr>
          <w:rFonts w:hint="eastAsia" w:ascii="仿宋_GB2312" w:hAnsi="微软雅黑" w:eastAsia="仿宋_GB2312" w:cs="仿宋_GB2312"/>
          <w:bCs/>
          <w:color w:val="000000"/>
          <w:sz w:val="32"/>
          <w:szCs w:val="32"/>
          <w:shd w:val="clear" w:color="auto" w:fill="FFFFFF"/>
        </w:rPr>
        <w:t>中共千山区委统战部2025年度部门预算包括中共千山区委统战部本级预算和所属单位预算。</w:t>
      </w:r>
    </w:p>
    <w:p w14:paraId="0947704F">
      <w:pPr>
        <w:pStyle w:val="4"/>
        <w:widowControl/>
        <w:shd w:val="clear" w:color="auto" w:fill="FFFFFF"/>
        <w:spacing w:line="560" w:lineRule="atLeast"/>
        <w:ind w:firstLine="640" w:firstLineChars="200"/>
        <w:jc w:val="left"/>
        <w:rPr>
          <w:rFonts w:ascii="仿宋_GB2312" w:hAnsi="微软雅黑" w:eastAsia="仿宋_GB2312" w:cs="仿宋_GB2312"/>
          <w:bCs/>
          <w:color w:val="000000"/>
          <w:sz w:val="32"/>
          <w:szCs w:val="32"/>
          <w:shd w:val="clear" w:color="auto" w:fill="FFFFFF"/>
        </w:rPr>
      </w:pPr>
      <w:r>
        <w:rPr>
          <w:rFonts w:hint="eastAsia" w:ascii="仿宋_GB2312" w:hAnsi="微软雅黑" w:eastAsia="仿宋_GB2312" w:cs="仿宋_GB2312"/>
          <w:bCs/>
          <w:color w:val="000000"/>
          <w:sz w:val="32"/>
          <w:szCs w:val="32"/>
          <w:shd w:val="clear" w:color="auto" w:fill="FFFFFF"/>
        </w:rPr>
        <w:t>纳入中共千山区委统战部2025年度部门预算编制范围的二级预算单位包括：</w:t>
      </w:r>
    </w:p>
    <w:p w14:paraId="14AC3E73">
      <w:pPr>
        <w:pStyle w:val="4"/>
        <w:widowControl/>
        <w:shd w:val="clear" w:color="auto" w:fill="FFFFFF"/>
        <w:spacing w:line="560" w:lineRule="atLeast"/>
        <w:ind w:firstLine="640" w:firstLineChars="200"/>
        <w:jc w:val="left"/>
        <w:rPr>
          <w:rFonts w:ascii="仿宋_GB2312" w:hAnsi="微软雅黑" w:eastAsia="仿宋_GB2312" w:cs="仿宋_GB2312"/>
          <w:bCs/>
          <w:color w:val="000000"/>
          <w:sz w:val="32"/>
          <w:szCs w:val="32"/>
          <w:shd w:val="clear" w:color="auto" w:fill="FFFFFF"/>
        </w:rPr>
      </w:pPr>
      <w:r>
        <w:rPr>
          <w:rFonts w:hint="eastAsia" w:ascii="仿宋_GB2312" w:hAnsi="微软雅黑" w:eastAsia="仿宋_GB2312" w:cs="仿宋_GB2312"/>
          <w:bCs/>
          <w:color w:val="000000"/>
          <w:sz w:val="32"/>
          <w:szCs w:val="32"/>
          <w:shd w:val="clear" w:color="auto" w:fill="FFFFFF"/>
        </w:rPr>
        <w:t>千山区委统战部本级</w:t>
      </w:r>
    </w:p>
    <w:p w14:paraId="2EE47AA6">
      <w:pPr>
        <w:pStyle w:val="4"/>
        <w:widowControl/>
        <w:shd w:val="clear" w:color="auto" w:fill="FFFFFF"/>
        <w:spacing w:line="560" w:lineRule="atLeast"/>
        <w:ind w:firstLine="640" w:firstLineChars="200"/>
        <w:jc w:val="left"/>
        <w:rPr>
          <w:rFonts w:ascii="仿宋_GB2312" w:hAnsi="微软雅黑" w:eastAsia="仿宋_GB2312" w:cs="仿宋_GB2312"/>
          <w:bCs/>
          <w:color w:val="000000"/>
          <w:sz w:val="32"/>
          <w:szCs w:val="32"/>
          <w:shd w:val="clear" w:color="auto" w:fill="FFFFFF"/>
        </w:rPr>
      </w:pPr>
      <w:r>
        <w:rPr>
          <w:rFonts w:hint="eastAsia" w:ascii="仿宋_GB2312" w:hAnsi="微软雅黑" w:eastAsia="仿宋_GB2312" w:cs="仿宋_GB2312"/>
          <w:bCs/>
          <w:color w:val="000000"/>
          <w:sz w:val="32"/>
          <w:szCs w:val="32"/>
          <w:shd w:val="clear" w:color="auto" w:fill="FFFFFF"/>
        </w:rPr>
        <w:t>千山区委统战工作事务中心</w:t>
      </w:r>
    </w:p>
    <w:p w14:paraId="7AB06E1D">
      <w:pPr>
        <w:pStyle w:val="4"/>
        <w:widowControl/>
        <w:shd w:val="clear" w:color="auto" w:fill="FFFFFF"/>
        <w:spacing w:line="560" w:lineRule="atLeast"/>
        <w:jc w:val="left"/>
        <w:rPr>
          <w:rFonts w:ascii="仿宋" w:hAnsi="仿宋" w:eastAsia="仿宋" w:cs="仿宋"/>
          <w:sz w:val="32"/>
          <w:szCs w:val="32"/>
          <w:shd w:val="clear" w:color="auto" w:fill="FFFFFF"/>
        </w:rPr>
      </w:pPr>
    </w:p>
    <w:p w14:paraId="5D7D5242">
      <w:pPr>
        <w:widowControl/>
        <w:spacing w:line="560" w:lineRule="exact"/>
        <w:jc w:val="left"/>
        <w:rPr>
          <w:rFonts w:ascii="仿宋" w:hAnsi="仿宋" w:eastAsia="仿宋" w:cs="仿宋"/>
          <w:sz w:val="32"/>
          <w:szCs w:val="32"/>
          <w:shd w:val="clear" w:color="auto" w:fill="FFFFFF"/>
        </w:rPr>
      </w:pPr>
    </w:p>
    <w:p w14:paraId="2BC99441">
      <w:pPr>
        <w:widowControl/>
        <w:spacing w:line="560" w:lineRule="exact"/>
        <w:jc w:val="left"/>
        <w:rPr>
          <w:rFonts w:ascii="仿宋" w:hAnsi="仿宋" w:eastAsia="仿宋" w:cs="仿宋"/>
          <w:sz w:val="32"/>
          <w:szCs w:val="32"/>
          <w:shd w:val="clear" w:color="auto" w:fill="FFFFFF"/>
        </w:rPr>
      </w:pPr>
    </w:p>
    <w:p w14:paraId="6F495921">
      <w:pPr>
        <w:widowControl/>
        <w:spacing w:line="560" w:lineRule="exact"/>
        <w:jc w:val="left"/>
        <w:rPr>
          <w:rFonts w:ascii="仿宋" w:hAnsi="仿宋" w:eastAsia="仿宋" w:cs="仿宋"/>
          <w:sz w:val="32"/>
          <w:szCs w:val="32"/>
          <w:shd w:val="clear" w:color="auto" w:fill="FFFFFF"/>
        </w:rPr>
      </w:pPr>
    </w:p>
    <w:p w14:paraId="6BED26D2">
      <w:pPr>
        <w:widowControl/>
        <w:spacing w:line="560" w:lineRule="exact"/>
        <w:jc w:val="left"/>
        <w:rPr>
          <w:rFonts w:ascii="仿宋" w:hAnsi="仿宋" w:eastAsia="仿宋" w:cs="仿宋"/>
          <w:kern w:val="0"/>
          <w:sz w:val="32"/>
          <w:szCs w:val="32"/>
        </w:rPr>
      </w:pPr>
    </w:p>
    <w:p w14:paraId="001326DF">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79C6E37E">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5E12589A">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00DDEEC8">
      <w:pPr>
        <w:pStyle w:val="4"/>
        <w:widowControl/>
        <w:shd w:val="clear" w:color="auto" w:fill="FFFFFF"/>
        <w:spacing w:line="560" w:lineRule="atLeast"/>
        <w:jc w:val="center"/>
        <w:rPr>
          <w:rFonts w:ascii="楷体" w:hAnsi="楷体" w:eastAsia="楷体" w:cs="楷体"/>
          <w:b/>
          <w:bCs/>
          <w:color w:val="000000"/>
          <w:sz w:val="44"/>
          <w:szCs w:val="44"/>
          <w:shd w:val="clear" w:color="auto" w:fill="FFFFFF"/>
        </w:rPr>
      </w:pPr>
    </w:p>
    <w:p w14:paraId="5D1E122C">
      <w:pPr>
        <w:pStyle w:val="4"/>
        <w:widowControl/>
        <w:shd w:val="clear" w:color="auto" w:fill="FFFFFF"/>
        <w:spacing w:line="560" w:lineRule="atLeast"/>
        <w:jc w:val="center"/>
        <w:rPr>
          <w:rFonts w:ascii="楷体" w:hAnsi="楷体" w:eastAsia="楷体" w:cs="楷体"/>
          <w:b/>
          <w:bCs/>
          <w:color w:val="000000"/>
          <w:sz w:val="44"/>
          <w:szCs w:val="44"/>
          <w:shd w:val="clear" w:color="auto" w:fill="FFFFFF"/>
        </w:rPr>
      </w:pPr>
    </w:p>
    <w:p w14:paraId="670193FB">
      <w:pPr>
        <w:pStyle w:val="4"/>
        <w:widowControl/>
        <w:shd w:val="clear" w:color="auto" w:fill="FFFFFF"/>
        <w:spacing w:line="560" w:lineRule="atLeast"/>
        <w:jc w:val="center"/>
        <w:rPr>
          <w:rFonts w:ascii="微软雅黑" w:hAnsi="微软雅黑" w:eastAsia="微软雅黑" w:cs="微软雅黑"/>
          <w:color w:val="000000"/>
          <w:sz w:val="44"/>
          <w:szCs w:val="44"/>
        </w:rPr>
      </w:pPr>
      <w:r>
        <w:rPr>
          <w:rFonts w:hint="eastAsia" w:ascii="楷体" w:hAnsi="楷体" w:eastAsia="楷体" w:cs="楷体"/>
          <w:b/>
          <w:bCs/>
          <w:color w:val="000000"/>
          <w:sz w:val="44"/>
          <w:szCs w:val="44"/>
          <w:shd w:val="clear" w:color="auto" w:fill="FFFFFF"/>
        </w:rPr>
        <w:t>第三部分 单位预算表</w:t>
      </w:r>
      <w:r>
        <w:rPr>
          <w:rFonts w:hint="eastAsia" w:ascii="楷体" w:hAnsi="楷体" w:eastAsia="楷体" w:cs="楷体"/>
          <w:color w:val="000000"/>
          <w:sz w:val="44"/>
          <w:szCs w:val="44"/>
          <w:shd w:val="clear" w:color="auto" w:fill="FFFFFF"/>
        </w:rPr>
        <w:t> </w:t>
      </w:r>
    </w:p>
    <w:tbl>
      <w:tblPr>
        <w:tblStyle w:val="5"/>
        <w:tblW w:w="13608" w:type="dxa"/>
        <w:tblInd w:w="93" w:type="dxa"/>
        <w:tblLayout w:type="autofit"/>
        <w:tblCellMar>
          <w:top w:w="0" w:type="dxa"/>
          <w:left w:w="108" w:type="dxa"/>
          <w:bottom w:w="0" w:type="dxa"/>
          <w:right w:w="108" w:type="dxa"/>
        </w:tblCellMar>
      </w:tblPr>
      <w:tblGrid>
        <w:gridCol w:w="13608"/>
      </w:tblGrid>
      <w:tr w14:paraId="6D030474">
        <w:tblPrEx>
          <w:tblCellMar>
            <w:top w:w="0" w:type="dxa"/>
            <w:left w:w="108" w:type="dxa"/>
            <w:bottom w:w="0" w:type="dxa"/>
            <w:right w:w="108" w:type="dxa"/>
          </w:tblCellMar>
        </w:tblPrEx>
        <w:trPr>
          <w:trHeight w:val="736" w:hRule="atLeast"/>
        </w:trPr>
        <w:tc>
          <w:tcPr>
            <w:tcW w:w="13608" w:type="dxa"/>
            <w:tcBorders>
              <w:top w:val="nil"/>
              <w:left w:val="nil"/>
              <w:bottom w:val="nil"/>
              <w:right w:val="nil"/>
            </w:tcBorders>
            <w:shd w:val="clear" w:color="FFFFFF" w:fill="FFFFFF"/>
            <w:noWrap/>
            <w:vAlign w:val="center"/>
          </w:tcPr>
          <w:p w14:paraId="4F43899C">
            <w:pPr>
              <w:widowControl/>
              <w:rPr>
                <w:rFonts w:ascii="宋体" w:hAnsi="宋体" w:eastAsia="宋体" w:cs="宋体"/>
                <w:b/>
                <w:bCs/>
                <w:kern w:val="0"/>
                <w:sz w:val="44"/>
                <w:szCs w:val="44"/>
              </w:rPr>
            </w:pPr>
          </w:p>
        </w:tc>
      </w:tr>
    </w:tbl>
    <w:p w14:paraId="7BA34D41">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16C1FFC5">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2B7DF705">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1A7A351D">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5D545926">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07ECE8D1">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26AC3D85">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38C0D582">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58CBACEC">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18B5CBA1">
      <w:pPr>
        <w:pStyle w:val="4"/>
        <w:widowControl/>
        <w:shd w:val="clear" w:color="auto" w:fill="FFFFFF"/>
        <w:spacing w:line="560" w:lineRule="atLeast"/>
        <w:jc w:val="center"/>
        <w:rPr>
          <w:rFonts w:hint="eastAsia" w:ascii="楷体" w:hAnsi="楷体" w:eastAsia="楷体" w:cs="楷体"/>
          <w:b/>
          <w:bCs/>
          <w:color w:val="000000"/>
          <w:sz w:val="44"/>
          <w:szCs w:val="44"/>
          <w:shd w:val="clear" w:color="auto" w:fill="FFFFFF"/>
        </w:rPr>
      </w:pPr>
    </w:p>
    <w:p w14:paraId="24DB1637">
      <w:pPr>
        <w:pStyle w:val="4"/>
        <w:widowControl/>
        <w:shd w:val="clear" w:color="auto" w:fill="FFFFFF"/>
        <w:spacing w:line="560" w:lineRule="atLeast"/>
        <w:jc w:val="both"/>
        <w:rPr>
          <w:rFonts w:ascii="楷体" w:hAnsi="楷体" w:eastAsia="楷体" w:cs="楷体"/>
          <w:b/>
          <w:bCs/>
          <w:color w:val="000000"/>
          <w:sz w:val="44"/>
          <w:szCs w:val="44"/>
          <w:shd w:val="clear" w:color="auto" w:fill="FFFFFF"/>
        </w:rPr>
      </w:pPr>
    </w:p>
    <w:p w14:paraId="409B8040">
      <w:pPr>
        <w:widowControl/>
        <w:spacing w:line="560" w:lineRule="exact"/>
        <w:jc w:val="center"/>
        <w:rPr>
          <w:rFonts w:ascii="楷体" w:hAnsi="楷体" w:eastAsia="楷体" w:cs="宋体"/>
          <w:kern w:val="0"/>
          <w:sz w:val="36"/>
          <w:szCs w:val="36"/>
        </w:rPr>
      </w:pPr>
      <w:r>
        <w:rPr>
          <w:rFonts w:hint="eastAsia" w:ascii="楷体" w:hAnsi="楷体" w:eastAsia="楷体" w:cs="宋体"/>
          <w:b/>
          <w:bCs/>
          <w:kern w:val="0"/>
          <w:sz w:val="36"/>
          <w:szCs w:val="36"/>
        </w:rPr>
        <w:t>第四部分</w:t>
      </w:r>
      <w:r>
        <w:rPr>
          <w:rFonts w:hint="eastAsia" w:ascii="宋体" w:hAnsi="宋体" w:eastAsia="楷体" w:cs="宋体"/>
          <w:b/>
          <w:bCs/>
          <w:kern w:val="0"/>
          <w:sz w:val="36"/>
          <w:szCs w:val="36"/>
        </w:rPr>
        <w:t> </w:t>
      </w:r>
      <w:r>
        <w:rPr>
          <w:rFonts w:hint="eastAsia" w:ascii="楷体" w:hAnsi="楷体" w:eastAsia="楷体" w:cs="宋体"/>
          <w:b/>
          <w:bCs/>
          <w:kern w:val="0"/>
          <w:sz w:val="36"/>
          <w:szCs w:val="36"/>
        </w:rPr>
        <w:t>部门预算情况说明</w:t>
      </w:r>
      <w:r>
        <w:rPr>
          <w:rFonts w:hint="eastAsia" w:ascii="楷体" w:hAnsi="楷体" w:eastAsia="楷体" w:cs="宋体"/>
          <w:kern w:val="0"/>
          <w:sz w:val="36"/>
          <w:szCs w:val="36"/>
        </w:rPr>
        <w:t xml:space="preserve"> </w:t>
      </w:r>
    </w:p>
    <w:p w14:paraId="2893F224">
      <w:pPr>
        <w:widowControl/>
        <w:spacing w:line="560" w:lineRule="exact"/>
        <w:jc w:val="center"/>
        <w:rPr>
          <w:rFonts w:ascii="楷体" w:hAnsi="楷体" w:eastAsia="楷体" w:cs="宋体"/>
          <w:kern w:val="0"/>
          <w:sz w:val="32"/>
          <w:szCs w:val="32"/>
        </w:rPr>
      </w:pPr>
    </w:p>
    <w:p w14:paraId="4EBD0F37">
      <w:pPr>
        <w:widowControl/>
        <w:spacing w:line="560" w:lineRule="exact"/>
        <w:jc w:val="left"/>
        <w:rPr>
          <w:rFonts w:ascii="楷体" w:hAnsi="楷体" w:eastAsia="楷体" w:cs="宋体"/>
          <w:kern w:val="0"/>
          <w:sz w:val="32"/>
          <w:szCs w:val="32"/>
        </w:rPr>
      </w:pPr>
      <w:r>
        <w:rPr>
          <w:rFonts w:hint="eastAsia" w:ascii="楷体" w:hAnsi="楷体" w:eastAsia="楷体" w:cs="宋体"/>
          <w:b/>
          <w:bCs/>
          <w:kern w:val="0"/>
          <w:sz w:val="32"/>
          <w:szCs w:val="32"/>
        </w:rPr>
        <w:t xml:space="preserve">    一、收支预算的总体说明</w:t>
      </w:r>
      <w:r>
        <w:rPr>
          <w:rFonts w:hint="eastAsia" w:ascii="楷体" w:hAnsi="楷体" w:eastAsia="楷体" w:cs="宋体"/>
          <w:kern w:val="0"/>
          <w:sz w:val="32"/>
          <w:szCs w:val="32"/>
        </w:rPr>
        <w:t xml:space="preserve"> </w:t>
      </w:r>
    </w:p>
    <w:p w14:paraId="45FD9D67">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按照综合预算的原则，部门所有收入和支出均纳入部门预算管理，2025年收支总预算197.24万元。</w:t>
      </w:r>
    </w:p>
    <w:p w14:paraId="2D8C4BE4">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（一）收入预算197.24万元，包括：</w:t>
      </w:r>
    </w:p>
    <w:p w14:paraId="7A482AA3">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1.一般公共预算拨款收入197.24万元；</w:t>
      </w:r>
    </w:p>
    <w:p w14:paraId="3D98B3FD">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2.政府性基金预算拨款收入0万元；</w:t>
      </w:r>
    </w:p>
    <w:p w14:paraId="263DC5A8">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3.国有资本经营预算拨款收入0万元； </w:t>
      </w:r>
    </w:p>
    <w:p w14:paraId="2AD48238">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4.财政专户管理资金收入0万元；</w:t>
      </w:r>
    </w:p>
    <w:p w14:paraId="35945D0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5.单位资金收入0万元；</w:t>
      </w:r>
    </w:p>
    <w:p w14:paraId="17C2E39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6.上年结转结余0万元。</w:t>
      </w:r>
    </w:p>
    <w:p w14:paraId="2AA0E05C">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（二）支出预算197.24万元，包括：</w:t>
      </w:r>
    </w:p>
    <w:p w14:paraId="78CBE31D">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1.基本支出184.14万元；</w:t>
      </w:r>
    </w:p>
    <w:p w14:paraId="40D4CA7E">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2.项目支出13.10万元。</w:t>
      </w:r>
    </w:p>
    <w:p w14:paraId="3E692076">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在支出预算中，其中一般公共服务支出152.03万元，社会保障和就业支出20.35万元，卫生健康支出9.93，住房保障支出14.93万元。</w:t>
      </w:r>
    </w:p>
    <w:p w14:paraId="620F1CC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在支出预算中，其中机关运行经费支出67.57万元，债支出 0万元，国有资本经营预算支出0万元，政府采购支出 0万元，政府购买服务支出0万元。</w:t>
      </w:r>
    </w:p>
    <w:p w14:paraId="78D06DFC">
      <w:pPr>
        <w:pStyle w:val="7"/>
        <w:spacing w:line="560" w:lineRule="exact"/>
        <w:ind w:firstLine="660"/>
        <w:rPr>
          <w:rFonts w:ascii="仿宋_GB2312" w:eastAsia="仿宋_GB2312"/>
          <w:sz w:val="32"/>
          <w:szCs w:val="32"/>
        </w:rPr>
      </w:pPr>
      <w:r>
        <w:rPr>
          <w:rFonts w:hint="eastAsia" w:ascii="仿宋_GB2312" w:eastAsia="仿宋_GB2312"/>
          <w:sz w:val="32"/>
          <w:szCs w:val="32"/>
        </w:rPr>
        <w:t>收支预算增减情况。2025年，千山区委统战部门收支预算197.24万元，比上年增加11.46万元，上升6.1%，增加的主要</w:t>
      </w:r>
      <w:r>
        <w:rPr>
          <w:rFonts w:hint="eastAsia" w:ascii="仿宋_GB2312" w:eastAsia="仿宋_GB2312"/>
          <w:color w:val="000000"/>
          <w:sz w:val="32"/>
          <w:szCs w:val="32"/>
        </w:rPr>
        <w:t>原因：</w:t>
      </w:r>
      <w:r>
        <w:rPr>
          <w:rFonts w:hint="eastAsia" w:ascii="楷体" w:hAnsi="楷体" w:eastAsia="楷体" w:cs="宋体"/>
          <w:sz w:val="32"/>
          <w:szCs w:val="32"/>
        </w:rPr>
        <w:t>人员增加，工资上调。</w:t>
      </w:r>
    </w:p>
    <w:p w14:paraId="6F185F5E">
      <w:pPr>
        <w:widowControl/>
        <w:spacing w:line="560" w:lineRule="exact"/>
        <w:jc w:val="left"/>
        <w:rPr>
          <w:rFonts w:ascii="楷体" w:hAnsi="楷体" w:eastAsia="楷体" w:cs="宋体"/>
          <w:kern w:val="0"/>
          <w:sz w:val="32"/>
          <w:szCs w:val="32"/>
        </w:rPr>
      </w:pPr>
      <w:r>
        <w:rPr>
          <w:rFonts w:hint="eastAsia" w:ascii="仿宋_GB2312" w:hAnsi="宋体" w:eastAsia="仿宋_GB2312" w:cs="宋体"/>
          <w:kern w:val="0"/>
          <w:sz w:val="32"/>
          <w:szCs w:val="32"/>
        </w:rPr>
        <w:t xml:space="preserve">  </w:t>
      </w:r>
      <w:r>
        <w:rPr>
          <w:rFonts w:hint="eastAsia" w:ascii="楷体" w:hAnsi="楷体" w:eastAsia="楷体" w:cs="宋体"/>
          <w:b/>
          <w:bCs/>
          <w:kern w:val="0"/>
          <w:sz w:val="32"/>
          <w:szCs w:val="32"/>
        </w:rPr>
        <w:t xml:space="preserve">  二、财政拨款收支预算情况说明</w:t>
      </w:r>
      <w:r>
        <w:rPr>
          <w:rFonts w:hint="eastAsia" w:ascii="楷体" w:hAnsi="楷体" w:eastAsia="楷体" w:cs="宋体"/>
          <w:kern w:val="0"/>
          <w:sz w:val="32"/>
          <w:szCs w:val="32"/>
        </w:rPr>
        <w:t>人员工资上调</w:t>
      </w:r>
    </w:p>
    <w:p w14:paraId="150F9EE6">
      <w:pPr>
        <w:widowControl/>
        <w:spacing w:line="560" w:lineRule="exact"/>
        <w:ind w:firstLine="640"/>
        <w:jc w:val="left"/>
        <w:rPr>
          <w:rFonts w:ascii="仿宋_GB2312" w:hAnsi="宋体" w:eastAsia="仿宋_GB2312" w:cs="宋体"/>
          <w:kern w:val="0"/>
          <w:sz w:val="32"/>
          <w:szCs w:val="32"/>
        </w:rPr>
      </w:pPr>
      <w:r>
        <w:rPr>
          <w:rFonts w:hint="eastAsia" w:ascii="仿宋_GB2312" w:eastAsia="仿宋_GB2312"/>
          <w:sz w:val="32"/>
          <w:szCs w:val="32"/>
        </w:rPr>
        <w:t>千山区委统战部</w:t>
      </w:r>
      <w:r>
        <w:rPr>
          <w:rFonts w:hint="eastAsia" w:ascii="仿宋_GB2312" w:hAnsi="宋体" w:eastAsia="仿宋_GB2312" w:cs="宋体"/>
          <w:kern w:val="0"/>
          <w:sz w:val="32"/>
          <w:szCs w:val="32"/>
        </w:rPr>
        <w:t>2024年财政拨款收支总预算197.24万元。收入预算为一般公共预算拨款，无政府性基金预算拨款和国有资本经营预算拨款，包括：当年财政拨款收入</w:t>
      </w:r>
      <w:r>
        <w:rPr>
          <w:rFonts w:hint="eastAsia" w:ascii="仿宋_GB2312" w:eastAsia="仿宋_GB2312"/>
          <w:sz w:val="32"/>
          <w:szCs w:val="32"/>
        </w:rPr>
        <w:t>197.24</w:t>
      </w:r>
      <w:r>
        <w:rPr>
          <w:rFonts w:hint="eastAsia" w:ascii="仿宋_GB2312" w:hAnsi="宋体" w:eastAsia="仿宋_GB2312" w:cs="宋体"/>
          <w:kern w:val="0"/>
          <w:sz w:val="32"/>
          <w:szCs w:val="32"/>
        </w:rPr>
        <w:t>万元，上年结转结余0万元；支出预算按功能支出包括：一般公共服务支出  152.03万元、社会保障和就业支出 20.35万元、卫生健康支出90.93万元、住房保障支出14.93万元；按经济支出包括:工资福利支出172.14万元，商品和服务支出11.58万元，对个人和家庭的补助0.42万元，项目支出13.1万元。</w:t>
      </w:r>
    </w:p>
    <w:p w14:paraId="134F99E0">
      <w:pPr>
        <w:pStyle w:val="7"/>
        <w:spacing w:line="560" w:lineRule="exact"/>
        <w:ind w:firstLine="660"/>
        <w:rPr>
          <w:rFonts w:ascii="仿宋_GB2312" w:eastAsia="仿宋_GB2312"/>
          <w:sz w:val="32"/>
          <w:szCs w:val="32"/>
        </w:rPr>
      </w:pPr>
      <w:r>
        <w:rPr>
          <w:rFonts w:hint="eastAsia" w:ascii="仿宋_GB2312" w:eastAsia="仿宋_GB2312"/>
          <w:sz w:val="32"/>
          <w:szCs w:val="32"/>
        </w:rPr>
        <w:t>财政拨款收支预算增减情况。2024年，千山区委统战部财政拨款收支预算197.24万元，比上年增加11.46万元，上升6.1%，增加的主要</w:t>
      </w:r>
      <w:r>
        <w:rPr>
          <w:rFonts w:hint="eastAsia" w:ascii="仿宋_GB2312" w:eastAsia="仿宋_GB2312"/>
          <w:color w:val="000000"/>
          <w:sz w:val="32"/>
          <w:szCs w:val="32"/>
        </w:rPr>
        <w:t>原因：</w:t>
      </w:r>
      <w:r>
        <w:rPr>
          <w:rFonts w:hint="eastAsia" w:ascii="楷体" w:hAnsi="楷体" w:eastAsia="楷体" w:cs="宋体"/>
          <w:sz w:val="32"/>
          <w:szCs w:val="32"/>
        </w:rPr>
        <w:t>人员增加，工资上调。</w:t>
      </w:r>
    </w:p>
    <w:p w14:paraId="6FCEE251">
      <w:pPr>
        <w:pStyle w:val="4"/>
        <w:spacing w:line="560" w:lineRule="exact"/>
        <w:rPr>
          <w:rFonts w:ascii="楷体" w:hAnsi="楷体" w:eastAsia="楷体"/>
          <w:sz w:val="32"/>
          <w:szCs w:val="32"/>
        </w:rPr>
      </w:pPr>
      <w:r>
        <w:rPr>
          <w:rFonts w:hint="eastAsia" w:ascii="楷体" w:hAnsi="楷体" w:eastAsia="楷体"/>
          <w:sz w:val="32"/>
          <w:szCs w:val="32"/>
        </w:rPr>
        <w:t xml:space="preserve">    三、</w:t>
      </w:r>
      <w:r>
        <w:rPr>
          <w:rFonts w:hint="eastAsia" w:ascii="楷体" w:hAnsi="楷体" w:eastAsia="楷体"/>
          <w:b/>
          <w:bCs/>
          <w:sz w:val="32"/>
          <w:szCs w:val="32"/>
        </w:rPr>
        <w:t>一般公共预算基本支出情况说明</w:t>
      </w:r>
    </w:p>
    <w:p w14:paraId="6ECD2340">
      <w:pPr>
        <w:widowControl/>
        <w:spacing w:line="560" w:lineRule="exact"/>
        <w:ind w:firstLine="640" w:firstLineChars="200"/>
        <w:jc w:val="left"/>
        <w:rPr>
          <w:rFonts w:ascii="仿宋_GB2312" w:hAnsi="宋体" w:eastAsia="仿宋_GB2312" w:cs="宋体"/>
          <w:b/>
          <w:bCs/>
          <w:kern w:val="0"/>
          <w:sz w:val="32"/>
          <w:szCs w:val="32"/>
        </w:rPr>
      </w:pPr>
      <w:r>
        <w:rPr>
          <w:rFonts w:hint="eastAsia" w:ascii="仿宋_GB2312" w:eastAsia="仿宋_GB2312"/>
          <w:sz w:val="32"/>
          <w:szCs w:val="32"/>
        </w:rPr>
        <w:t>千山区委统战部</w:t>
      </w:r>
      <w:r>
        <w:rPr>
          <w:rFonts w:hint="eastAsia" w:ascii="仿宋_GB2312" w:hAnsi="宋体" w:eastAsia="仿宋_GB2312" w:cs="宋体"/>
          <w:kern w:val="0"/>
          <w:sz w:val="32"/>
          <w:szCs w:val="32"/>
        </w:rPr>
        <w:t>及所属单位</w:t>
      </w:r>
      <w:r>
        <w:rPr>
          <w:rFonts w:hint="eastAsia" w:ascii="仿宋_GB2312" w:hAnsi="宋体" w:eastAsia="仿宋_GB2312" w:cs="宋体"/>
          <w:bCs/>
          <w:kern w:val="0"/>
          <w:sz w:val="32"/>
          <w:szCs w:val="32"/>
        </w:rPr>
        <w:t>2024年一般公共预算基本支出197.24元，其中工资福利支出</w:t>
      </w:r>
      <w:r>
        <w:rPr>
          <w:rFonts w:hint="eastAsia" w:ascii="仿宋_GB2312" w:hAnsi="宋体" w:eastAsia="仿宋_GB2312" w:cs="宋体"/>
          <w:kern w:val="0"/>
          <w:sz w:val="32"/>
          <w:szCs w:val="32"/>
        </w:rPr>
        <w:t>172.14</w:t>
      </w:r>
      <w:r>
        <w:rPr>
          <w:rFonts w:hint="eastAsia" w:ascii="仿宋_GB2312" w:hAnsi="宋体" w:eastAsia="仿宋_GB2312" w:cs="宋体"/>
          <w:bCs/>
          <w:kern w:val="0"/>
          <w:sz w:val="32"/>
          <w:szCs w:val="32"/>
        </w:rPr>
        <w:t>万元，商品和服务支出</w:t>
      </w:r>
      <w:r>
        <w:rPr>
          <w:rFonts w:hint="eastAsia" w:ascii="仿宋_GB2312" w:hAnsi="宋体" w:eastAsia="仿宋_GB2312" w:cs="宋体"/>
          <w:kern w:val="0"/>
          <w:sz w:val="32"/>
          <w:szCs w:val="32"/>
        </w:rPr>
        <w:t>11.58</w:t>
      </w:r>
      <w:r>
        <w:rPr>
          <w:rFonts w:hint="eastAsia" w:ascii="仿宋_GB2312" w:hAnsi="宋体" w:eastAsia="仿宋_GB2312" w:cs="宋体"/>
          <w:bCs/>
          <w:kern w:val="0"/>
          <w:sz w:val="32"/>
          <w:szCs w:val="32"/>
        </w:rPr>
        <w:t>万元，对个人和家庭补助支出</w:t>
      </w:r>
      <w:r>
        <w:rPr>
          <w:rFonts w:hint="eastAsia" w:ascii="仿宋_GB2312" w:hAnsi="宋体" w:eastAsia="仿宋_GB2312" w:cs="宋体"/>
          <w:kern w:val="0"/>
          <w:sz w:val="32"/>
          <w:szCs w:val="32"/>
        </w:rPr>
        <w:t>0.42</w:t>
      </w:r>
      <w:r>
        <w:rPr>
          <w:rFonts w:hint="eastAsia" w:ascii="仿宋_GB2312" w:hAnsi="宋体" w:eastAsia="仿宋_GB2312" w:cs="宋体"/>
          <w:bCs/>
          <w:kern w:val="0"/>
          <w:sz w:val="32"/>
          <w:szCs w:val="32"/>
        </w:rPr>
        <w:t>万元。</w:t>
      </w:r>
    </w:p>
    <w:p w14:paraId="4ECE48C2">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177.60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宋体" w:eastAsia="仿宋_GB2312" w:cs="仿宋_GB2312"/>
          <w:kern w:val="0"/>
          <w:sz w:val="31"/>
          <w:szCs w:val="31"/>
          <w:lang w:bidi="ar"/>
        </w:rPr>
        <w:t>离休费、退休费、抚恤金、生活补助、医疗费补助、奖励金、其他对个人和家庭的补助支出。</w:t>
      </w:r>
    </w:p>
    <w:p w14:paraId="5ACA13B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即商品和服务支出6.54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5633A23">
      <w:pPr>
        <w:widowControl/>
        <w:spacing w:line="560" w:lineRule="exact"/>
        <w:ind w:firstLine="640"/>
        <w:jc w:val="left"/>
        <w:rPr>
          <w:rFonts w:ascii="楷体" w:hAnsi="楷体" w:eastAsia="楷体" w:cs="宋体"/>
          <w:kern w:val="0"/>
          <w:sz w:val="32"/>
          <w:szCs w:val="32"/>
        </w:rPr>
      </w:pPr>
      <w:r>
        <w:rPr>
          <w:rFonts w:hint="eastAsia" w:ascii="楷体" w:hAnsi="楷体" w:eastAsia="楷体" w:cs="宋体"/>
          <w:b/>
          <w:bCs/>
          <w:kern w:val="0"/>
          <w:sz w:val="32"/>
          <w:szCs w:val="32"/>
        </w:rPr>
        <w:t>四、“三公”经费预算情况说明</w:t>
      </w:r>
      <w:r>
        <w:rPr>
          <w:rFonts w:hint="eastAsia" w:ascii="楷体" w:hAnsi="楷体" w:eastAsia="楷体" w:cs="宋体"/>
          <w:kern w:val="0"/>
          <w:sz w:val="32"/>
          <w:szCs w:val="32"/>
        </w:rPr>
        <w:t xml:space="preserve"> </w:t>
      </w:r>
    </w:p>
    <w:p w14:paraId="1AB9FE59">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无此情况。</w:t>
      </w:r>
    </w:p>
    <w:p w14:paraId="6C5F678F">
      <w:pPr>
        <w:widowControl/>
        <w:spacing w:line="560" w:lineRule="exact"/>
        <w:ind w:firstLine="642"/>
        <w:jc w:val="left"/>
        <w:rPr>
          <w:rFonts w:ascii="楷体" w:hAnsi="楷体" w:eastAsia="楷体" w:cs="宋体"/>
          <w:kern w:val="0"/>
          <w:sz w:val="32"/>
          <w:szCs w:val="32"/>
        </w:rPr>
      </w:pPr>
      <w:r>
        <w:rPr>
          <w:rFonts w:hint="eastAsia" w:ascii="楷体" w:hAnsi="楷体" w:eastAsia="楷体" w:cs="宋体"/>
          <w:b/>
          <w:bCs/>
          <w:kern w:val="0"/>
          <w:sz w:val="32"/>
          <w:szCs w:val="32"/>
        </w:rPr>
        <w:t>五、其他重要事项情况说明</w:t>
      </w:r>
      <w:r>
        <w:rPr>
          <w:rFonts w:hint="eastAsia" w:ascii="楷体" w:hAnsi="楷体" w:eastAsia="楷体" w:cs="宋体"/>
          <w:kern w:val="0"/>
          <w:sz w:val="32"/>
          <w:szCs w:val="32"/>
        </w:rPr>
        <w:t xml:space="preserve"> </w:t>
      </w:r>
    </w:p>
    <w:p w14:paraId="2314C0E0">
      <w:pPr>
        <w:widowControl/>
        <w:spacing w:line="56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（一）机关运行经费安排情况 </w:t>
      </w:r>
    </w:p>
    <w:p w14:paraId="6E3828D0">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2025年机关运行经费预算11.58万元，主要包括本部门的办公及印刷费、邮电费、差旅费、会议费、福利费等</w:t>
      </w:r>
    </w:p>
    <w:p w14:paraId="7B82B2C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（二）政府采购预算安排情况 </w:t>
      </w:r>
    </w:p>
    <w:p w14:paraId="6011D98E">
      <w:pPr>
        <w:widowControl/>
        <w:spacing w:line="560" w:lineRule="exact"/>
        <w:ind w:firstLine="800" w:firstLineChars="25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2025年政府采购预算 0万元，</w:t>
      </w:r>
    </w:p>
    <w:p w14:paraId="27D40543">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（三）政府购买服务预算安排情况 </w:t>
      </w:r>
    </w:p>
    <w:p w14:paraId="0BDAABAB">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2025</w:t>
      </w:r>
      <w:r>
        <w:rPr>
          <w:rFonts w:hint="eastAsia" w:ascii="仿宋" w:hAnsi="仿宋" w:eastAsia="仿宋" w:cs="仿宋"/>
          <w:sz w:val="32"/>
          <w:szCs w:val="32"/>
          <w:shd w:val="clear" w:color="auto" w:fill="FFFFFF"/>
        </w:rPr>
        <w:t>年政府购买服务预算拨款 0万元</w:t>
      </w:r>
      <w:r>
        <w:rPr>
          <w:rFonts w:hint="eastAsia" w:ascii="仿宋_GB2312" w:hAnsi="宋体" w:eastAsia="仿宋_GB2312" w:cs="宋体"/>
          <w:kern w:val="0"/>
          <w:sz w:val="32"/>
          <w:szCs w:val="32"/>
        </w:rPr>
        <w:t xml:space="preserve">   </w:t>
      </w:r>
    </w:p>
    <w:p w14:paraId="5EF867CE">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（四）国有资产占有使用情况 </w:t>
      </w:r>
    </w:p>
    <w:p w14:paraId="7AB33BE0">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无此情况。</w:t>
      </w:r>
    </w:p>
    <w:p w14:paraId="490CEBBF">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（五）预算资金绩效目标情况 </w:t>
      </w:r>
    </w:p>
    <w:p w14:paraId="0FBCE378">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根据预算绩效管理要求，2025年应编制部门（单位）整体绩效目1个，实际编制部门（单位）整体绩效目标共1个，编制覆盖率）为100%。</w:t>
      </w:r>
    </w:p>
    <w:p w14:paraId="5C6F2758">
      <w:pPr>
        <w:widowControl/>
        <w:ind w:firstLine="620" w:firstLineChars="200"/>
        <w:jc w:val="left"/>
      </w:pPr>
      <w:r>
        <w:rPr>
          <w:rFonts w:hint="eastAsia" w:ascii="仿宋_GB2312" w:hAnsi="宋体" w:eastAsia="仿宋_GB2312" w:cs="仿宋_GB2312"/>
          <w:kern w:val="0"/>
          <w:sz w:val="31"/>
          <w:szCs w:val="31"/>
          <w:lang w:bidi="ar"/>
        </w:rPr>
        <w:t>2025</w:t>
      </w:r>
      <w:r>
        <w:rPr>
          <w:rFonts w:ascii="仿宋_GB2312" w:hAnsi="宋体" w:eastAsia="仿宋_GB2312" w:cs="仿宋_GB2312"/>
          <w:kern w:val="0"/>
          <w:sz w:val="31"/>
          <w:szCs w:val="31"/>
          <w:lang w:bidi="ar"/>
        </w:rPr>
        <w:t xml:space="preserve">年应编制绩效目标的特定目标类项目共 0 个，实 </w:t>
      </w:r>
      <w:r>
        <w:rPr>
          <w:rFonts w:hint="eastAsia" w:ascii="仿宋_GB2312" w:hAnsi="宋体" w:eastAsia="仿宋_GB2312" w:cs="仿宋_GB2312"/>
          <w:kern w:val="0"/>
          <w:sz w:val="31"/>
          <w:szCs w:val="31"/>
          <w:lang w:bidi="ar"/>
        </w:rPr>
        <w:t>际编制绩效目标的特定目标类项目共 0 个，涉及资金 0 万元。</w:t>
      </w:r>
    </w:p>
    <w:p w14:paraId="2F453004">
      <w:pPr>
        <w:widowControl/>
        <w:spacing w:line="560" w:lineRule="exact"/>
        <w:ind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（六）预算公开表数据中没有数据的情况说明 </w:t>
      </w:r>
    </w:p>
    <w:p w14:paraId="0C4FC327">
      <w:pPr>
        <w:widowControl/>
        <w:spacing w:line="560" w:lineRule="exact"/>
        <w:ind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2024年预算中、一般公共预算“三公”经费支出表、政府性基金预算支出表、债务支出预算表、政府采购支出预算表、政府购买服务支出预算表、</w:t>
      </w:r>
      <w:r>
        <w:rPr>
          <w:rFonts w:hint="eastAsia" w:ascii="仿宋_GB2312" w:hAnsi="微软雅黑" w:eastAsia="仿宋_GB2312" w:cs="仿宋_GB2312"/>
          <w:color w:val="000000"/>
          <w:sz w:val="32"/>
          <w:szCs w:val="32"/>
          <w:shd w:val="clear" w:color="auto" w:fill="FFFFFF"/>
        </w:rPr>
        <w:t>国有资本经营预算支出表</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部门管理专项资金预算表</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张表中没有数据。</w:t>
      </w:r>
      <w:bookmarkStart w:id="0" w:name="_GoBack"/>
      <w:bookmarkEnd w:id="0"/>
    </w:p>
    <w:p w14:paraId="59B9B0E5">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5F676C2A">
      <w:pPr>
        <w:pStyle w:val="4"/>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2102B1A4">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0762082B">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37E30DED">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5ABA1E7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2B5F637F">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0E7A5A9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5BEE097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028199CB">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D04768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3C70C642">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13EF637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292EC9B5">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1480393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0FBBB448">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26E01BDD">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11FD1B6F">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528EE5A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0E5C0E10">
      <w:pPr>
        <w:pStyle w:val="4"/>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7C19440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48990641">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w:t>
      </w:r>
    </w:p>
    <w:p w14:paraId="38B1DF8B"/>
    <w:sectPr>
      <w:pgSz w:w="11906" w:h="16838"/>
      <w:pgMar w:top="1440" w:right="79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3F"/>
    <w:rsid w:val="000D5824"/>
    <w:rsid w:val="00223256"/>
    <w:rsid w:val="0022782A"/>
    <w:rsid w:val="00286ECE"/>
    <w:rsid w:val="00344B05"/>
    <w:rsid w:val="0041795B"/>
    <w:rsid w:val="004E3622"/>
    <w:rsid w:val="005D5FFE"/>
    <w:rsid w:val="006469D8"/>
    <w:rsid w:val="006B0187"/>
    <w:rsid w:val="00711E19"/>
    <w:rsid w:val="008429E7"/>
    <w:rsid w:val="00852D4F"/>
    <w:rsid w:val="009232FA"/>
    <w:rsid w:val="009260AF"/>
    <w:rsid w:val="009B1EEE"/>
    <w:rsid w:val="00A2628B"/>
    <w:rsid w:val="00B03519"/>
    <w:rsid w:val="00B6083F"/>
    <w:rsid w:val="00BE3C2C"/>
    <w:rsid w:val="00C92B3B"/>
    <w:rsid w:val="00D03913"/>
    <w:rsid w:val="00DC235F"/>
    <w:rsid w:val="00F532DA"/>
    <w:rsid w:val="00F975DF"/>
    <w:rsid w:val="00FD3B51"/>
    <w:rsid w:val="00FE1942"/>
    <w:rsid w:val="25E22D30"/>
    <w:rsid w:val="39542518"/>
    <w:rsid w:val="39FC21BB"/>
    <w:rsid w:val="44492AFD"/>
    <w:rsid w:val="4D952D2E"/>
    <w:rsid w:val="586C6306"/>
    <w:rsid w:val="5A476CDE"/>
    <w:rsid w:val="60B27518"/>
    <w:rsid w:val="643D1DE2"/>
    <w:rsid w:val="6979088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paragraph" w:customStyle="1" w:styleId="7">
    <w:name w:val="p0"/>
    <w:basedOn w:val="1"/>
    <w:qFormat/>
    <w:uiPriority w:val="0"/>
    <w:pPr>
      <w:widowControl/>
    </w:pPr>
    <w:rPr>
      <w:rFonts w:ascii="Times New Roman" w:hAnsi="Times New Roman" w:eastAsia="宋体" w:cs="Times New Roman"/>
      <w:kern w:val="0"/>
      <w:szCs w:val="21"/>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B837-57B2-4A48-BFBB-7EEF1D7F876B}">
  <ds:schemaRefs/>
</ds:datastoreItem>
</file>

<file path=docProps/app.xml><?xml version="1.0" encoding="utf-8"?>
<Properties xmlns="http://schemas.openxmlformats.org/officeDocument/2006/extended-properties" xmlns:vt="http://schemas.openxmlformats.org/officeDocument/2006/docPropsVTypes">
  <Template>Normal</Template>
  <Pages>14</Pages>
  <Words>4901</Words>
  <Characters>5139</Characters>
  <Lines>38</Lines>
  <Paragraphs>10</Paragraphs>
  <TotalTime>2</TotalTime>
  <ScaleCrop>false</ScaleCrop>
  <LinksUpToDate>false</LinksUpToDate>
  <CharactersWithSpaces>5325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牵手婚礼督导工作室—苏亮</cp:lastModifiedBy>
  <dcterms:modified xsi:type="dcterms:W3CDTF">2025-01-17T06:23:16Z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eyJoZGlkIjoiMTI5ZTUyNTQ1NjVmMjNjOTg3MzczMTI5MzNhNjZmNTQiLCJ1c2VySWQiOiIyMDU3MDU5MjcifQ==</vt:lpwstr>
  </property>
  <property fmtid="{D5CDD505-2E9C-101B-9397-08002B2CF9AE}" pid="4" name="ICV">
    <vt:lpwstr>B8C5117FB8014E44A865199339766739_12</vt:lpwstr>
  </property>
</Properties>
</file>