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3" w:lineRule="auto"/>
        <w:rPr>
          <w:rFonts w:ascii="宋体"/>
        </w:rPr>
      </w:pPr>
      <w:r>
        <w:drawing>
          <wp:anchor distT="0" distB="0" distL="0" distR="0" simplePos="0" relativeHeight="251659264" behindDoc="0" locked="0" layoutInCell="0" allowOverlap="1">
            <wp:simplePos x="0" y="0"/>
            <wp:positionH relativeFrom="page">
              <wp:posOffset>908685</wp:posOffset>
            </wp:positionH>
            <wp:positionV relativeFrom="page">
              <wp:posOffset>2576830</wp:posOffset>
            </wp:positionV>
            <wp:extent cx="5486400" cy="95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5"/>
                    <a:stretch>
                      <a:fillRect/>
                    </a:stretch>
                  </pic:blipFill>
                  <pic:spPr>
                    <a:xfrm>
                      <a:off x="0" y="0"/>
                      <a:ext cx="5486400" cy="9525"/>
                    </a:xfrm>
                    <a:prstGeom prst="rect">
                      <a:avLst/>
                    </a:prstGeom>
                  </pic:spPr>
                </pic:pic>
              </a:graphicData>
            </a:graphic>
          </wp:anchor>
        </w:drawing>
      </w:r>
    </w:p>
    <w:p>
      <w:pPr>
        <w:spacing w:before="169" w:line="186" w:lineRule="auto"/>
        <w:ind w:firstLine="435"/>
        <w:rPr>
          <w:rFonts w:ascii="宋体" w:hAnsi="宋体" w:eastAsia="宋体" w:cs="宋体"/>
          <w:sz w:val="52"/>
          <w:szCs w:val="52"/>
        </w:rPr>
      </w:pPr>
      <w:r>
        <w:rPr>
          <w:rFonts w:ascii="宋体" w:hAnsi="宋体" w:eastAsia="宋体" w:cs="宋体"/>
          <w:color w:val="FF0000"/>
          <w:spacing w:val="-1"/>
          <w:sz w:val="52"/>
          <w:szCs w:val="52"/>
          <w14:textOutline w14:w="9461" w14:cap="sq" w14:cmpd="sng" w14:algn="ctr">
            <w14:solidFill>
              <w14:srgbClr w14:val="FF0000"/>
            </w14:solidFill>
            <w14:prstDash w14:val="solid"/>
            <w14:bevel/>
          </w14:textOutline>
        </w:rPr>
        <w:t>辽宁永信会计师事务所有限责任公司</w:t>
      </w:r>
    </w:p>
    <w:p>
      <w:pPr>
        <w:spacing w:before="266" w:line="180" w:lineRule="auto"/>
        <w:ind w:firstLine="533"/>
        <w:rPr>
          <w:rFonts w:ascii="宋体" w:hAnsi="宋体" w:eastAsia="宋体" w:cs="宋体"/>
          <w:sz w:val="28"/>
          <w:szCs w:val="28"/>
        </w:rPr>
      </w:pPr>
      <w:r>
        <w:rPr>
          <w:rFonts w:ascii="宋体" w:hAnsi="宋体" w:eastAsia="宋体" w:cs="宋体"/>
          <w:color w:val="FF0000"/>
          <w:spacing w:val="-7"/>
          <w:sz w:val="28"/>
          <w:szCs w:val="28"/>
          <w14:textOutline w14:w="5105" w14:cap="sq" w14:cmpd="sng" w14:algn="ctr">
            <w14:solidFill>
              <w14:srgbClr w14:val="FF0000"/>
            </w14:solidFill>
            <w14:prstDash w14:val="solid"/>
            <w14:bevel/>
          </w14:textOutline>
        </w:rPr>
        <w:t>LIAONING</w:t>
      </w:r>
      <w:r>
        <w:rPr>
          <w:rFonts w:ascii="宋体" w:hAnsi="宋体" w:eastAsia="宋体" w:cs="宋体"/>
          <w:color w:val="FF0000"/>
          <w:spacing w:val="26"/>
          <w:sz w:val="28"/>
          <w:szCs w:val="28"/>
        </w:rPr>
        <w:t xml:space="preserve"> </w:t>
      </w:r>
      <w:r>
        <w:rPr>
          <w:rFonts w:ascii="宋体" w:hAnsi="宋体" w:eastAsia="宋体" w:cs="宋体"/>
          <w:color w:val="FF0000"/>
          <w:spacing w:val="-7"/>
          <w:sz w:val="28"/>
          <w:szCs w:val="28"/>
          <w14:textOutline w14:w="5105" w14:cap="sq" w14:cmpd="sng" w14:algn="ctr">
            <w14:solidFill>
              <w14:srgbClr w14:val="FF0000"/>
            </w14:solidFill>
            <w14:prstDash w14:val="solid"/>
            <w14:bevel/>
          </w14:textOutline>
        </w:rPr>
        <w:t>YONGXIN</w:t>
      </w:r>
      <w:r>
        <w:rPr>
          <w:rFonts w:ascii="宋体" w:hAnsi="宋体" w:eastAsia="宋体" w:cs="宋体"/>
          <w:color w:val="FF0000"/>
          <w:spacing w:val="-10"/>
          <w:sz w:val="28"/>
          <w:szCs w:val="28"/>
        </w:rPr>
        <w:t xml:space="preserve"> </w:t>
      </w:r>
      <w:r>
        <w:rPr>
          <w:rFonts w:ascii="宋体" w:hAnsi="宋体" w:eastAsia="宋体" w:cs="宋体"/>
          <w:color w:val="FF0000"/>
          <w:spacing w:val="-7"/>
          <w:sz w:val="28"/>
          <w:szCs w:val="28"/>
          <w14:textOutline w14:w="5105" w14:cap="sq" w14:cmpd="sng" w14:algn="ctr">
            <w14:solidFill>
              <w14:srgbClr w14:val="FF0000"/>
            </w14:solidFill>
            <w14:prstDash w14:val="solid"/>
            <w14:bevel/>
          </w14:textOutline>
        </w:rPr>
        <w:t>CERTIFIED</w:t>
      </w:r>
      <w:r>
        <w:rPr>
          <w:rFonts w:ascii="宋体" w:hAnsi="宋体" w:eastAsia="宋体" w:cs="宋体"/>
          <w:color w:val="FF0000"/>
          <w:spacing w:val="-12"/>
          <w:sz w:val="28"/>
          <w:szCs w:val="28"/>
        </w:rPr>
        <w:t xml:space="preserve"> </w:t>
      </w:r>
      <w:r>
        <w:rPr>
          <w:rFonts w:ascii="宋体" w:hAnsi="宋体" w:eastAsia="宋体" w:cs="宋体"/>
          <w:color w:val="FF0000"/>
          <w:spacing w:val="-7"/>
          <w:sz w:val="28"/>
          <w:szCs w:val="28"/>
          <w14:textOutline w14:w="5105" w14:cap="sq" w14:cmpd="sng" w14:algn="ctr">
            <w14:solidFill>
              <w14:srgbClr w14:val="FF0000"/>
            </w14:solidFill>
            <w14:prstDash w14:val="solid"/>
            <w14:bevel/>
          </w14:textOutline>
        </w:rPr>
        <w:t>PUBLIC</w:t>
      </w:r>
      <w:r>
        <w:rPr>
          <w:rFonts w:ascii="宋体" w:hAnsi="宋体" w:eastAsia="宋体" w:cs="宋体"/>
          <w:color w:val="FF0000"/>
          <w:spacing w:val="-15"/>
          <w:sz w:val="28"/>
          <w:szCs w:val="28"/>
        </w:rPr>
        <w:t xml:space="preserve"> </w:t>
      </w:r>
      <w:r>
        <w:rPr>
          <w:rFonts w:ascii="宋体" w:hAnsi="宋体" w:eastAsia="宋体" w:cs="宋体"/>
          <w:color w:val="FF0000"/>
          <w:spacing w:val="-7"/>
          <w:sz w:val="28"/>
          <w:szCs w:val="28"/>
          <w14:textOutline w14:w="5105" w14:cap="sq" w14:cmpd="sng" w14:algn="ctr">
            <w14:solidFill>
              <w14:srgbClr w14:val="FF0000"/>
            </w14:solidFill>
            <w14:prstDash w14:val="solid"/>
            <w14:bevel/>
          </w14:textOutline>
        </w:rPr>
        <w:t>ACCOUNTANTS</w:t>
      </w:r>
      <w:r>
        <w:rPr>
          <w:rFonts w:ascii="宋体" w:hAnsi="宋体" w:eastAsia="宋体" w:cs="宋体"/>
          <w:color w:val="FF0000"/>
          <w:spacing w:val="-10"/>
          <w:sz w:val="28"/>
          <w:szCs w:val="28"/>
        </w:rPr>
        <w:t xml:space="preserve"> </w:t>
      </w:r>
      <w:r>
        <w:rPr>
          <w:rFonts w:ascii="宋体" w:hAnsi="宋体" w:eastAsia="宋体" w:cs="宋体"/>
          <w:color w:val="FF0000"/>
          <w:spacing w:val="-7"/>
          <w:sz w:val="28"/>
          <w:szCs w:val="28"/>
          <w14:textOutline w14:w="5105" w14:cap="sq" w14:cmpd="sng" w14:algn="ctr">
            <w14:solidFill>
              <w14:srgbClr w14:val="FF0000"/>
            </w14:solidFill>
            <w14:prstDash w14:val="solid"/>
            <w14:bevel/>
          </w14:textOutline>
        </w:rPr>
        <w:t>LIMITED</w:t>
      </w:r>
      <w:r>
        <w:rPr>
          <w:rFonts w:ascii="宋体" w:hAnsi="宋体" w:eastAsia="宋体" w:cs="宋体"/>
          <w:color w:val="FF0000"/>
          <w:spacing w:val="-10"/>
          <w:sz w:val="28"/>
          <w:szCs w:val="28"/>
        </w:rPr>
        <w:t xml:space="preserve"> </w:t>
      </w:r>
      <w:r>
        <w:rPr>
          <w:rFonts w:ascii="宋体" w:hAnsi="宋体" w:eastAsia="宋体" w:cs="宋体"/>
          <w:color w:val="FF0000"/>
          <w:spacing w:val="-7"/>
          <w:sz w:val="28"/>
          <w:szCs w:val="28"/>
          <w14:textOutline w14:w="5105" w14:cap="sq" w14:cmpd="sng" w14:algn="ctr">
            <w14:solidFill>
              <w14:srgbClr w14:val="FF0000"/>
            </w14:solidFill>
            <w14:prstDash w14:val="solid"/>
            <w14:bevel/>
          </w14:textOutline>
        </w:rPr>
        <w:t>COMPANY</w:t>
      </w:r>
    </w:p>
    <w:p>
      <w:pPr>
        <w:spacing w:line="265" w:lineRule="auto"/>
        <w:rPr>
          <w:rFonts w:ascii="宋体"/>
        </w:rPr>
      </w:pPr>
    </w:p>
    <w:p>
      <w:pPr>
        <w:spacing w:before="78" w:line="185" w:lineRule="auto"/>
        <w:ind w:firstLine="3230"/>
        <w:rPr>
          <w:rFonts w:hint="eastAsia" w:ascii="仿宋" w:hAnsi="仿宋" w:eastAsia="仿宋" w:cs="仿宋"/>
          <w:sz w:val="24"/>
          <w:szCs w:val="24"/>
        </w:rPr>
      </w:pPr>
      <w:r>
        <w:rPr>
          <w:rFonts w:hint="eastAsia" w:ascii="仿宋" w:hAnsi="仿宋" w:eastAsia="仿宋" w:cs="仿宋"/>
          <w:spacing w:val="-2"/>
          <w:sz w:val="24"/>
          <w:szCs w:val="24"/>
          <w14:textOutline w14:w="4356" w14:cap="sq" w14:cmpd="sng" w14:algn="ctr">
            <w14:solidFill>
              <w14:srgbClr w14:val="000000"/>
            </w14:solidFill>
            <w14:prstDash w14:val="solid"/>
            <w14:bevel/>
          </w14:textOutline>
        </w:rPr>
        <w:t>辽永信专审[2021]QSJX</w:t>
      </w:r>
      <w:r>
        <w:rPr>
          <w:rFonts w:hint="eastAsia" w:ascii="仿宋" w:hAnsi="仿宋" w:eastAsia="仿宋" w:cs="仿宋"/>
          <w:spacing w:val="-34"/>
          <w:sz w:val="24"/>
          <w:szCs w:val="24"/>
        </w:rPr>
        <w:t xml:space="preserve"> </w:t>
      </w:r>
      <w:r>
        <w:rPr>
          <w:rFonts w:hint="eastAsia" w:ascii="仿宋" w:hAnsi="仿宋" w:eastAsia="仿宋" w:cs="仿宋"/>
          <w:spacing w:val="-2"/>
          <w:sz w:val="24"/>
          <w:szCs w:val="24"/>
          <w14:textOutline w14:w="4356" w14:cap="sq" w14:cmpd="sng" w14:algn="ctr">
            <w14:solidFill>
              <w14:srgbClr w14:val="000000"/>
            </w14:solidFill>
            <w14:prstDash w14:val="solid"/>
            <w14:bevel/>
          </w14:textOutline>
        </w:rPr>
        <w:t>第</w:t>
      </w:r>
      <w:r>
        <w:rPr>
          <w:rFonts w:hint="eastAsia" w:ascii="仿宋" w:hAnsi="仿宋" w:eastAsia="仿宋" w:cs="仿宋"/>
          <w:spacing w:val="-51"/>
          <w:sz w:val="24"/>
          <w:szCs w:val="24"/>
        </w:rPr>
        <w:t>2</w:t>
      </w:r>
      <w:r>
        <w:rPr>
          <w:rFonts w:hint="eastAsia" w:ascii="仿宋" w:hAnsi="仿宋" w:eastAsia="仿宋" w:cs="仿宋"/>
          <w:spacing w:val="-2"/>
          <w:sz w:val="24"/>
          <w:szCs w:val="24"/>
          <w14:textOutline w14:w="4356" w14:cap="sq" w14:cmpd="sng" w14:algn="ctr">
            <w14:solidFill>
              <w14:srgbClr w14:val="000000"/>
            </w14:solidFill>
            <w14:prstDash w14:val="solid"/>
            <w14:bevel/>
          </w14:textOutline>
        </w:rPr>
        <w:t>号</w:t>
      </w:r>
    </w:p>
    <w:p>
      <w:pPr>
        <w:spacing w:line="298" w:lineRule="auto"/>
        <w:rPr>
          <w:rFonts w:ascii="宋体"/>
        </w:rPr>
      </w:pPr>
    </w:p>
    <w:p>
      <w:pPr>
        <w:spacing w:line="299" w:lineRule="auto"/>
        <w:rPr>
          <w:rFonts w:ascii="宋体"/>
        </w:rPr>
      </w:pPr>
    </w:p>
    <w:p>
      <w:pPr>
        <w:spacing w:before="117" w:line="559" w:lineRule="exact"/>
        <w:jc w:val="center"/>
        <w:rPr>
          <w:rFonts w:hint="eastAsia" w:ascii="仿宋" w:hAnsi="仿宋" w:eastAsia="仿宋" w:cs="仿宋"/>
          <w:spacing w:val="-1"/>
          <w:position w:val="13"/>
          <w:sz w:val="36"/>
          <w:szCs w:val="36"/>
          <w14:textOutline w14:w="6540" w14:cap="sq" w14:cmpd="sng" w14:algn="ctr">
            <w14:solidFill>
              <w14:srgbClr w14:val="000000"/>
            </w14:solidFill>
            <w14:prstDash w14:val="solid"/>
            <w14:bevel/>
          </w14:textOutline>
        </w:rPr>
      </w:pPr>
      <w:r>
        <w:rPr>
          <w:rFonts w:hint="eastAsia" w:ascii="仿宋" w:hAnsi="仿宋" w:eastAsia="仿宋" w:cs="仿宋"/>
          <w:spacing w:val="-1"/>
          <w:position w:val="13"/>
          <w:sz w:val="36"/>
          <w:szCs w:val="36"/>
          <w14:textOutline w14:w="6540" w14:cap="sq" w14:cmpd="sng" w14:algn="ctr">
            <w14:solidFill>
              <w14:srgbClr w14:val="000000"/>
            </w14:solidFill>
            <w14:prstDash w14:val="solid"/>
            <w14:bevel/>
          </w14:textOutline>
        </w:rPr>
        <w:t>鞍山市千山区房黑线改造工程项目</w:t>
      </w:r>
    </w:p>
    <w:p>
      <w:pPr>
        <w:spacing w:before="117" w:line="559" w:lineRule="exact"/>
        <w:jc w:val="center"/>
        <w:rPr>
          <w:rFonts w:hint="eastAsia" w:ascii="仿宋" w:hAnsi="仿宋" w:eastAsia="仿宋" w:cs="仿宋"/>
          <w:sz w:val="36"/>
          <w:szCs w:val="36"/>
        </w:rPr>
      </w:pPr>
      <w:r>
        <w:rPr>
          <w:rFonts w:hint="eastAsia" w:ascii="仿宋" w:hAnsi="仿宋" w:eastAsia="仿宋" w:cs="仿宋"/>
          <w:spacing w:val="-1"/>
          <w:sz w:val="36"/>
          <w:szCs w:val="36"/>
          <w14:textOutline w14:w="6540" w14:cap="sq" w14:cmpd="sng" w14:algn="ctr">
            <w14:solidFill>
              <w14:srgbClr w14:val="000000"/>
            </w14:solidFill>
            <w14:prstDash w14:val="solid"/>
            <w14:bevel/>
          </w14:textOutline>
        </w:rPr>
        <w:t>事后绩效评价报告</w:t>
      </w:r>
    </w:p>
    <w:p>
      <w:pPr>
        <w:spacing w:before="199" w:line="360" w:lineRule="auto"/>
        <w:ind w:firstLine="179"/>
        <w:rPr>
          <w:rFonts w:ascii="仿宋" w:hAnsi="仿宋" w:eastAsia="仿宋" w:cs="宋体"/>
          <w:sz w:val="32"/>
          <w:szCs w:val="32"/>
        </w:rPr>
      </w:pPr>
      <w:r>
        <w:rPr>
          <w:rFonts w:hint="eastAsia" w:ascii="仿宋" w:hAnsi="仿宋" w:eastAsia="仿宋" w:cs="宋体"/>
          <w:spacing w:val="-3"/>
          <w:sz w:val="32"/>
          <w:szCs w:val="32"/>
        </w:rPr>
        <w:t>鞍山市千山区财政局：</w:t>
      </w:r>
    </w:p>
    <w:p>
      <w:pPr>
        <w:spacing w:before="237" w:line="360" w:lineRule="auto"/>
        <w:ind w:left="175" w:right="60" w:firstLine="656"/>
        <w:rPr>
          <w:rFonts w:ascii="仿宋" w:hAnsi="仿宋" w:eastAsia="仿宋" w:cs="宋体"/>
          <w:sz w:val="32"/>
          <w:szCs w:val="32"/>
        </w:rPr>
      </w:pPr>
      <w:r>
        <w:rPr>
          <w:rFonts w:hint="eastAsia" w:ascii="仿宋" w:hAnsi="仿宋" w:eastAsia="仿宋" w:cs="宋体"/>
          <w:spacing w:val="-6"/>
          <w:sz w:val="32"/>
          <w:szCs w:val="32"/>
        </w:rPr>
        <w:t>受贵局委托，我们组织绩效评价小组，根据国家法律法规和地方政府相关</w:t>
      </w:r>
      <w:r>
        <w:rPr>
          <w:rFonts w:hint="eastAsia" w:ascii="仿宋" w:hAnsi="仿宋" w:eastAsia="仿宋" w:cs="宋体"/>
          <w:spacing w:val="-4"/>
          <w:sz w:val="32"/>
          <w:szCs w:val="32"/>
        </w:rPr>
        <w:t>政策，本着“独立、客观、公正”的原则，结合千山区的实际情况，</w:t>
      </w:r>
      <w:r>
        <w:rPr>
          <w:rFonts w:hint="eastAsia" w:ascii="仿宋" w:hAnsi="仿宋" w:eastAsia="仿宋" w:cs="宋体"/>
          <w:spacing w:val="-9"/>
          <w:sz w:val="32"/>
          <w:szCs w:val="32"/>
        </w:rPr>
        <w:t>对鞍山市千山区房黑线改造工程项目（以下简称该项目）</w:t>
      </w:r>
      <w:r>
        <w:rPr>
          <w:rFonts w:hint="eastAsia" w:ascii="仿宋" w:hAnsi="仿宋" w:eastAsia="仿宋" w:cs="宋体"/>
          <w:spacing w:val="5"/>
          <w:sz w:val="32"/>
          <w:szCs w:val="32"/>
        </w:rPr>
        <w:t xml:space="preserve"> </w:t>
      </w:r>
      <w:r>
        <w:rPr>
          <w:rFonts w:hint="eastAsia" w:ascii="仿宋" w:hAnsi="仿宋" w:eastAsia="仿宋" w:cs="宋体"/>
          <w:spacing w:val="-9"/>
          <w:sz w:val="32"/>
          <w:szCs w:val="32"/>
        </w:rPr>
        <w:t>开展了事后绩效评价，</w:t>
      </w:r>
      <w:r>
        <w:rPr>
          <w:rFonts w:hint="eastAsia" w:ascii="仿宋" w:hAnsi="仿宋" w:eastAsia="仿宋" w:cs="宋体"/>
          <w:spacing w:val="-2"/>
          <w:sz w:val="32"/>
          <w:szCs w:val="32"/>
        </w:rPr>
        <w:t>现将评价的过程和结果报告如下：</w:t>
      </w:r>
    </w:p>
    <w:p>
      <w:pPr>
        <w:spacing w:before="232" w:line="360" w:lineRule="auto"/>
        <w:ind w:firstLine="635" w:firstLineChars="200"/>
        <w:rPr>
          <w:rFonts w:hint="eastAsia" w:ascii="仿宋" w:hAnsi="仿宋" w:eastAsia="仿宋" w:cs="宋体"/>
          <w:b/>
          <w:bCs/>
          <w:spacing w:val="-2"/>
          <w:sz w:val="32"/>
          <w:szCs w:val="32"/>
        </w:rPr>
      </w:pPr>
      <w:r>
        <w:rPr>
          <w:rFonts w:hint="eastAsia" w:ascii="仿宋" w:hAnsi="仿宋" w:eastAsia="仿宋" w:cs="宋体"/>
          <w:b/>
          <w:bCs/>
          <w:spacing w:val="-2"/>
          <w:sz w:val="32"/>
          <w:szCs w:val="32"/>
        </w:rPr>
        <w:t>一、基本情况</w:t>
      </w:r>
    </w:p>
    <w:p>
      <w:pPr>
        <w:spacing w:before="234" w:line="360" w:lineRule="auto"/>
        <w:ind w:firstLine="655"/>
        <w:rPr>
          <w:rFonts w:ascii="仿宋" w:hAnsi="仿宋" w:eastAsia="仿宋" w:cs="宋体"/>
          <w:sz w:val="32"/>
          <w:szCs w:val="32"/>
        </w:rPr>
      </w:pPr>
      <w:r>
        <w:rPr>
          <w:rFonts w:hint="eastAsia" w:ascii="仿宋" w:hAnsi="仿宋" w:eastAsia="仿宋" w:cs="宋体"/>
          <w:spacing w:val="-2"/>
          <w:sz w:val="32"/>
          <w:szCs w:val="32"/>
        </w:rPr>
        <w:t>（一）项目概况</w:t>
      </w:r>
    </w:p>
    <w:p>
      <w:pPr>
        <w:spacing w:before="235"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1、项目背景</w:t>
      </w:r>
    </w:p>
    <w:p>
      <w:pPr>
        <w:spacing w:before="235"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2020年5月9日，经鞍山市千山区区长办公会研究，决定进行汤岗子污水处理厂外部道路（房黑线）大修改造工作。并责成千山区交通运输局负责，计划于2020年8月15日前完成汤岗子污水处理厂外部道路（房黑线）大修改造工作，工程资金来源为近几年省农村公路维修补助结余资金。</w:t>
      </w:r>
    </w:p>
    <w:p>
      <w:pPr>
        <w:spacing w:before="228" w:line="360" w:lineRule="auto"/>
        <w:ind w:firstLine="628" w:firstLineChars="200"/>
        <w:rPr>
          <w:rFonts w:hint="eastAsia" w:ascii="仿宋" w:hAnsi="仿宋" w:eastAsia="仿宋" w:cs="宋体"/>
          <w:spacing w:val="-3"/>
          <w:sz w:val="32"/>
          <w:szCs w:val="32"/>
          <w:lang w:eastAsia="zh-CN"/>
        </w:rPr>
      </w:pPr>
      <w:r>
        <w:rPr>
          <w:rFonts w:hint="eastAsia" w:ascii="仿宋" w:hAnsi="仿宋" w:eastAsia="仿宋" w:cs="宋体"/>
          <w:spacing w:val="-3"/>
          <w:sz w:val="32"/>
          <w:szCs w:val="32"/>
          <w:lang w:eastAsia="zh-CN"/>
        </w:rPr>
        <w:t>2、项目主要内容</w:t>
      </w:r>
    </w:p>
    <w:p>
      <w:pPr>
        <w:spacing w:before="1" w:line="360" w:lineRule="auto"/>
        <w:ind w:firstLine="604" w:firstLineChars="200"/>
        <w:rPr>
          <w:rFonts w:ascii="仿宋" w:hAnsi="仿宋" w:eastAsia="仿宋" w:cs="宋体"/>
          <w:spacing w:val="-15"/>
          <w:w w:val="97"/>
          <w:sz w:val="32"/>
          <w:szCs w:val="32"/>
        </w:rPr>
      </w:pPr>
      <w:r>
        <w:rPr>
          <w:rFonts w:hint="eastAsia" w:ascii="仿宋" w:hAnsi="仿宋" w:eastAsia="仿宋" w:cs="宋体"/>
          <w:spacing w:val="-9"/>
          <w:sz w:val="32"/>
          <w:szCs w:val="32"/>
        </w:rPr>
        <w:t>房黑线大修改造工程位于鞍山市千山区中所屯，里程桩号为K0+000—K2+994.628，长2.995公里，</w:t>
      </w:r>
      <w:r>
        <w:rPr>
          <w:rFonts w:hint="eastAsia" w:ascii="仿宋" w:hAnsi="仿宋" w:eastAsia="仿宋" w:cs="宋体"/>
          <w:spacing w:val="-10"/>
          <w:sz w:val="32"/>
          <w:szCs w:val="32"/>
        </w:rPr>
        <w:t>计划总投资381.50</w:t>
      </w:r>
      <w:r>
        <w:rPr>
          <w:rFonts w:hint="eastAsia" w:ascii="仿宋" w:hAnsi="仿宋" w:eastAsia="仿宋" w:cs="宋体"/>
          <w:spacing w:val="-9"/>
          <w:sz w:val="32"/>
          <w:szCs w:val="32"/>
        </w:rPr>
        <w:t>万元，设计施工内容为：在污水厂内右侧（K0+996—K1+289）设无盖板石砌边沟，长293米，左侧设盖板石砌边沟，长303米。在挖土方路段（K1+210—K1+250）右侧石砌边沟外设置挡土墙40米。全线共计涵洞2道，其中K0+773涵洞可利用，仅拆除涵洞上面的挡墙。K2+672处涵洞拆除重建，新建1道长度为7米的圆形管涵。在K2+730—K2+974左侧高填方路段增设防护等级为C级的钢护栏，长244米。</w:t>
      </w:r>
    </w:p>
    <w:p>
      <w:pPr>
        <w:spacing w:before="228" w:line="360" w:lineRule="auto"/>
        <w:ind w:firstLine="628" w:firstLineChars="200"/>
        <w:rPr>
          <w:rFonts w:hint="eastAsia" w:ascii="仿宋" w:hAnsi="仿宋" w:eastAsia="仿宋" w:cs="宋体"/>
          <w:spacing w:val="-3"/>
          <w:sz w:val="32"/>
          <w:szCs w:val="32"/>
          <w:lang w:eastAsia="zh-CN"/>
        </w:rPr>
      </w:pPr>
      <w:r>
        <w:rPr>
          <w:rFonts w:hint="eastAsia" w:ascii="仿宋" w:hAnsi="仿宋" w:eastAsia="仿宋" w:cs="宋体"/>
          <w:spacing w:val="-3"/>
          <w:sz w:val="32"/>
          <w:szCs w:val="32"/>
          <w:lang w:eastAsia="zh-CN"/>
        </w:rPr>
        <w:t>3、项目参与单位</w:t>
      </w:r>
    </w:p>
    <w:p>
      <w:pPr>
        <w:spacing w:before="1" w:line="360" w:lineRule="auto"/>
        <w:ind w:left="10" w:firstLine="618" w:firstLineChars="197"/>
        <w:rPr>
          <w:rFonts w:ascii="仿宋" w:hAnsi="仿宋" w:eastAsia="仿宋" w:cs="宋体"/>
          <w:spacing w:val="-3"/>
          <w:sz w:val="32"/>
          <w:szCs w:val="32"/>
        </w:rPr>
      </w:pPr>
      <w:r>
        <w:rPr>
          <w:rFonts w:hint="eastAsia" w:ascii="仿宋" w:hAnsi="仿宋" w:eastAsia="仿宋" w:cs="宋体"/>
          <w:spacing w:val="-3"/>
          <w:sz w:val="32"/>
          <w:szCs w:val="32"/>
        </w:rPr>
        <w:t>该项目由鞍山市千山区交通运输事业发展中心负责组织建设，施工单位为宏峰建设集团有限公司；设计单位为鞍山市公路勘测设计院有限公司；监理单位为</w:t>
      </w:r>
      <w:r>
        <w:rPr>
          <w:rFonts w:hint="eastAsia" w:ascii="仿宋" w:hAnsi="仿宋" w:eastAsia="仿宋" w:cs="宋体"/>
          <w:spacing w:val="-15"/>
          <w:w w:val="97"/>
          <w:sz w:val="32"/>
          <w:szCs w:val="32"/>
        </w:rPr>
        <w:t>辽宁嘉信建设项目管理有限公司</w:t>
      </w:r>
      <w:r>
        <w:rPr>
          <w:rFonts w:hint="eastAsia" w:ascii="仿宋" w:hAnsi="仿宋" w:eastAsia="仿宋" w:cs="宋体"/>
          <w:spacing w:val="-3"/>
          <w:sz w:val="32"/>
          <w:szCs w:val="32"/>
        </w:rPr>
        <w:t>；造价审核单位为沈阳维华工程管理有限公司</w:t>
      </w:r>
      <w:r>
        <w:rPr>
          <w:rFonts w:hint="eastAsia" w:ascii="仿宋" w:hAnsi="仿宋" w:eastAsia="仿宋" w:cs="宋体"/>
          <w:spacing w:val="-15"/>
          <w:w w:val="97"/>
          <w:sz w:val="32"/>
          <w:szCs w:val="32"/>
        </w:rPr>
        <w:t>；招标代理单位为中昊北方（辽宁）工程技术有限公司。</w:t>
      </w:r>
    </w:p>
    <w:p>
      <w:pPr>
        <w:spacing w:before="228" w:line="360" w:lineRule="auto"/>
        <w:ind w:firstLine="628" w:firstLineChars="200"/>
        <w:rPr>
          <w:rFonts w:hint="eastAsia" w:ascii="仿宋" w:hAnsi="仿宋" w:eastAsia="仿宋" w:cs="宋体"/>
          <w:spacing w:val="-3"/>
          <w:sz w:val="32"/>
          <w:szCs w:val="32"/>
          <w:lang w:eastAsia="zh-CN"/>
        </w:rPr>
      </w:pPr>
      <w:r>
        <w:rPr>
          <w:rFonts w:hint="eastAsia" w:ascii="仿宋" w:hAnsi="仿宋" w:eastAsia="仿宋" w:cs="宋体"/>
          <w:spacing w:val="-3"/>
          <w:sz w:val="32"/>
          <w:szCs w:val="32"/>
          <w:lang w:eastAsia="zh-CN"/>
        </w:rPr>
        <w:t>4、项目实施情况</w:t>
      </w:r>
    </w:p>
    <w:p>
      <w:pPr>
        <w:spacing w:before="1" w:line="360" w:lineRule="auto"/>
        <w:ind w:left="10" w:firstLine="618" w:firstLineChars="197"/>
        <w:rPr>
          <w:rFonts w:ascii="仿宋" w:hAnsi="仿宋" w:eastAsia="仿宋" w:cs="宋体"/>
          <w:spacing w:val="-15"/>
          <w:w w:val="97"/>
          <w:sz w:val="32"/>
          <w:szCs w:val="32"/>
        </w:rPr>
      </w:pPr>
      <w:r>
        <w:rPr>
          <w:rFonts w:hint="eastAsia" w:ascii="仿宋" w:hAnsi="仿宋" w:eastAsia="仿宋" w:cs="宋体"/>
          <w:spacing w:val="-3"/>
          <w:sz w:val="32"/>
          <w:szCs w:val="32"/>
        </w:rPr>
        <w:t>该项目于</w:t>
      </w:r>
      <w:r>
        <w:rPr>
          <w:rFonts w:hint="eastAsia" w:ascii="仿宋" w:hAnsi="仿宋" w:eastAsia="仿宋" w:cs="宋体"/>
          <w:spacing w:val="-15"/>
          <w:w w:val="97"/>
          <w:sz w:val="32"/>
          <w:szCs w:val="32"/>
        </w:rPr>
        <w:t>2020年6月4日开工，2020年9月28日竣工通车，由于K1+289—K2+447段涉及铁路红线范围内不允许动土，因此没有施工；K2+447—K2+995段工序当进行到工程量75%时，因征地补偿问题导致工程无法继续进行；施工单位只完成K0+000—K1+289路段1.289公里的工程量，工程内容为：24CM水泥混凝土路面（C30）5213m</w:t>
      </w:r>
      <w:r>
        <w:rPr>
          <w:rFonts w:hint="eastAsia" w:ascii="宋体" w:hAnsi="宋体" w:eastAsia="宋体" w:cs="宋体"/>
          <w:spacing w:val="-15"/>
          <w:w w:val="97"/>
          <w:sz w:val="32"/>
          <w:szCs w:val="32"/>
        </w:rPr>
        <w:t>²</w:t>
      </w:r>
      <w:r>
        <w:rPr>
          <w:rFonts w:hint="eastAsia" w:ascii="仿宋" w:hAnsi="仿宋" w:eastAsia="仿宋" w:cs="仿宋"/>
          <w:spacing w:val="-15"/>
          <w:w w:val="97"/>
          <w:sz w:val="32"/>
          <w:szCs w:val="32"/>
        </w:rPr>
        <w:t>；</w:t>
      </w:r>
      <w:r>
        <w:rPr>
          <w:rFonts w:hint="eastAsia" w:ascii="仿宋" w:hAnsi="仿宋" w:eastAsia="仿宋" w:cs="宋体"/>
          <w:spacing w:val="-15"/>
          <w:w w:val="97"/>
          <w:sz w:val="32"/>
          <w:szCs w:val="32"/>
        </w:rPr>
        <w:t>20cm水泥稳定碎石上基层5730m</w:t>
      </w:r>
      <w:r>
        <w:rPr>
          <w:rFonts w:hint="eastAsia" w:ascii="宋体" w:hAnsi="宋体" w:eastAsia="宋体" w:cs="宋体"/>
          <w:spacing w:val="-15"/>
          <w:w w:val="97"/>
          <w:sz w:val="32"/>
          <w:szCs w:val="32"/>
        </w:rPr>
        <w:t>²</w:t>
      </w:r>
      <w:r>
        <w:rPr>
          <w:rFonts w:hint="eastAsia" w:ascii="仿宋" w:hAnsi="仿宋" w:eastAsia="仿宋" w:cs="仿宋"/>
          <w:spacing w:val="-15"/>
          <w:w w:val="97"/>
          <w:sz w:val="32"/>
          <w:szCs w:val="32"/>
        </w:rPr>
        <w:t>，</w:t>
      </w:r>
      <w:r>
        <w:rPr>
          <w:rFonts w:hint="eastAsia" w:ascii="仿宋" w:hAnsi="仿宋" w:eastAsia="仿宋" w:cs="宋体"/>
          <w:spacing w:val="-15"/>
          <w:w w:val="97"/>
          <w:sz w:val="32"/>
          <w:szCs w:val="32"/>
        </w:rPr>
        <w:t>20cm水泥稳定碎石下基层1779m</w:t>
      </w:r>
      <w:r>
        <w:rPr>
          <w:rFonts w:hint="eastAsia" w:ascii="宋体" w:hAnsi="宋体" w:eastAsia="宋体" w:cs="宋体"/>
          <w:spacing w:val="-15"/>
          <w:w w:val="97"/>
          <w:sz w:val="32"/>
          <w:szCs w:val="32"/>
        </w:rPr>
        <w:t>²</w:t>
      </w:r>
      <w:r>
        <w:rPr>
          <w:rFonts w:hint="eastAsia" w:ascii="仿宋" w:hAnsi="仿宋" w:eastAsia="仿宋" w:cs="仿宋"/>
          <w:spacing w:val="-15"/>
          <w:w w:val="97"/>
          <w:sz w:val="32"/>
          <w:szCs w:val="32"/>
        </w:rPr>
        <w:t>，级配碎石垫层</w:t>
      </w:r>
      <w:r>
        <w:rPr>
          <w:rFonts w:hint="eastAsia" w:ascii="仿宋" w:hAnsi="仿宋" w:eastAsia="仿宋" w:cs="宋体"/>
          <w:spacing w:val="-15"/>
          <w:w w:val="97"/>
          <w:sz w:val="32"/>
          <w:szCs w:val="32"/>
        </w:rPr>
        <w:t>1984m</w:t>
      </w:r>
      <w:r>
        <w:rPr>
          <w:rFonts w:hint="eastAsia" w:ascii="宋体" w:hAnsi="宋体" w:eastAsia="宋体" w:cs="宋体"/>
          <w:spacing w:val="-15"/>
          <w:w w:val="97"/>
          <w:sz w:val="32"/>
          <w:szCs w:val="32"/>
        </w:rPr>
        <w:t>²</w:t>
      </w:r>
      <w:r>
        <w:rPr>
          <w:rFonts w:hint="eastAsia" w:ascii="仿宋" w:hAnsi="仿宋" w:eastAsia="仿宋" w:cs="仿宋"/>
          <w:spacing w:val="-15"/>
          <w:w w:val="97"/>
          <w:sz w:val="32"/>
          <w:szCs w:val="32"/>
        </w:rPr>
        <w:t>，混石换填</w:t>
      </w:r>
      <w:r>
        <w:rPr>
          <w:rFonts w:hint="eastAsia" w:ascii="仿宋" w:hAnsi="仿宋" w:eastAsia="仿宋" w:cs="宋体"/>
          <w:spacing w:val="-15"/>
          <w:w w:val="97"/>
          <w:sz w:val="32"/>
          <w:szCs w:val="32"/>
        </w:rPr>
        <w:t>1658m</w:t>
      </w:r>
      <w:r>
        <w:rPr>
          <w:rFonts w:hint="eastAsia" w:ascii="宋体" w:hAnsi="宋体" w:eastAsia="宋体" w:cs="宋体"/>
          <w:spacing w:val="-15"/>
          <w:w w:val="97"/>
          <w:sz w:val="32"/>
          <w:szCs w:val="32"/>
        </w:rPr>
        <w:t>²</w:t>
      </w:r>
      <w:r>
        <w:rPr>
          <w:rFonts w:hint="eastAsia" w:ascii="仿宋" w:hAnsi="仿宋" w:eastAsia="仿宋" w:cs="仿宋"/>
          <w:spacing w:val="-15"/>
          <w:w w:val="97"/>
          <w:sz w:val="32"/>
          <w:szCs w:val="32"/>
        </w:rPr>
        <w:t>，挖除旧路</w:t>
      </w:r>
      <w:r>
        <w:rPr>
          <w:rFonts w:hint="eastAsia" w:ascii="仿宋" w:hAnsi="仿宋" w:eastAsia="仿宋" w:cs="宋体"/>
          <w:spacing w:val="-15"/>
          <w:w w:val="97"/>
          <w:sz w:val="32"/>
          <w:szCs w:val="32"/>
        </w:rPr>
        <w:t>1790m</w:t>
      </w:r>
      <w:r>
        <w:rPr>
          <w:rFonts w:hint="eastAsia" w:ascii="宋体" w:hAnsi="宋体" w:eastAsia="宋体" w:cs="宋体"/>
          <w:spacing w:val="-15"/>
          <w:w w:val="97"/>
          <w:sz w:val="32"/>
          <w:szCs w:val="32"/>
        </w:rPr>
        <w:t>²</w:t>
      </w:r>
      <w:r>
        <w:rPr>
          <w:rFonts w:hint="eastAsia" w:ascii="仿宋" w:hAnsi="仿宋" w:eastAsia="仿宋" w:cs="仿宋"/>
          <w:spacing w:val="-15"/>
          <w:w w:val="97"/>
          <w:sz w:val="32"/>
          <w:szCs w:val="32"/>
        </w:rPr>
        <w:t>，有盖板边沟</w:t>
      </w:r>
      <w:r>
        <w:rPr>
          <w:rFonts w:hint="eastAsia" w:ascii="仿宋" w:hAnsi="仿宋" w:eastAsia="仿宋" w:cs="宋体"/>
          <w:spacing w:val="-15"/>
          <w:w w:val="97"/>
          <w:sz w:val="32"/>
          <w:szCs w:val="32"/>
        </w:rPr>
        <w:t>303m，无盖板边沟293m，挡土墙40m，警告标志2个，凸透镜2个。此外，于原设计方案之外，在K0+800处新增管涵（直径</w:t>
      </w:r>
      <w:r>
        <w:rPr>
          <w:rFonts w:hint="eastAsia" w:ascii="仿宋" w:hAnsi="仿宋" w:eastAsia="仿宋" w:cs="宋体"/>
          <w:spacing w:val="-9"/>
          <w:sz w:val="32"/>
          <w:szCs w:val="32"/>
        </w:rPr>
        <w:t>0.5米，长8米）</w:t>
      </w:r>
      <w:r>
        <w:rPr>
          <w:rFonts w:hint="eastAsia" w:ascii="仿宋" w:hAnsi="仿宋" w:eastAsia="仿宋" w:cs="宋体"/>
          <w:spacing w:val="-15"/>
          <w:w w:val="97"/>
          <w:sz w:val="32"/>
          <w:szCs w:val="32"/>
        </w:rPr>
        <w:t>一座。</w:t>
      </w:r>
    </w:p>
    <w:p>
      <w:pPr>
        <w:spacing w:before="228" w:line="360" w:lineRule="auto"/>
        <w:ind w:firstLine="628" w:firstLineChars="200"/>
        <w:rPr>
          <w:rFonts w:hint="eastAsia" w:ascii="仿宋" w:hAnsi="仿宋" w:eastAsia="仿宋" w:cs="宋体"/>
          <w:spacing w:val="-3"/>
          <w:sz w:val="32"/>
          <w:szCs w:val="32"/>
          <w:lang w:eastAsia="zh-CN"/>
        </w:rPr>
      </w:pPr>
      <w:r>
        <w:rPr>
          <w:rFonts w:hint="eastAsia" w:ascii="仿宋" w:hAnsi="仿宋" w:eastAsia="仿宋" w:cs="宋体"/>
          <w:spacing w:val="-3"/>
          <w:sz w:val="32"/>
          <w:szCs w:val="32"/>
          <w:lang w:eastAsia="zh-CN"/>
        </w:rPr>
        <w:t>5、项目资金投入和使用情况</w:t>
      </w:r>
    </w:p>
    <w:p>
      <w:pPr>
        <w:spacing w:before="228" w:line="360" w:lineRule="auto"/>
        <w:ind w:firstLine="628" w:firstLineChars="200"/>
        <w:rPr>
          <w:rFonts w:hint="eastAsia" w:ascii="仿宋" w:hAnsi="仿宋" w:eastAsia="仿宋" w:cs="宋体"/>
          <w:spacing w:val="-3"/>
          <w:sz w:val="32"/>
          <w:szCs w:val="32"/>
          <w:lang w:eastAsia="zh-CN"/>
        </w:rPr>
      </w:pPr>
      <w:r>
        <w:rPr>
          <w:rFonts w:hint="eastAsia" w:ascii="仿宋" w:hAnsi="仿宋" w:eastAsia="仿宋" w:cs="宋体"/>
          <w:spacing w:val="-3"/>
          <w:sz w:val="32"/>
          <w:szCs w:val="32"/>
          <w:lang w:eastAsia="zh-CN"/>
        </w:rPr>
        <w:t>（1）项目资金到位情况</w:t>
      </w:r>
    </w:p>
    <w:p>
      <w:pPr>
        <w:spacing w:before="1" w:line="360" w:lineRule="auto"/>
        <w:ind w:firstLine="554" w:firstLineChars="200"/>
        <w:rPr>
          <w:rFonts w:ascii="仿宋" w:hAnsi="仿宋" w:eastAsia="仿宋" w:cs="宋体"/>
          <w:spacing w:val="-9"/>
          <w:sz w:val="32"/>
          <w:szCs w:val="32"/>
        </w:rPr>
      </w:pPr>
      <w:r>
        <w:rPr>
          <w:rFonts w:hint="eastAsia" w:ascii="仿宋" w:hAnsi="仿宋" w:eastAsia="仿宋" w:cs="宋体"/>
          <w:spacing w:val="-15"/>
          <w:w w:val="96"/>
          <w:sz w:val="32"/>
          <w:szCs w:val="32"/>
        </w:rPr>
        <w:t>该项目计划总投资381.50万元，其中：</w:t>
      </w:r>
      <w:r>
        <w:rPr>
          <w:rFonts w:hint="eastAsia" w:ascii="仿宋" w:hAnsi="仿宋" w:eastAsia="仿宋" w:cs="宋体"/>
          <w:spacing w:val="-9"/>
          <w:sz w:val="32"/>
          <w:szCs w:val="32"/>
        </w:rPr>
        <w:t xml:space="preserve">工程建安费332.00万元，工程建设其他费用（设计费、监理费、工程限价费、招标代理费、检测费、审计费）38.40万元，预备费11.10万元，资金来源为省农村公路维修补助结余资金。 </w:t>
      </w:r>
    </w:p>
    <w:p>
      <w:pPr>
        <w:spacing w:before="1" w:line="360" w:lineRule="auto"/>
        <w:ind w:firstLine="604" w:firstLineChars="200"/>
        <w:rPr>
          <w:rFonts w:ascii="仿宋" w:hAnsi="仿宋" w:eastAsia="仿宋" w:cs="宋体"/>
          <w:spacing w:val="-9"/>
          <w:sz w:val="32"/>
          <w:szCs w:val="32"/>
        </w:rPr>
      </w:pPr>
      <w:r>
        <w:rPr>
          <w:rFonts w:hint="eastAsia" w:ascii="仿宋" w:hAnsi="仿宋" w:eastAsia="仿宋" w:cs="宋体"/>
          <w:spacing w:val="-9"/>
          <w:sz w:val="32"/>
          <w:szCs w:val="32"/>
        </w:rPr>
        <w:t>2020年9月14日鞍山市千山区财政局《关于下达专项经费指标的通知》 （鞍千财发[2020]指综第605号）下达地方政府一般债券资金6</w:t>
      </w:r>
      <w:r>
        <w:rPr>
          <w:rFonts w:hint="eastAsia" w:ascii="仿宋" w:hAnsi="仿宋" w:eastAsia="仿宋" w:cs="宋体"/>
          <w:spacing w:val="-9"/>
          <w:sz w:val="32"/>
          <w:szCs w:val="32"/>
          <w:lang w:val="en-US" w:eastAsia="zh-CN"/>
        </w:rPr>
        <w:t>,</w:t>
      </w:r>
      <w:r>
        <w:rPr>
          <w:rFonts w:hint="eastAsia" w:ascii="仿宋" w:hAnsi="仿宋" w:eastAsia="仿宋" w:cs="宋体"/>
          <w:spacing w:val="-9"/>
          <w:sz w:val="32"/>
          <w:szCs w:val="32"/>
        </w:rPr>
        <w:t>600万元，其中该指标的上年度结转资金包含本项目1,067,169.69元；2021年4月21日鞍山市千山区财政局《关于追加专项经费指标的通知》 （鞍千财发[2021]指综第288号）下达专项经费指标256,216.02元，截止2021年5月7日，该项目应到位资金1,323,385.71元,实际到位资金1,323,385.71元，到位率为100%。</w:t>
      </w:r>
    </w:p>
    <w:p>
      <w:pPr>
        <w:spacing w:before="228" w:line="360" w:lineRule="auto"/>
        <w:ind w:firstLine="628" w:firstLineChars="200"/>
        <w:rPr>
          <w:rFonts w:hint="eastAsia" w:ascii="仿宋" w:hAnsi="仿宋" w:eastAsia="仿宋" w:cs="宋体"/>
          <w:spacing w:val="-3"/>
          <w:sz w:val="32"/>
          <w:szCs w:val="32"/>
        </w:rPr>
      </w:pPr>
      <w:r>
        <w:rPr>
          <w:rFonts w:hint="eastAsia" w:ascii="仿宋" w:hAnsi="仿宋" w:eastAsia="仿宋" w:cs="宋体"/>
          <w:spacing w:val="-3"/>
          <w:sz w:val="32"/>
          <w:szCs w:val="32"/>
          <w:lang w:eastAsia="zh-CN"/>
        </w:rPr>
        <w:t>（</w:t>
      </w:r>
      <w:r>
        <w:rPr>
          <w:rFonts w:hint="eastAsia" w:ascii="仿宋" w:hAnsi="仿宋" w:eastAsia="仿宋" w:cs="宋体"/>
          <w:spacing w:val="-3"/>
          <w:sz w:val="32"/>
          <w:szCs w:val="32"/>
          <w:lang w:val="en-US" w:eastAsia="zh-CN"/>
        </w:rPr>
        <w:t>2</w:t>
      </w:r>
      <w:r>
        <w:rPr>
          <w:rFonts w:hint="eastAsia" w:ascii="仿宋" w:hAnsi="仿宋" w:eastAsia="仿宋" w:cs="宋体"/>
          <w:spacing w:val="-3"/>
          <w:sz w:val="32"/>
          <w:szCs w:val="32"/>
          <w:lang w:eastAsia="zh-CN"/>
        </w:rPr>
        <w:t>）</w:t>
      </w:r>
      <w:r>
        <w:rPr>
          <w:rFonts w:hint="eastAsia" w:ascii="仿宋" w:hAnsi="仿宋" w:eastAsia="仿宋" w:cs="宋体"/>
          <w:spacing w:val="-3"/>
          <w:sz w:val="32"/>
          <w:szCs w:val="32"/>
        </w:rPr>
        <w:t>项目资金使用情况</w:t>
      </w:r>
    </w:p>
    <w:p>
      <w:pPr>
        <w:spacing w:before="1" w:line="360" w:lineRule="auto"/>
        <w:ind w:firstLine="604" w:firstLineChars="200"/>
        <w:rPr>
          <w:rFonts w:ascii="仿宋" w:hAnsi="仿宋" w:eastAsia="仿宋" w:cs="宋体"/>
          <w:spacing w:val="-15"/>
          <w:w w:val="97"/>
          <w:sz w:val="32"/>
          <w:szCs w:val="32"/>
        </w:rPr>
      </w:pPr>
      <w:r>
        <w:rPr>
          <w:rFonts w:hint="eastAsia" w:ascii="仿宋" w:hAnsi="仿宋" w:eastAsia="仿宋" w:cs="宋体"/>
          <w:spacing w:val="-9"/>
          <w:sz w:val="32"/>
          <w:szCs w:val="32"/>
        </w:rPr>
        <w:t>该项目经辽宁寰禹泓业工程造价咨询有限公司审核（审核报告文号：辽寰造价审字（2020）54号），工程结算审定金额为1,323,385.71 元，</w:t>
      </w:r>
      <w:r>
        <w:rPr>
          <w:rFonts w:hint="eastAsia" w:ascii="仿宋" w:hAnsi="仿宋" w:eastAsia="仿宋" w:cs="宋体"/>
          <w:spacing w:val="-3"/>
          <w:sz w:val="32"/>
          <w:szCs w:val="32"/>
        </w:rPr>
        <w:t>宏峰建设集团有限公司已全额开具发票，目前已支付宏峰建设集团有限公司</w:t>
      </w:r>
      <w:r>
        <w:rPr>
          <w:rFonts w:hint="eastAsia" w:ascii="仿宋" w:hAnsi="仿宋" w:eastAsia="仿宋" w:cs="宋体"/>
          <w:spacing w:val="-9"/>
          <w:sz w:val="32"/>
          <w:szCs w:val="32"/>
        </w:rPr>
        <w:t>1,283,385.71元，质量保证金40,000.00元存于千山区财政局</w:t>
      </w:r>
      <w:r>
        <w:rPr>
          <w:rFonts w:hint="eastAsia" w:ascii="仿宋" w:hAnsi="仿宋" w:eastAsia="仿宋" w:cs="宋体"/>
          <w:spacing w:val="-3"/>
          <w:sz w:val="32"/>
          <w:szCs w:val="32"/>
        </w:rPr>
        <w:t>。此外，使用日常公用经费科目支付项目其他费用102,526.00元，其中鞍山市公路勘测设计院有限公司设计费52,870.00元；辽宁嘉信建设项目管理有限公司监理费19,718.00元；沈阳维华工程管理有限公司造价审核费8,388.00元；</w:t>
      </w:r>
      <w:r>
        <w:rPr>
          <w:rFonts w:hint="eastAsia" w:ascii="仿宋" w:hAnsi="仿宋" w:eastAsia="仿宋" w:cs="宋体"/>
          <w:spacing w:val="-15"/>
          <w:w w:val="97"/>
          <w:sz w:val="32"/>
          <w:szCs w:val="32"/>
        </w:rPr>
        <w:t>中昊北方（辽宁）工程技术有限公司招标代理费21,550.00元。</w:t>
      </w:r>
    </w:p>
    <w:p>
      <w:pPr>
        <w:spacing w:before="228" w:line="360" w:lineRule="auto"/>
        <w:ind w:firstLine="628" w:firstLineChars="200"/>
        <w:rPr>
          <w:rFonts w:hint="eastAsia" w:ascii="仿宋" w:hAnsi="仿宋" w:eastAsia="仿宋" w:cs="宋体"/>
          <w:spacing w:val="-3"/>
          <w:sz w:val="32"/>
          <w:szCs w:val="32"/>
          <w:lang w:eastAsia="zh-CN"/>
        </w:rPr>
      </w:pPr>
      <w:r>
        <w:rPr>
          <w:rFonts w:hint="eastAsia" w:ascii="仿宋" w:hAnsi="仿宋" w:eastAsia="仿宋" w:cs="宋体"/>
          <w:spacing w:val="-3"/>
          <w:sz w:val="32"/>
          <w:szCs w:val="32"/>
          <w:lang w:eastAsia="zh-CN"/>
        </w:rPr>
        <w:t>（二）项目绩效目标</w:t>
      </w:r>
    </w:p>
    <w:p>
      <w:pPr>
        <w:spacing w:before="1" w:line="360" w:lineRule="auto"/>
        <w:ind w:firstLine="554" w:firstLineChars="200"/>
        <w:rPr>
          <w:rFonts w:ascii="仿宋" w:hAnsi="仿宋" w:eastAsia="仿宋" w:cs="宋体"/>
          <w:spacing w:val="-15"/>
          <w:w w:val="96"/>
          <w:sz w:val="32"/>
          <w:szCs w:val="32"/>
        </w:rPr>
      </w:pPr>
      <w:r>
        <w:rPr>
          <w:rFonts w:hint="eastAsia" w:ascii="仿宋" w:hAnsi="仿宋" w:eastAsia="仿宋" w:cs="宋体"/>
          <w:spacing w:val="-15"/>
          <w:w w:val="96"/>
          <w:sz w:val="32"/>
          <w:szCs w:val="32"/>
        </w:rPr>
        <w:t>对汤岗子污水处理厂厂外道路（房黑线）进行大修改造后，房黑线将形成以下路面状态：K0+000—K0+987段，路线长0.996公里，路基宽5米，其中路面宽3.5米，两侧设置土路肩各0.75米，外设边坡。</w:t>
      </w:r>
    </w:p>
    <w:p>
      <w:pPr>
        <w:spacing w:before="1" w:line="360" w:lineRule="auto"/>
        <w:ind w:firstLine="554" w:firstLineChars="200"/>
        <w:rPr>
          <w:rFonts w:ascii="仿宋" w:hAnsi="仿宋" w:eastAsia="仿宋" w:cs="宋体"/>
          <w:spacing w:val="-15"/>
          <w:w w:val="96"/>
          <w:sz w:val="32"/>
          <w:szCs w:val="32"/>
        </w:rPr>
      </w:pPr>
      <w:r>
        <w:rPr>
          <w:rFonts w:hint="eastAsia" w:ascii="仿宋" w:hAnsi="仿宋" w:eastAsia="仿宋" w:cs="宋体"/>
          <w:spacing w:val="-15"/>
          <w:w w:val="96"/>
          <w:sz w:val="32"/>
          <w:szCs w:val="32"/>
        </w:rPr>
        <w:t>K0+996—K1+289段，路线长0.293公里，路基宽6米，其中路面宽5米，两侧设置土路肩各0.5米，外设边坡、石砌边沟。</w:t>
      </w:r>
    </w:p>
    <w:p>
      <w:pPr>
        <w:spacing w:before="1" w:line="360" w:lineRule="auto"/>
        <w:ind w:firstLine="554" w:firstLineChars="200"/>
        <w:rPr>
          <w:rFonts w:ascii="仿宋" w:hAnsi="仿宋" w:eastAsia="仿宋" w:cs="宋体"/>
          <w:spacing w:val="-15"/>
          <w:w w:val="96"/>
          <w:sz w:val="32"/>
          <w:szCs w:val="32"/>
          <w:highlight w:val="yellow"/>
        </w:rPr>
      </w:pPr>
      <w:r>
        <w:rPr>
          <w:rFonts w:hint="eastAsia" w:ascii="仿宋" w:hAnsi="仿宋" w:eastAsia="仿宋" w:cs="宋体"/>
          <w:spacing w:val="-15"/>
          <w:w w:val="96"/>
          <w:sz w:val="32"/>
          <w:szCs w:val="32"/>
        </w:rPr>
        <w:t>K2+960—K2+994.628段，线路长0.035公里，路基宽6米，其中路面宽5米，两侧设置土路肩各0.5米，外设边坡，其余路段为过渡段。</w:t>
      </w:r>
    </w:p>
    <w:p>
      <w:pPr>
        <w:spacing w:before="232" w:line="360" w:lineRule="auto"/>
        <w:ind w:firstLine="635" w:firstLineChars="200"/>
        <w:rPr>
          <w:rFonts w:ascii="仿宋" w:hAnsi="仿宋" w:eastAsia="仿宋" w:cs="宋体"/>
          <w:b/>
          <w:bCs/>
          <w:sz w:val="32"/>
          <w:szCs w:val="32"/>
        </w:rPr>
      </w:pPr>
      <w:r>
        <w:rPr>
          <w:rFonts w:hint="eastAsia" w:ascii="仿宋" w:hAnsi="仿宋" w:eastAsia="仿宋" w:cs="宋体"/>
          <w:b/>
          <w:bCs/>
          <w:spacing w:val="-2"/>
          <w:sz w:val="32"/>
          <w:szCs w:val="32"/>
        </w:rPr>
        <w:t>二、绩效评价工作开展的情况</w:t>
      </w:r>
    </w:p>
    <w:p>
      <w:pPr>
        <w:spacing w:before="228" w:line="360" w:lineRule="auto"/>
        <w:ind w:firstLine="661"/>
        <w:rPr>
          <w:rFonts w:ascii="仿宋" w:hAnsi="仿宋" w:eastAsia="仿宋" w:cs="宋体"/>
          <w:sz w:val="32"/>
          <w:szCs w:val="32"/>
        </w:rPr>
      </w:pPr>
      <w:r>
        <w:rPr>
          <w:rFonts w:hint="eastAsia" w:ascii="仿宋" w:hAnsi="仿宋" w:eastAsia="仿宋" w:cs="宋体"/>
          <w:spacing w:val="-3"/>
          <w:sz w:val="32"/>
          <w:szCs w:val="32"/>
        </w:rPr>
        <w:t>（一）绩效评价目的、对象和范围</w:t>
      </w:r>
    </w:p>
    <w:p>
      <w:pPr>
        <w:spacing w:before="226" w:line="360" w:lineRule="auto"/>
        <w:ind w:right="47" w:firstLine="632" w:firstLineChars="200"/>
        <w:rPr>
          <w:rFonts w:ascii="仿宋" w:hAnsi="仿宋" w:eastAsia="仿宋" w:cs="宋体"/>
          <w:spacing w:val="-3"/>
          <w:sz w:val="32"/>
          <w:szCs w:val="32"/>
        </w:rPr>
      </w:pPr>
      <w:r>
        <w:rPr>
          <w:rFonts w:hint="eastAsia" w:ascii="仿宋" w:hAnsi="仿宋" w:eastAsia="仿宋" w:cs="宋体"/>
          <w:spacing w:val="-2"/>
          <w:sz w:val="32"/>
          <w:szCs w:val="32"/>
        </w:rPr>
        <w:t>1、</w:t>
      </w:r>
      <w:r>
        <w:rPr>
          <w:rFonts w:hint="eastAsia" w:ascii="仿宋" w:hAnsi="仿宋" w:eastAsia="仿宋" w:cs="宋体"/>
          <w:spacing w:val="-3"/>
          <w:sz w:val="32"/>
          <w:szCs w:val="32"/>
        </w:rPr>
        <w:t>绩效评价目的</w:t>
      </w:r>
    </w:p>
    <w:p>
      <w:pPr>
        <w:spacing w:before="226" w:line="360" w:lineRule="auto"/>
        <w:ind w:right="47" w:firstLine="628" w:firstLineChars="200"/>
        <w:rPr>
          <w:rFonts w:ascii="仿宋" w:hAnsi="仿宋" w:eastAsia="仿宋" w:cs="宋体"/>
          <w:spacing w:val="-3"/>
          <w:sz w:val="32"/>
          <w:szCs w:val="32"/>
        </w:rPr>
      </w:pPr>
      <w:r>
        <w:rPr>
          <w:rFonts w:hint="eastAsia" w:ascii="仿宋" w:hAnsi="仿宋" w:eastAsia="仿宋" w:cs="宋体"/>
          <w:spacing w:val="-3"/>
          <w:sz w:val="32"/>
          <w:szCs w:val="32"/>
        </w:rPr>
        <w:t>客观公正地评价</w:t>
      </w:r>
      <w:r>
        <w:rPr>
          <w:rFonts w:hint="eastAsia" w:ascii="仿宋" w:hAnsi="仿宋" w:eastAsia="仿宋" w:cs="宋体"/>
          <w:spacing w:val="-9"/>
          <w:sz w:val="32"/>
          <w:szCs w:val="32"/>
        </w:rPr>
        <w:t>房黑线改造工程项目绩效目标的实现程度、资金使用效率和社会经济效益，及时总结经验，找出存在的问题，分析问题产生的原因，以便采取切实措施，进一步改进和加强今后类似项目的绩效目标管理，不断提高项目管理水平和资金使用效益。</w:t>
      </w:r>
    </w:p>
    <w:p>
      <w:pPr>
        <w:spacing w:before="228" w:line="360" w:lineRule="auto"/>
        <w:ind w:firstLine="628" w:firstLineChars="200"/>
        <w:rPr>
          <w:rFonts w:hint="eastAsia" w:ascii="仿宋" w:hAnsi="仿宋" w:eastAsia="仿宋" w:cs="宋体"/>
          <w:spacing w:val="-3"/>
          <w:sz w:val="32"/>
          <w:szCs w:val="32"/>
        </w:rPr>
      </w:pPr>
      <w:r>
        <w:rPr>
          <w:rFonts w:hint="eastAsia" w:ascii="仿宋" w:hAnsi="仿宋" w:eastAsia="仿宋" w:cs="宋体"/>
          <w:spacing w:val="-3"/>
          <w:sz w:val="32"/>
          <w:szCs w:val="32"/>
        </w:rPr>
        <w:t>2、绩效评价对象</w:t>
      </w:r>
    </w:p>
    <w:p>
      <w:pPr>
        <w:tabs>
          <w:tab w:val="left" w:pos="1125"/>
        </w:tabs>
        <w:spacing w:line="360" w:lineRule="auto"/>
        <w:ind w:firstLine="604" w:firstLineChars="200"/>
        <w:jc w:val="both"/>
        <w:rPr>
          <w:rFonts w:ascii="仿宋" w:hAnsi="仿宋" w:eastAsia="仿宋" w:cs="宋体"/>
          <w:spacing w:val="-3"/>
          <w:sz w:val="32"/>
          <w:szCs w:val="32"/>
        </w:rPr>
      </w:pPr>
      <w:r>
        <w:rPr>
          <w:rFonts w:hint="eastAsia" w:ascii="仿宋" w:hAnsi="仿宋" w:eastAsia="仿宋" w:cs="宋体"/>
          <w:spacing w:val="-9"/>
          <w:sz w:val="32"/>
          <w:szCs w:val="32"/>
        </w:rPr>
        <w:t>本次绩效评价工作的对象为房黑线改造项目，重点为项目资金来源、资金支出情况等项目实施过程和项目完成后的绩效目标完成情况。</w:t>
      </w:r>
    </w:p>
    <w:p>
      <w:pPr>
        <w:spacing w:before="228" w:line="360" w:lineRule="auto"/>
        <w:ind w:firstLine="628" w:firstLineChars="200"/>
        <w:rPr>
          <w:rFonts w:hint="eastAsia" w:ascii="仿宋" w:hAnsi="仿宋" w:eastAsia="仿宋" w:cs="宋体"/>
          <w:spacing w:val="-3"/>
          <w:sz w:val="32"/>
          <w:szCs w:val="32"/>
        </w:rPr>
      </w:pPr>
      <w:r>
        <w:rPr>
          <w:rFonts w:hint="eastAsia" w:ascii="仿宋" w:hAnsi="仿宋" w:eastAsia="仿宋" w:cs="宋体"/>
          <w:spacing w:val="-3"/>
          <w:sz w:val="32"/>
          <w:szCs w:val="32"/>
        </w:rPr>
        <w:t>3、绩效评价范围</w:t>
      </w:r>
    </w:p>
    <w:p>
      <w:pPr>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本次绩效评价范围为该项目的申请、立项、批复、实施、完成等项目实施过程，以及项目建成后发挥的效能。</w:t>
      </w:r>
    </w:p>
    <w:p>
      <w:pPr>
        <w:spacing w:before="228" w:line="360" w:lineRule="auto"/>
        <w:ind w:firstLine="661"/>
        <w:rPr>
          <w:rFonts w:ascii="仿宋" w:hAnsi="仿宋" w:eastAsia="仿宋" w:cs="宋体"/>
          <w:spacing w:val="-3"/>
          <w:sz w:val="32"/>
          <w:szCs w:val="32"/>
        </w:rPr>
      </w:pPr>
      <w:r>
        <w:rPr>
          <w:rFonts w:hint="eastAsia" w:ascii="仿宋" w:hAnsi="仿宋" w:eastAsia="仿宋" w:cs="宋体"/>
          <w:spacing w:val="-3"/>
          <w:sz w:val="32"/>
          <w:szCs w:val="32"/>
        </w:rPr>
        <w:t>（二） 绩效评价原则、评价指标体系、评价方法</w:t>
      </w:r>
    </w:p>
    <w:p>
      <w:pPr>
        <w:spacing w:before="228"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1、绩效评价原则</w:t>
      </w:r>
    </w:p>
    <w:p>
      <w:pPr>
        <w:spacing w:before="228"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该项目的绩效评价原则是实事求是、突出重点、科学合理、客观公正。</w:t>
      </w:r>
    </w:p>
    <w:p>
      <w:pPr>
        <w:spacing w:before="228"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2、绩效评价指标体系</w:t>
      </w:r>
    </w:p>
    <w:p>
      <w:pPr>
        <w:spacing w:before="228" w:line="360" w:lineRule="auto"/>
        <w:rPr>
          <w:rFonts w:ascii="仿宋" w:hAnsi="仿宋" w:eastAsia="仿宋" w:cs="宋体"/>
          <w:spacing w:val="-3"/>
          <w:sz w:val="32"/>
          <w:szCs w:val="32"/>
        </w:rPr>
      </w:pPr>
      <w:r>
        <w:rPr>
          <w:rFonts w:hint="eastAsia" w:ascii="仿宋" w:hAnsi="仿宋" w:eastAsia="仿宋" w:cs="宋体"/>
          <w:spacing w:val="-3"/>
          <w:sz w:val="32"/>
          <w:szCs w:val="32"/>
        </w:rPr>
        <w:t xml:space="preserve">    该项目选用财政部《项目支出绩效评价管理办法》中，项目支出绩效评价指标体系框架，结合项目实际情况设计评价指标。一级指标：决策、过程、产出、效益。二级指标：项目立项、绩效目标、资金投入；资金管理、组织实施；产出数量、产出质量、产出时效；项目效益。三级指标：立项依据充分性、立项程序规范性；绩效目标合理性、绩效指标明确性；预算编制科学性、资金分配合理性；资金到位率、预算执行率、资金使用合规性、管理制度健全性、制度执行有效性；实际完成率、质量达标率、完成及时性；实施效益、满意度。</w:t>
      </w:r>
    </w:p>
    <w:p>
      <w:pPr>
        <w:spacing w:before="228"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3、绩效评价方法</w:t>
      </w:r>
    </w:p>
    <w:p>
      <w:pPr>
        <w:spacing w:before="228"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本次绩效评价实行自评和他评相结合的方式，主要采取目标比较法和调查法。目标比较法是通过对项目建成后的效能效果与项目实施计划目标进行比较，分析目标的完成度。调查法是通过现场调查，结合项目资料对项目实施情况进行统计、分析和评定。</w:t>
      </w:r>
    </w:p>
    <w:p>
      <w:pPr>
        <w:spacing w:before="228" w:line="360" w:lineRule="auto"/>
        <w:ind w:firstLine="628" w:firstLineChars="200"/>
        <w:rPr>
          <w:rFonts w:ascii="仿宋" w:hAnsi="仿宋" w:eastAsia="仿宋" w:cs="宋体"/>
          <w:sz w:val="32"/>
          <w:szCs w:val="32"/>
        </w:rPr>
      </w:pPr>
      <w:r>
        <w:rPr>
          <w:rFonts w:hint="eastAsia" w:ascii="仿宋" w:hAnsi="仿宋" w:eastAsia="仿宋" w:cs="宋体"/>
          <w:spacing w:val="-3"/>
          <w:sz w:val="32"/>
          <w:szCs w:val="32"/>
        </w:rPr>
        <w:t>（三）绩效评价工作过程</w:t>
      </w:r>
    </w:p>
    <w:p>
      <w:pPr>
        <w:spacing w:before="238" w:line="360" w:lineRule="auto"/>
        <w:ind w:firstLine="640" w:firstLineChars="200"/>
        <w:rPr>
          <w:rFonts w:ascii="仿宋" w:hAnsi="仿宋" w:eastAsia="仿宋" w:cs="宋体"/>
          <w:sz w:val="32"/>
          <w:szCs w:val="32"/>
        </w:rPr>
      </w:pPr>
      <w:r>
        <w:rPr>
          <w:rFonts w:hint="eastAsia" w:ascii="仿宋" w:hAnsi="仿宋" w:eastAsia="仿宋" w:cs="宋体"/>
          <w:sz w:val="32"/>
          <w:szCs w:val="32"/>
        </w:rPr>
        <w:t>1、前期准备</w:t>
      </w:r>
    </w:p>
    <w:p>
      <w:pPr>
        <w:spacing w:before="238" w:line="360" w:lineRule="auto"/>
        <w:ind w:firstLine="640" w:firstLineChars="200"/>
        <w:rPr>
          <w:rFonts w:ascii="仿宋" w:hAnsi="仿宋" w:eastAsia="仿宋" w:cs="宋体"/>
          <w:sz w:val="32"/>
          <w:szCs w:val="32"/>
        </w:rPr>
      </w:pPr>
      <w:r>
        <w:rPr>
          <w:rFonts w:hint="eastAsia" w:ascii="仿宋" w:hAnsi="仿宋" w:eastAsia="仿宋" w:cs="宋体"/>
          <w:sz w:val="32"/>
          <w:szCs w:val="32"/>
        </w:rPr>
        <w:t>接受千山区财政局对该项目进行事后绩效评价工作的委托后，我们成立了相关专业</w:t>
      </w:r>
      <w:r>
        <w:rPr>
          <w:rFonts w:hint="eastAsia" w:ascii="仿宋" w:hAnsi="仿宋" w:eastAsia="仿宋" w:cs="宋体"/>
          <w:spacing w:val="-6"/>
          <w:sz w:val="32"/>
          <w:szCs w:val="32"/>
        </w:rPr>
        <w:t>人员组成的评价工作小组，根据该项目的特点，制定相应的绩效评价方案，为项目评价工作做好前期准备。</w:t>
      </w:r>
    </w:p>
    <w:p>
      <w:pPr>
        <w:spacing w:before="104" w:line="360" w:lineRule="auto"/>
        <w:ind w:right="92" w:firstLine="648" w:firstLineChars="200"/>
        <w:rPr>
          <w:rFonts w:ascii="仿宋" w:hAnsi="仿宋" w:eastAsia="仿宋" w:cs="宋体"/>
          <w:spacing w:val="2"/>
          <w:sz w:val="32"/>
          <w:szCs w:val="32"/>
        </w:rPr>
      </w:pPr>
      <w:r>
        <w:rPr>
          <w:rFonts w:hint="eastAsia" w:ascii="仿宋" w:hAnsi="仿宋" w:eastAsia="仿宋" w:cs="宋体"/>
          <w:spacing w:val="2"/>
          <w:sz w:val="32"/>
          <w:szCs w:val="32"/>
        </w:rPr>
        <w:t>2、组织实施</w:t>
      </w:r>
    </w:p>
    <w:p>
      <w:pPr>
        <w:spacing w:before="238" w:line="360" w:lineRule="auto"/>
        <w:ind w:firstLine="616" w:firstLineChars="200"/>
        <w:rPr>
          <w:rFonts w:ascii="仿宋" w:hAnsi="仿宋" w:eastAsia="仿宋" w:cs="宋体"/>
          <w:spacing w:val="-5"/>
          <w:sz w:val="32"/>
          <w:szCs w:val="32"/>
        </w:rPr>
      </w:pPr>
      <w:r>
        <w:rPr>
          <w:rFonts w:hint="eastAsia" w:ascii="仿宋" w:hAnsi="仿宋" w:eastAsia="仿宋" w:cs="宋体"/>
          <w:spacing w:val="-6"/>
          <w:sz w:val="32"/>
          <w:szCs w:val="32"/>
        </w:rPr>
        <w:t>参加由</w:t>
      </w:r>
      <w:r>
        <w:rPr>
          <w:rFonts w:hint="eastAsia" w:ascii="仿宋" w:hAnsi="仿宋" w:eastAsia="仿宋" w:cs="宋体"/>
          <w:sz w:val="32"/>
          <w:szCs w:val="32"/>
        </w:rPr>
        <w:t>千山区财政局召集</w:t>
      </w:r>
      <w:r>
        <w:rPr>
          <w:rFonts w:hint="eastAsia" w:ascii="仿宋" w:hAnsi="仿宋" w:eastAsia="仿宋" w:cs="宋体"/>
          <w:spacing w:val="-6"/>
          <w:sz w:val="32"/>
          <w:szCs w:val="32"/>
        </w:rPr>
        <w:t>的包括千山区交通运输局和项目建设单位在内的相关方</w:t>
      </w:r>
      <w:r>
        <w:rPr>
          <w:rFonts w:hint="eastAsia" w:ascii="仿宋" w:hAnsi="仿宋" w:eastAsia="仿宋" w:cs="宋体"/>
          <w:spacing w:val="-2"/>
          <w:sz w:val="32"/>
          <w:szCs w:val="32"/>
        </w:rPr>
        <w:t>见面会，</w:t>
      </w:r>
      <w:r>
        <w:rPr>
          <w:rFonts w:hint="eastAsia" w:ascii="仿宋" w:hAnsi="仿宋" w:eastAsia="仿宋" w:cs="宋体"/>
          <w:spacing w:val="-6"/>
          <w:sz w:val="32"/>
          <w:szCs w:val="32"/>
        </w:rPr>
        <w:t>了解项目基本情况、项目背景、项目计</w:t>
      </w:r>
      <w:r>
        <w:rPr>
          <w:rFonts w:hint="eastAsia" w:ascii="仿宋" w:hAnsi="仿宋" w:eastAsia="仿宋" w:cs="宋体"/>
          <w:spacing w:val="-5"/>
          <w:sz w:val="32"/>
          <w:szCs w:val="32"/>
        </w:rPr>
        <w:t>划、项目绩效目标。收集、调取、查阅该项目相关的政府文件、财政拨款文件、项目资金支出凭证、工程立项决策文件、上级批复文件、初步及施工设计文件、招投标文件、工程招投标手续、工程预算评审与造价审计报告、施工记录、工程监理总结报告、质量评定报告等项目建设实施的相关资料。</w:t>
      </w:r>
    </w:p>
    <w:p>
      <w:pPr>
        <w:spacing w:before="238" w:line="360" w:lineRule="auto"/>
        <w:ind w:firstLine="620" w:firstLineChars="200"/>
        <w:rPr>
          <w:rFonts w:ascii="仿宋" w:hAnsi="仿宋" w:eastAsia="仿宋" w:cs="宋体"/>
        </w:rPr>
      </w:pPr>
      <w:r>
        <w:rPr>
          <w:rFonts w:hint="eastAsia" w:ascii="仿宋" w:hAnsi="仿宋" w:eastAsia="仿宋" w:cs="宋体"/>
          <w:spacing w:val="-5"/>
          <w:sz w:val="32"/>
          <w:szCs w:val="32"/>
        </w:rPr>
        <w:t>与</w:t>
      </w:r>
      <w:r>
        <w:rPr>
          <w:rFonts w:hint="eastAsia" w:ascii="仿宋" w:hAnsi="仿宋" w:eastAsia="仿宋" w:cs="宋体"/>
          <w:spacing w:val="-6"/>
          <w:sz w:val="32"/>
          <w:szCs w:val="32"/>
        </w:rPr>
        <w:t>千山区交通运输局和项目建设单位代表对项目进行现场检查，对照竣工验收文件核对项目建设</w:t>
      </w:r>
      <w:r>
        <w:rPr>
          <w:rFonts w:hint="eastAsia" w:ascii="仿宋" w:hAnsi="仿宋" w:eastAsia="仿宋" w:cs="宋体"/>
          <w:spacing w:val="-5"/>
          <w:sz w:val="32"/>
          <w:szCs w:val="32"/>
        </w:rPr>
        <w:t>完成情况，在此基础上结合绩效评价指标体系，对项目的建设内容、项目管理、资金管理、社会和生态效益等绩效指标进行客观的考评计分。</w:t>
      </w:r>
    </w:p>
    <w:p>
      <w:pPr>
        <w:spacing w:before="228" w:line="360" w:lineRule="auto"/>
        <w:ind w:firstLine="631" w:firstLineChars="200"/>
        <w:rPr>
          <w:rFonts w:hint="eastAsia" w:ascii="仿宋" w:hAnsi="仿宋" w:eastAsia="仿宋" w:cs="宋体"/>
          <w:b/>
          <w:bCs/>
          <w:spacing w:val="-3"/>
          <w:sz w:val="32"/>
          <w:szCs w:val="32"/>
        </w:rPr>
      </w:pPr>
      <w:r>
        <w:rPr>
          <w:rFonts w:hint="eastAsia" w:ascii="仿宋" w:hAnsi="仿宋" w:eastAsia="仿宋" w:cs="宋体"/>
          <w:b/>
          <w:bCs/>
          <w:spacing w:val="-3"/>
          <w:sz w:val="32"/>
          <w:szCs w:val="32"/>
        </w:rPr>
        <w:t>三、综合评价情况及评价结论（附相关评分表）</w:t>
      </w:r>
    </w:p>
    <w:p>
      <w:pPr>
        <w:spacing w:line="360" w:lineRule="auto"/>
        <w:ind w:firstLine="640" w:firstLineChars="200"/>
        <w:rPr>
          <w:rFonts w:ascii="仿宋" w:hAnsi="仿宋" w:eastAsia="仿宋" w:cs="宋体"/>
          <w:bCs/>
          <w:sz w:val="32"/>
          <w:szCs w:val="32"/>
          <w:lang w:bidi="ar"/>
        </w:rPr>
      </w:pPr>
      <w:r>
        <w:rPr>
          <w:rFonts w:hint="eastAsia" w:ascii="仿宋" w:hAnsi="仿宋" w:eastAsia="仿宋" w:cs="宋体"/>
          <w:bCs/>
          <w:sz w:val="32"/>
          <w:szCs w:val="32"/>
          <w:lang w:bidi="ar"/>
        </w:rPr>
        <w:t>经评价小组按该项目</w:t>
      </w:r>
      <w:r>
        <w:rPr>
          <w:rFonts w:hint="eastAsia" w:ascii="仿宋" w:hAnsi="仿宋" w:eastAsia="仿宋" w:cs="宋体"/>
          <w:spacing w:val="-3"/>
          <w:sz w:val="32"/>
          <w:szCs w:val="32"/>
        </w:rPr>
        <w:t>评价指标体系进行评价，该项目</w:t>
      </w:r>
      <w:r>
        <w:rPr>
          <w:rFonts w:hint="eastAsia" w:ascii="仿宋" w:hAnsi="仿宋" w:eastAsia="仿宋" w:cs="宋体"/>
          <w:bCs/>
          <w:sz w:val="32"/>
          <w:szCs w:val="32"/>
          <w:lang w:bidi="ar"/>
        </w:rPr>
        <w:t>符合国家法律法规、相关政策和发展规划；绩效目标合理、明确；预算编制科学、分配合理；预算资金按时到位并按计划支付执行；项目建设单位管理制度健全，制度执行有效；但由于铁路红线内不允许施工和土地动迁补偿等问题，导致竣工时间推迟且项目建设目标未能全部完成，未能全部实现项目的绩效目标，充分发挥项目的社会效益和功效。</w:t>
      </w:r>
    </w:p>
    <w:p>
      <w:pPr>
        <w:spacing w:line="360" w:lineRule="auto"/>
        <w:ind w:firstLine="640" w:firstLineChars="200"/>
        <w:rPr>
          <w:rFonts w:ascii="仿宋" w:hAnsi="仿宋" w:eastAsia="仿宋" w:cs="宋体"/>
        </w:rPr>
      </w:pPr>
      <w:r>
        <w:rPr>
          <w:rFonts w:hint="eastAsia" w:ascii="仿宋" w:hAnsi="仿宋" w:eastAsia="仿宋" w:cs="宋体"/>
          <w:bCs/>
          <w:sz w:val="32"/>
          <w:szCs w:val="32"/>
          <w:lang w:bidi="ar"/>
        </w:rPr>
        <w:t>评价结论：该项目得80分，评价等级为“良”。</w:t>
      </w:r>
    </w:p>
    <w:p>
      <w:pPr>
        <w:spacing w:line="360" w:lineRule="auto"/>
        <w:rPr>
          <w:rFonts w:ascii="仿宋" w:hAnsi="仿宋" w:eastAsia="仿宋" w:cs="宋体"/>
        </w:rPr>
      </w:pPr>
    </w:p>
    <w:p>
      <w:pPr>
        <w:spacing w:before="3" w:line="360" w:lineRule="auto"/>
        <w:ind w:firstLine="672"/>
        <w:rPr>
          <w:rFonts w:ascii="仿宋" w:hAnsi="仿宋" w:eastAsia="仿宋" w:cs="宋体"/>
          <w:b/>
          <w:bCs/>
          <w:sz w:val="32"/>
          <w:szCs w:val="32"/>
        </w:rPr>
      </w:pPr>
      <w:r>
        <w:rPr>
          <w:rFonts w:hint="eastAsia" w:ascii="仿宋" w:hAnsi="仿宋" w:eastAsia="仿宋" w:cs="宋体"/>
          <w:b/>
          <w:bCs/>
          <w:spacing w:val="-3"/>
          <w:sz w:val="32"/>
          <w:szCs w:val="32"/>
        </w:rPr>
        <w:t>四、绩效评价指标分析</w:t>
      </w:r>
    </w:p>
    <w:p>
      <w:pPr>
        <w:spacing w:before="233" w:line="360" w:lineRule="auto"/>
        <w:ind w:firstLine="661"/>
        <w:rPr>
          <w:rFonts w:ascii="仿宋" w:hAnsi="仿宋" w:eastAsia="仿宋" w:cs="宋体"/>
          <w:sz w:val="32"/>
          <w:szCs w:val="32"/>
        </w:rPr>
      </w:pPr>
      <w:r>
        <w:rPr>
          <w:rFonts w:hint="eastAsia" w:ascii="仿宋" w:hAnsi="仿宋" w:eastAsia="仿宋" w:cs="宋体"/>
          <w:spacing w:val="-3"/>
          <w:sz w:val="32"/>
          <w:szCs w:val="32"/>
        </w:rPr>
        <w:t>（一）项目决策情况分析（30分）</w:t>
      </w:r>
    </w:p>
    <w:p>
      <w:pPr>
        <w:pStyle w:val="5"/>
        <w:shd w:val="clear" w:color="auto" w:fill="FFFFFF"/>
        <w:spacing w:beforeAutospacing="0" w:afterAutospacing="0" w:line="360" w:lineRule="auto"/>
        <w:ind w:firstLine="628" w:firstLineChars="200"/>
        <w:jc w:val="both"/>
        <w:rPr>
          <w:rFonts w:ascii="仿宋" w:hAnsi="仿宋" w:eastAsia="仿宋" w:cs="宋体"/>
          <w:spacing w:val="-3"/>
          <w:sz w:val="32"/>
          <w:szCs w:val="32"/>
        </w:rPr>
      </w:pPr>
      <w:r>
        <w:rPr>
          <w:rFonts w:hint="eastAsia" w:ascii="仿宋" w:hAnsi="仿宋" w:eastAsia="仿宋" w:cs="宋体"/>
          <w:spacing w:val="-3"/>
          <w:sz w:val="32"/>
          <w:szCs w:val="32"/>
        </w:rPr>
        <w:t>1.该项目符合国家法律法规，符合国务院《关于印发“十三五”现代综合交通运输体系发展规划的通知》（国发〔2017〕11号）和交通运输部《农村公路中长期发展纲要》文件的精神（5分）；</w:t>
      </w:r>
    </w:p>
    <w:p>
      <w:pPr>
        <w:spacing w:before="233" w:line="360" w:lineRule="auto"/>
        <w:ind w:firstLine="628" w:firstLineChars="200"/>
        <w:jc w:val="both"/>
        <w:rPr>
          <w:rFonts w:ascii="仿宋" w:hAnsi="仿宋" w:eastAsia="仿宋" w:cs="宋体"/>
          <w:spacing w:val="-3"/>
          <w:sz w:val="32"/>
          <w:szCs w:val="32"/>
        </w:rPr>
      </w:pPr>
      <w:r>
        <w:rPr>
          <w:rFonts w:hint="eastAsia" w:ascii="仿宋" w:hAnsi="仿宋" w:eastAsia="仿宋" w:cs="宋体"/>
          <w:spacing w:val="-3"/>
          <w:sz w:val="32"/>
          <w:szCs w:val="32"/>
        </w:rPr>
        <w:t>2.该项目经千山区区长办公会研究通过，立项程序规范，符合相关立项程序（5分）；</w:t>
      </w:r>
    </w:p>
    <w:p>
      <w:pPr>
        <w:pStyle w:val="2"/>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3.项目所设定的绩效目标依据房黑线实际情况进行设定，符合千山区客观实际，项目绩效目标与项目实施计划相符（5分）；</w:t>
      </w:r>
    </w:p>
    <w:p>
      <w:pPr>
        <w:pStyle w:val="2"/>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4.该项目依据绩效目标设定的绩效指标清晰、细化、可衡量（5分）；</w:t>
      </w:r>
    </w:p>
    <w:p>
      <w:pPr>
        <w:spacing w:before="233" w:line="360" w:lineRule="auto"/>
        <w:ind w:firstLine="661"/>
        <w:rPr>
          <w:rFonts w:ascii="仿宋" w:hAnsi="仿宋" w:eastAsia="仿宋" w:cs="宋体"/>
          <w:spacing w:val="-3"/>
          <w:sz w:val="32"/>
          <w:szCs w:val="32"/>
        </w:rPr>
      </w:pPr>
      <w:r>
        <w:rPr>
          <w:rFonts w:hint="eastAsia" w:ascii="仿宋" w:hAnsi="仿宋" w:eastAsia="仿宋" w:cs="宋体"/>
          <w:spacing w:val="-3"/>
          <w:sz w:val="32"/>
          <w:szCs w:val="32"/>
        </w:rPr>
        <w:t>5.项目预算经过千山区交通运输局组织相关人员进行了科学论证，有明确标准，资金额度与年度目标相适应（6分）；</w:t>
      </w:r>
    </w:p>
    <w:p>
      <w:pPr>
        <w:pStyle w:val="2"/>
        <w:spacing w:line="360" w:lineRule="auto"/>
        <w:ind w:firstLine="628" w:firstLineChars="200"/>
        <w:rPr>
          <w:rFonts w:ascii="仿宋" w:hAnsi="仿宋" w:eastAsia="仿宋" w:cs="宋体"/>
        </w:rPr>
      </w:pPr>
      <w:r>
        <w:rPr>
          <w:rFonts w:hint="eastAsia" w:ascii="仿宋" w:hAnsi="仿宋" w:eastAsia="仿宋" w:cs="宋体"/>
          <w:spacing w:val="-3"/>
          <w:sz w:val="32"/>
          <w:szCs w:val="32"/>
        </w:rPr>
        <w:t>6.项目预算资金分配有测算依据，与千山区实际情况相适应（4分）。</w:t>
      </w:r>
    </w:p>
    <w:p>
      <w:pPr>
        <w:spacing w:before="233" w:line="360" w:lineRule="auto"/>
        <w:ind w:firstLine="661"/>
        <w:rPr>
          <w:rFonts w:ascii="仿宋" w:hAnsi="仿宋" w:eastAsia="仿宋" w:cs="宋体"/>
          <w:spacing w:val="-3"/>
          <w:sz w:val="32"/>
          <w:szCs w:val="32"/>
        </w:rPr>
      </w:pPr>
      <w:r>
        <w:rPr>
          <w:rFonts w:hint="eastAsia" w:ascii="仿宋" w:hAnsi="仿宋" w:eastAsia="仿宋" w:cs="宋体"/>
          <w:spacing w:val="-3"/>
          <w:sz w:val="32"/>
          <w:szCs w:val="32"/>
        </w:rPr>
        <w:t>（二） 项目过程情况分析（15分）</w:t>
      </w:r>
    </w:p>
    <w:p>
      <w:pPr>
        <w:spacing w:before="233"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1.</w:t>
      </w:r>
      <w:r>
        <w:rPr>
          <w:rFonts w:hint="eastAsia" w:ascii="仿宋" w:hAnsi="仿宋" w:eastAsia="仿宋" w:cs="宋体"/>
          <w:spacing w:val="-9"/>
          <w:sz w:val="32"/>
          <w:szCs w:val="32"/>
        </w:rPr>
        <w:t>该项目应到位资金1,323,385.71元,实际到位资金1,323,385.71元，到位率为100%</w:t>
      </w:r>
      <w:r>
        <w:rPr>
          <w:rFonts w:hint="eastAsia" w:ascii="仿宋" w:hAnsi="仿宋" w:eastAsia="仿宋" w:cs="宋体"/>
          <w:spacing w:val="-3"/>
          <w:sz w:val="32"/>
          <w:szCs w:val="32"/>
        </w:rPr>
        <w:t>（3分）；</w:t>
      </w:r>
    </w:p>
    <w:p>
      <w:pPr>
        <w:pStyle w:val="2"/>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2.项目预算资金已经按照计划执行（2分）；</w:t>
      </w:r>
    </w:p>
    <w:p>
      <w:pPr>
        <w:pStyle w:val="2"/>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3.项目资金使用符合相关的财务管理制度规定，按规定科目核算，发票等原始票据齐全（5分）；</w:t>
      </w:r>
    </w:p>
    <w:p>
      <w:pPr>
        <w:pStyle w:val="2"/>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4.千山区交通运输局和交通运输事业发展中心均有健全的财务和业务管理制度（3分）；</w:t>
      </w:r>
    </w:p>
    <w:p>
      <w:pPr>
        <w:pStyle w:val="2"/>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5.项目实施按照项目管理的相关规定执行（2分）。</w:t>
      </w:r>
    </w:p>
    <w:p>
      <w:pPr>
        <w:spacing w:before="233" w:line="360" w:lineRule="auto"/>
        <w:ind w:firstLine="661"/>
        <w:rPr>
          <w:rFonts w:ascii="仿宋" w:hAnsi="仿宋" w:eastAsia="仿宋" w:cs="宋体"/>
          <w:sz w:val="32"/>
          <w:szCs w:val="32"/>
        </w:rPr>
      </w:pPr>
      <w:r>
        <w:rPr>
          <w:rFonts w:hint="eastAsia" w:ascii="仿宋" w:hAnsi="仿宋" w:eastAsia="仿宋" w:cs="宋体"/>
          <w:spacing w:val="-3"/>
          <w:sz w:val="32"/>
          <w:szCs w:val="32"/>
        </w:rPr>
        <w:t>（三）</w:t>
      </w:r>
      <w:r>
        <w:rPr>
          <w:rFonts w:hint="eastAsia" w:ascii="仿宋" w:hAnsi="仿宋" w:eastAsia="仿宋" w:cs="宋体"/>
          <w:spacing w:val="33"/>
          <w:sz w:val="32"/>
          <w:szCs w:val="32"/>
        </w:rPr>
        <w:t xml:space="preserve"> 绩效产出情况分析（22分）</w:t>
      </w:r>
    </w:p>
    <w:p>
      <w:pPr>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1.项目计划改造房黑线2.995公里，实际完成</w:t>
      </w:r>
      <w:r>
        <w:rPr>
          <w:rFonts w:hint="eastAsia" w:ascii="仿宋" w:hAnsi="仿宋" w:eastAsia="仿宋" w:cs="宋体"/>
          <w:spacing w:val="-15"/>
          <w:w w:val="97"/>
          <w:sz w:val="32"/>
          <w:szCs w:val="32"/>
        </w:rPr>
        <w:t>1.289公里，无项目建设内容调整报告，项目建设内容发生较大变化后未进行呈报和审批，未完成预定目标（6分）；</w:t>
      </w:r>
    </w:p>
    <w:p>
      <w:pPr>
        <w:pStyle w:val="2"/>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2.项目建设质量达标，符合设计要求，竣工验收文件齐全</w:t>
      </w:r>
      <w:r>
        <w:rPr>
          <w:rFonts w:hint="eastAsia" w:ascii="仿宋" w:hAnsi="仿宋" w:eastAsia="仿宋" w:cs="宋体"/>
          <w:spacing w:val="-15"/>
          <w:w w:val="97"/>
          <w:sz w:val="32"/>
          <w:szCs w:val="32"/>
        </w:rPr>
        <w:t>（10分）；</w:t>
      </w:r>
    </w:p>
    <w:p>
      <w:pPr>
        <w:spacing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3.由于铁路红线内不允许施工和动迁补偿问题，导致项目由计划的8月15日完工，延迟到9月28日完工，整体工期延后48天</w:t>
      </w:r>
      <w:r>
        <w:rPr>
          <w:rFonts w:hint="eastAsia" w:ascii="仿宋" w:hAnsi="仿宋" w:eastAsia="仿宋" w:cs="宋体"/>
          <w:spacing w:val="-15"/>
          <w:w w:val="97"/>
          <w:sz w:val="32"/>
          <w:szCs w:val="32"/>
        </w:rPr>
        <w:t>（3分）；</w:t>
      </w:r>
    </w:p>
    <w:p>
      <w:pPr>
        <w:pStyle w:val="2"/>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4.项目实际成本未超出计划投资</w:t>
      </w:r>
      <w:r>
        <w:rPr>
          <w:rFonts w:hint="eastAsia" w:ascii="仿宋" w:hAnsi="仿宋" w:eastAsia="仿宋" w:cs="宋体"/>
          <w:spacing w:val="-15"/>
          <w:w w:val="97"/>
          <w:sz w:val="32"/>
          <w:szCs w:val="32"/>
        </w:rPr>
        <w:t>（3分）</w:t>
      </w:r>
      <w:r>
        <w:rPr>
          <w:rFonts w:hint="eastAsia" w:ascii="仿宋" w:hAnsi="仿宋" w:eastAsia="仿宋" w:cs="宋体"/>
          <w:spacing w:val="-3"/>
          <w:sz w:val="32"/>
          <w:szCs w:val="32"/>
        </w:rPr>
        <w:t>。</w:t>
      </w:r>
    </w:p>
    <w:p>
      <w:pPr>
        <w:spacing w:before="228" w:line="360" w:lineRule="auto"/>
        <w:ind w:firstLine="628" w:firstLineChars="200"/>
        <w:rPr>
          <w:rFonts w:hint="eastAsia" w:ascii="仿宋" w:hAnsi="仿宋" w:eastAsia="仿宋" w:cs="宋体"/>
          <w:spacing w:val="-3"/>
          <w:sz w:val="32"/>
          <w:szCs w:val="32"/>
        </w:rPr>
      </w:pPr>
      <w:r>
        <w:rPr>
          <w:rFonts w:hint="eastAsia" w:ascii="仿宋" w:hAnsi="仿宋" w:eastAsia="仿宋" w:cs="宋体"/>
          <w:spacing w:val="-3"/>
          <w:sz w:val="32"/>
          <w:szCs w:val="32"/>
        </w:rPr>
        <w:t>（四）项目效益指标分析（13分）</w:t>
      </w:r>
    </w:p>
    <w:p>
      <w:pPr>
        <w:spacing w:before="2"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1、社会效益：该项目建成后，可使附近约1万名居民出行便利。但由于未完成项目设计全部内容，部分道路路面未</w:t>
      </w:r>
      <w:r>
        <w:rPr>
          <w:rFonts w:hint="eastAsia" w:ascii="仿宋" w:hAnsi="仿宋" w:eastAsia="仿宋" w:cs="宋体"/>
          <w:spacing w:val="-3"/>
          <w:sz w:val="32"/>
          <w:szCs w:val="32"/>
          <w:highlight w:val="none"/>
        </w:rPr>
        <w:t>完成</w:t>
      </w:r>
      <w:r>
        <w:rPr>
          <w:rFonts w:hint="eastAsia" w:ascii="仿宋" w:hAnsi="仿宋" w:eastAsia="仿宋" w:cs="宋体"/>
          <w:spacing w:val="-3"/>
          <w:sz w:val="32"/>
          <w:szCs w:val="32"/>
        </w:rPr>
        <w:t>硬化，未能全面发挥项目初始设计的功效（8分）；</w:t>
      </w:r>
    </w:p>
    <w:p>
      <w:pPr>
        <w:spacing w:before="2"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2、社会满意度：通过问卷调查，附近村民满意度为100%（5分）。</w:t>
      </w:r>
    </w:p>
    <w:p>
      <w:pPr>
        <w:pStyle w:val="2"/>
        <w:rPr>
          <w:rFonts w:ascii="仿宋" w:hAnsi="仿宋" w:eastAsia="仿宋" w:cs="宋体"/>
        </w:rPr>
      </w:pPr>
    </w:p>
    <w:p>
      <w:pPr>
        <w:spacing w:before="3" w:line="360" w:lineRule="auto"/>
        <w:ind w:firstLine="672"/>
        <w:rPr>
          <w:rFonts w:ascii="仿宋" w:hAnsi="仿宋" w:eastAsia="仿宋" w:cs="宋体"/>
          <w:b/>
          <w:bCs/>
          <w:spacing w:val="-3"/>
          <w:sz w:val="32"/>
          <w:szCs w:val="32"/>
        </w:rPr>
      </w:pPr>
      <w:r>
        <w:rPr>
          <w:rFonts w:hint="eastAsia" w:ascii="仿宋" w:hAnsi="仿宋" w:eastAsia="仿宋" w:cs="宋体"/>
          <w:b/>
          <w:bCs/>
          <w:spacing w:val="-3"/>
          <w:sz w:val="32"/>
          <w:szCs w:val="32"/>
        </w:rPr>
        <w:t>五、主要经验及做法、存在的问题及原因分析</w:t>
      </w: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rPr>
        <w:t>（一）主要经验及做法</w:t>
      </w: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rPr>
        <w:t>该项目在立项后，按照相关规定和流程进行公开招标工作，2020年6月1日开标，中标单位为宏峰建设集团有限公司，2020年6月9日，鞍山市千山区交通运输事业发展中心与宏峰建设集团有限公司签订施工合同，项目建设周期为67个日历日，由于铁路红线内不允许施工和动迁补偿等问题，使实际竣工情况与初始设计存在较大变化，因此双方于2020年9月25日签订了合同补充协议书，以工程最后的实际工程量作为项目造价决算依据，确定工程费用。该项目于2020年9月28日竣工，工期延后48天。</w:t>
      </w:r>
    </w:p>
    <w:p>
      <w:pPr>
        <w:spacing w:before="3"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rPr>
        <w:t>鞍山市纵横建设工程检测有限公司出具了编号为BG2020-FHXJG-001的检测报告，鞍山市千山区交通运输局组织了项目的竣工验收，验收结论为合格。</w:t>
      </w:r>
    </w:p>
    <w:p>
      <w:pPr>
        <w:spacing w:before="228" w:line="360" w:lineRule="auto"/>
        <w:ind w:firstLine="628" w:firstLineChars="200"/>
        <w:rPr>
          <w:rFonts w:hint="eastAsia" w:ascii="仿宋" w:hAnsi="仿宋" w:eastAsia="仿宋" w:cs="宋体"/>
          <w:spacing w:val="-3"/>
          <w:sz w:val="32"/>
          <w:szCs w:val="32"/>
        </w:rPr>
      </w:pPr>
      <w:r>
        <w:rPr>
          <w:rFonts w:hint="eastAsia" w:ascii="仿宋" w:hAnsi="仿宋" w:eastAsia="仿宋" w:cs="宋体"/>
          <w:spacing w:val="-3"/>
          <w:sz w:val="32"/>
          <w:szCs w:val="32"/>
        </w:rPr>
        <w:t>（二）存在问题及原因分析</w:t>
      </w: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rPr>
        <w:t>1.该项目缺乏前期论证和调研，没有对施工中可能出现的如土地动迁补偿和铁路土地红线等可能影响施工进程问题的问题制定相应的预案，导致项目建设期间出现数次停工现象，项目本应于2020年8月15日竣工，最后的竣工日期为9月28日，整体工期延后48天。</w:t>
      </w: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rPr>
        <w:t>2.由于前期准备不足，与村民就动迁补偿问题未能协调一致，使施工遭到村民的阻挠，导致部分路段只完成了路基垫层的碎石铺设，混凝土路面未能浇筑铺设，未能完成设计方案，未达到项目初始设计目标。</w:t>
      </w:r>
    </w:p>
    <w:p>
      <w:pPr>
        <w:spacing w:before="3" w:line="360" w:lineRule="auto"/>
        <w:ind w:firstLine="672"/>
        <w:rPr>
          <w:rFonts w:hint="eastAsia" w:ascii="仿宋" w:hAnsi="仿宋" w:eastAsia="仿宋" w:cs="宋体"/>
          <w:spacing w:val="-3"/>
          <w:sz w:val="32"/>
          <w:szCs w:val="32"/>
        </w:rPr>
      </w:pPr>
      <w:r>
        <w:rPr>
          <w:rFonts w:hint="eastAsia" w:ascii="仿宋" w:hAnsi="仿宋" w:eastAsia="仿宋" w:cs="宋体"/>
          <w:spacing w:val="-3"/>
          <w:sz w:val="32"/>
          <w:szCs w:val="32"/>
        </w:rPr>
        <w:t>3.</w:t>
      </w:r>
      <w:r>
        <w:rPr>
          <w:rFonts w:hint="eastAsia" w:ascii="仿宋" w:hAnsi="仿宋" w:eastAsia="仿宋" w:cs="宋体"/>
          <w:spacing w:val="-3"/>
          <w:sz w:val="32"/>
          <w:szCs w:val="32"/>
          <w:lang w:eastAsia="zh-CN"/>
        </w:rPr>
        <w:t>当项目建设过程中出现铁路红线内不允许施工和村民因动迁补偿问题阻挠施工等情况后，项目实施单位未及时报告项目变化情况和更改设计方案，也未履行相应的申请批复手续，只是</w:t>
      </w:r>
      <w:r>
        <w:rPr>
          <w:rFonts w:hint="eastAsia" w:ascii="仿宋" w:hAnsi="仿宋" w:eastAsia="仿宋" w:cs="宋体"/>
          <w:spacing w:val="-3"/>
          <w:sz w:val="32"/>
          <w:szCs w:val="32"/>
        </w:rPr>
        <w:t>于2020年9月25日</w:t>
      </w:r>
      <w:r>
        <w:rPr>
          <w:rFonts w:hint="eastAsia" w:ascii="仿宋" w:hAnsi="仿宋" w:eastAsia="仿宋" w:cs="宋体"/>
          <w:spacing w:val="-3"/>
          <w:sz w:val="32"/>
          <w:szCs w:val="32"/>
          <w:lang w:eastAsia="zh-CN"/>
        </w:rPr>
        <w:t>与施工方</w:t>
      </w:r>
      <w:r>
        <w:rPr>
          <w:rFonts w:hint="eastAsia" w:ascii="仿宋" w:hAnsi="仿宋" w:eastAsia="仿宋" w:cs="宋体"/>
          <w:spacing w:val="-3"/>
          <w:sz w:val="32"/>
          <w:szCs w:val="32"/>
        </w:rPr>
        <w:t>签订</w:t>
      </w:r>
      <w:r>
        <w:rPr>
          <w:rFonts w:hint="eastAsia" w:ascii="仿宋" w:hAnsi="仿宋" w:eastAsia="仿宋" w:cs="宋体"/>
          <w:spacing w:val="-3"/>
          <w:sz w:val="32"/>
          <w:szCs w:val="32"/>
          <w:lang w:eastAsia="zh-CN"/>
        </w:rPr>
        <w:t>一份</w:t>
      </w:r>
      <w:r>
        <w:rPr>
          <w:rFonts w:hint="eastAsia" w:ascii="仿宋" w:hAnsi="仿宋" w:eastAsia="仿宋" w:cs="宋体"/>
          <w:spacing w:val="-3"/>
          <w:sz w:val="32"/>
          <w:szCs w:val="32"/>
        </w:rPr>
        <w:t>补充协议书，</w:t>
      </w:r>
      <w:r>
        <w:rPr>
          <w:rFonts w:hint="eastAsia" w:ascii="仿宋" w:hAnsi="仿宋" w:eastAsia="仿宋" w:cs="宋体"/>
          <w:spacing w:val="-3"/>
          <w:sz w:val="32"/>
          <w:szCs w:val="32"/>
          <w:lang w:eastAsia="zh-CN"/>
        </w:rPr>
        <w:t>约定“</w:t>
      </w:r>
      <w:r>
        <w:rPr>
          <w:rFonts w:hint="eastAsia" w:ascii="仿宋" w:hAnsi="仿宋" w:eastAsia="仿宋" w:cs="宋体"/>
          <w:spacing w:val="-3"/>
          <w:sz w:val="32"/>
          <w:szCs w:val="32"/>
        </w:rPr>
        <w:t>以工程最后的实际工程量作为项目造价决算依据，确定工程费用</w:t>
      </w:r>
      <w:r>
        <w:rPr>
          <w:rFonts w:hint="eastAsia" w:ascii="仿宋" w:hAnsi="仿宋" w:eastAsia="仿宋" w:cs="宋体"/>
          <w:spacing w:val="-3"/>
          <w:sz w:val="32"/>
          <w:szCs w:val="32"/>
          <w:lang w:eastAsia="zh-CN"/>
        </w:rPr>
        <w:t>”</w:t>
      </w:r>
      <w:r>
        <w:rPr>
          <w:rFonts w:hint="eastAsia" w:ascii="仿宋" w:hAnsi="仿宋" w:eastAsia="仿宋" w:cs="宋体"/>
          <w:spacing w:val="-3"/>
          <w:sz w:val="32"/>
          <w:szCs w:val="32"/>
        </w:rPr>
        <w:t>。</w:t>
      </w: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lang w:val="en-US" w:eastAsia="zh-CN"/>
        </w:rPr>
        <w:t>4.</w:t>
      </w:r>
      <w:r>
        <w:rPr>
          <w:rFonts w:hint="eastAsia" w:ascii="仿宋" w:hAnsi="仿宋" w:eastAsia="仿宋" w:cs="宋体"/>
          <w:spacing w:val="-3"/>
          <w:sz w:val="32"/>
          <w:szCs w:val="32"/>
        </w:rPr>
        <w:t>在对项目进行实地检查时，未发现项目设计方案和竣工报告中描述的两面凸透镜，鞍山市千山区交通运输局在其出具的《关于千山区2020年房黑线大修工程的情况说明》中表示，“两面凸透镜竣工验收时安装完好，由于乡、村道路日常养护归属所在镇、街，所以具体丢失原因不详。”</w:t>
      </w:r>
    </w:p>
    <w:p>
      <w:pPr>
        <w:numPr>
          <w:ilvl w:val="0"/>
          <w:numId w:val="1"/>
        </w:numPr>
        <w:spacing w:before="3" w:line="360" w:lineRule="auto"/>
        <w:ind w:firstLine="672"/>
        <w:rPr>
          <w:rFonts w:ascii="仿宋" w:hAnsi="仿宋" w:eastAsia="仿宋" w:cs="宋体"/>
          <w:b/>
          <w:bCs/>
          <w:spacing w:val="-3"/>
          <w:sz w:val="32"/>
          <w:szCs w:val="32"/>
        </w:rPr>
      </w:pPr>
      <w:r>
        <w:rPr>
          <w:rFonts w:hint="eastAsia" w:ascii="仿宋" w:hAnsi="仿宋" w:eastAsia="仿宋" w:cs="宋体"/>
          <w:b/>
          <w:bCs/>
          <w:spacing w:val="-3"/>
          <w:sz w:val="32"/>
          <w:szCs w:val="32"/>
        </w:rPr>
        <w:t>有关建议</w:t>
      </w:r>
    </w:p>
    <w:p>
      <w:pPr>
        <w:spacing w:before="3" w:line="360" w:lineRule="auto"/>
        <w:ind w:firstLine="628" w:firstLineChars="200"/>
        <w:rPr>
          <w:rFonts w:hint="eastAsia" w:ascii="仿宋" w:hAnsi="仿宋" w:eastAsia="仿宋" w:cs="宋体"/>
          <w:spacing w:val="-3"/>
          <w:sz w:val="32"/>
          <w:szCs w:val="32"/>
          <w:lang w:eastAsia="zh-CN"/>
        </w:rPr>
      </w:pPr>
      <w:r>
        <w:rPr>
          <w:rFonts w:hint="eastAsia" w:ascii="仿宋" w:hAnsi="仿宋" w:eastAsia="仿宋" w:cs="宋体"/>
          <w:spacing w:val="-3"/>
          <w:sz w:val="32"/>
          <w:szCs w:val="32"/>
        </w:rPr>
        <w:t>1.</w:t>
      </w:r>
      <w:r>
        <w:rPr>
          <w:rFonts w:hint="eastAsia" w:ascii="仿宋" w:hAnsi="仿宋" w:eastAsia="仿宋" w:cs="宋体"/>
          <w:spacing w:val="-3"/>
          <w:sz w:val="32"/>
          <w:szCs w:val="32"/>
          <w:lang w:eastAsia="zh-CN"/>
        </w:rPr>
        <w:t>建议加强对项目实施单位在项目建设过程中的履职监督，落实主体责任，</w:t>
      </w:r>
      <w:r>
        <w:rPr>
          <w:rFonts w:hint="eastAsia" w:ascii="仿宋" w:hAnsi="仿宋" w:eastAsia="仿宋" w:cs="宋体"/>
          <w:spacing w:val="-3"/>
          <w:sz w:val="32"/>
          <w:szCs w:val="32"/>
        </w:rPr>
        <w:t>千山区交通运输局</w:t>
      </w:r>
      <w:r>
        <w:rPr>
          <w:rFonts w:hint="eastAsia" w:ascii="仿宋" w:hAnsi="仿宋" w:eastAsia="仿宋" w:cs="宋体"/>
          <w:spacing w:val="-3"/>
          <w:sz w:val="32"/>
          <w:szCs w:val="32"/>
          <w:lang w:eastAsia="zh-CN"/>
        </w:rPr>
        <w:t>在上报本项目计划，并经区长办公会决定实施后，</w:t>
      </w:r>
      <w:r>
        <w:rPr>
          <w:rFonts w:hint="eastAsia" w:ascii="仿宋" w:hAnsi="仿宋" w:eastAsia="仿宋" w:cs="宋体"/>
          <w:spacing w:val="-3"/>
          <w:sz w:val="32"/>
          <w:szCs w:val="32"/>
        </w:rPr>
        <w:t>千山区交通事业发展中心</w:t>
      </w:r>
      <w:r>
        <w:rPr>
          <w:rFonts w:hint="eastAsia" w:ascii="仿宋" w:hAnsi="仿宋" w:eastAsia="仿宋" w:cs="宋体"/>
          <w:spacing w:val="-3"/>
          <w:sz w:val="32"/>
          <w:szCs w:val="32"/>
          <w:lang w:eastAsia="zh-CN"/>
        </w:rPr>
        <w:t>应精心组织实施，积极行动，认真落实，保证项目顺利完成，但由于对情况估计不足，导致项目工期延后且未完成项目计划内容。</w:t>
      </w:r>
    </w:p>
    <w:p>
      <w:pPr>
        <w:spacing w:before="3" w:line="360" w:lineRule="auto"/>
        <w:ind w:firstLine="628" w:firstLineChars="200"/>
        <w:rPr>
          <w:rFonts w:ascii="仿宋" w:hAnsi="仿宋" w:eastAsia="仿宋" w:cs="宋体"/>
          <w:spacing w:val="-3"/>
          <w:sz w:val="32"/>
          <w:szCs w:val="32"/>
        </w:rPr>
      </w:pPr>
      <w:r>
        <w:rPr>
          <w:rFonts w:hint="eastAsia" w:ascii="仿宋" w:hAnsi="仿宋" w:eastAsia="仿宋" w:cs="宋体"/>
          <w:spacing w:val="-3"/>
          <w:sz w:val="32"/>
          <w:szCs w:val="32"/>
          <w:lang w:val="en-US" w:eastAsia="zh-CN"/>
        </w:rPr>
        <w:t>2.</w:t>
      </w:r>
      <w:r>
        <w:rPr>
          <w:rFonts w:hint="eastAsia" w:ascii="仿宋" w:hAnsi="仿宋" w:eastAsia="仿宋" w:cs="宋体"/>
          <w:spacing w:val="-3"/>
          <w:sz w:val="32"/>
          <w:szCs w:val="32"/>
        </w:rPr>
        <w:t>建议加强对项目的前期调研，对于项目实施工程中可能涉及和出现的问题，要充分预估，制定切实可行的预案，及时沟通，减少计划外情况对项目的影响。</w:t>
      </w: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lang w:val="en-US" w:eastAsia="zh-CN"/>
        </w:rPr>
        <w:t>3</w:t>
      </w:r>
      <w:r>
        <w:rPr>
          <w:rFonts w:hint="eastAsia" w:ascii="仿宋" w:hAnsi="仿宋" w:eastAsia="仿宋" w:cs="宋体"/>
          <w:spacing w:val="-3"/>
          <w:sz w:val="32"/>
          <w:szCs w:val="32"/>
        </w:rPr>
        <w:t>.建议加强项目的前期准备工作，千山区交通运输局和千山区交通事业发展中心作为项目实施单位，在项目具体实施过程中，应积极协助项目建设单位协调与项目各有关方的关系，帮助建设单位解决各类问题，确保项目建设顺利进行，保证项目按时竣工，尽早发挥项目效益，惠及民众。</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28" w:firstLineChars="200"/>
        <w:textAlignment w:val="baseline"/>
        <w:rPr>
          <w:rFonts w:hint="eastAsia" w:ascii="仿宋" w:hAnsi="仿宋" w:eastAsia="仿宋" w:cs="宋体"/>
          <w:spacing w:val="-3"/>
          <w:sz w:val="32"/>
          <w:szCs w:val="32"/>
          <w:lang w:eastAsia="zh-CN"/>
        </w:rPr>
      </w:pPr>
      <w:r>
        <w:rPr>
          <w:rFonts w:hint="eastAsia" w:ascii="仿宋" w:hAnsi="仿宋" w:eastAsia="仿宋" w:cs="宋体"/>
          <w:spacing w:val="-3"/>
          <w:sz w:val="32"/>
          <w:szCs w:val="32"/>
          <w:lang w:val="en-US" w:eastAsia="zh-CN"/>
        </w:rPr>
        <w:t>4</w:t>
      </w:r>
      <w:r>
        <w:rPr>
          <w:rFonts w:hint="eastAsia" w:ascii="仿宋" w:hAnsi="仿宋" w:eastAsia="仿宋" w:cs="宋体"/>
          <w:spacing w:val="-3"/>
          <w:sz w:val="32"/>
          <w:szCs w:val="32"/>
        </w:rPr>
        <w:t>.</w:t>
      </w:r>
      <w:r>
        <w:rPr>
          <w:rFonts w:hint="eastAsia" w:ascii="仿宋" w:hAnsi="仿宋" w:eastAsia="仿宋" w:cs="宋体"/>
          <w:spacing w:val="-3"/>
          <w:sz w:val="32"/>
          <w:szCs w:val="32"/>
          <w:lang w:eastAsia="zh-CN"/>
        </w:rPr>
        <w:t>建议强化项目实施中的过程管理，当项目出现较大变化时，应及时报告，及时办理项目变更的申请审批手续。</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28" w:firstLineChars="200"/>
        <w:textAlignment w:val="baseline"/>
        <w:rPr>
          <w:rFonts w:hint="eastAsia" w:ascii="仿宋" w:hAnsi="仿宋" w:eastAsia="仿宋" w:cs="仿宋"/>
          <w:spacing w:val="-2"/>
          <w:sz w:val="32"/>
          <w:szCs w:val="32"/>
          <w:lang w:eastAsia="zh-CN"/>
        </w:rPr>
      </w:pPr>
      <w:bookmarkStart w:id="0" w:name="_GoBack"/>
      <w:bookmarkEnd w:id="0"/>
      <w:r>
        <w:rPr>
          <w:rFonts w:hint="eastAsia" w:ascii="仿宋" w:hAnsi="仿宋" w:eastAsia="仿宋" w:cs="宋体"/>
          <w:spacing w:val="-3"/>
          <w:sz w:val="32"/>
          <w:szCs w:val="32"/>
          <w:lang w:val="en-US" w:eastAsia="zh-CN"/>
        </w:rPr>
        <w:t>5.</w:t>
      </w:r>
      <w:r>
        <w:rPr>
          <w:rFonts w:hint="eastAsia" w:ascii="仿宋" w:hAnsi="仿宋" w:eastAsia="仿宋" w:cs="仿宋"/>
          <w:spacing w:val="-2"/>
          <w:sz w:val="32"/>
          <w:szCs w:val="32"/>
          <w:lang w:eastAsia="zh-CN"/>
        </w:rPr>
        <w:t>在项目实施过程中，要进一步严格执行相关制度，严格执行招投标管理过程，不走过场；完善实施单位，建设单位专业监理，乡镇及农民代表的工程质量监督体制，严格执行工程预算评审和造价审计，规范工程结算。</w:t>
      </w:r>
    </w:p>
    <w:p>
      <w:pPr>
        <w:spacing w:before="3" w:line="360" w:lineRule="auto"/>
        <w:ind w:firstLine="672"/>
        <w:rPr>
          <w:rFonts w:hint="eastAsia" w:ascii="仿宋" w:hAnsi="仿宋" w:eastAsia="仿宋" w:cs="宋体"/>
          <w:spacing w:val="-3"/>
          <w:sz w:val="32"/>
          <w:szCs w:val="32"/>
          <w:lang w:eastAsia="zh-CN"/>
        </w:rPr>
      </w:pPr>
      <w:r>
        <w:rPr>
          <w:rFonts w:hint="eastAsia" w:ascii="仿宋" w:hAnsi="仿宋" w:eastAsia="仿宋" w:cs="仿宋"/>
          <w:spacing w:val="-2"/>
          <w:sz w:val="32"/>
          <w:szCs w:val="32"/>
          <w:lang w:val="en-US" w:eastAsia="zh-CN"/>
        </w:rPr>
        <w:t>6.</w:t>
      </w:r>
      <w:r>
        <w:rPr>
          <w:rFonts w:hint="eastAsia" w:ascii="仿宋" w:hAnsi="仿宋" w:eastAsia="仿宋" w:cs="仿宋"/>
          <w:spacing w:val="-2"/>
          <w:sz w:val="32"/>
          <w:szCs w:val="32"/>
          <w:lang w:eastAsia="zh-CN"/>
        </w:rPr>
        <w:t>进一步建立项目工程的长效管理机制，项目竣工后，资产移交要做到名至实归的移交，要建立移交后的考核制度和检查制度，建立工程管护的长效机制，确保项目工程长期发挥效益。</w:t>
      </w: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lang w:val="en-US" w:eastAsia="zh-CN"/>
        </w:rPr>
        <w:t>7.</w:t>
      </w:r>
      <w:r>
        <w:rPr>
          <w:rFonts w:hint="eastAsia" w:ascii="仿宋" w:hAnsi="仿宋" w:eastAsia="仿宋" w:cs="宋体"/>
          <w:spacing w:val="-3"/>
          <w:sz w:val="32"/>
          <w:szCs w:val="32"/>
        </w:rPr>
        <w:t>建议加强对项目建成后的维修养护等后期管理工作，让项目发挥应有的功用，充分实现项目的社会效益和公益效应，杜绝无效投资，本项目丢失的凸透镜，将会对线路行车安全造成一定的安全隐患，建议尽快寻找凸透镜下落，物归原位，恢复设计功能，确保附近群众出行安全。</w:t>
      </w:r>
    </w:p>
    <w:p>
      <w:pPr>
        <w:spacing w:before="3" w:line="360" w:lineRule="auto"/>
        <w:ind w:firstLine="672"/>
        <w:rPr>
          <w:rFonts w:ascii="仿宋" w:hAnsi="仿宋" w:eastAsia="仿宋" w:cs="宋体"/>
          <w:b/>
          <w:bCs/>
          <w:spacing w:val="-3"/>
          <w:sz w:val="32"/>
          <w:szCs w:val="32"/>
        </w:rPr>
      </w:pPr>
      <w:r>
        <w:rPr>
          <w:rFonts w:hint="eastAsia" w:ascii="仿宋" w:hAnsi="仿宋" w:eastAsia="仿宋" w:cs="宋体"/>
          <w:b/>
          <w:bCs/>
          <w:spacing w:val="-3"/>
          <w:sz w:val="32"/>
          <w:szCs w:val="32"/>
        </w:rPr>
        <w:t>七、其他需要说明的问题</w:t>
      </w: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rPr>
        <w:t>无。</w:t>
      </w:r>
    </w:p>
    <w:p>
      <w:pPr>
        <w:pStyle w:val="2"/>
        <w:rPr>
          <w:rFonts w:ascii="仿宋" w:hAnsi="仿宋" w:eastAsia="仿宋" w:cs="宋体"/>
          <w:spacing w:val="-3"/>
          <w:sz w:val="32"/>
          <w:szCs w:val="32"/>
        </w:rPr>
      </w:pPr>
    </w:p>
    <w:p>
      <w:pPr>
        <w:spacing w:before="3" w:line="360" w:lineRule="auto"/>
        <w:ind w:firstLine="672"/>
        <w:rPr>
          <w:rFonts w:ascii="仿宋" w:hAnsi="仿宋" w:eastAsia="仿宋" w:cs="宋体"/>
          <w:spacing w:val="-3"/>
          <w:sz w:val="32"/>
          <w:szCs w:val="32"/>
        </w:rPr>
      </w:pPr>
      <w:r>
        <w:rPr>
          <w:rFonts w:hint="eastAsia" w:ascii="仿宋" w:hAnsi="仿宋" w:eastAsia="仿宋" w:cs="宋体"/>
          <w:spacing w:val="-3"/>
          <w:sz w:val="32"/>
          <w:szCs w:val="32"/>
        </w:rPr>
        <w:t>（</w:t>
      </w:r>
      <w:r>
        <w:rPr>
          <w:rFonts w:hint="eastAsia" w:ascii="仿宋" w:hAnsi="仿宋" w:eastAsia="仿宋" w:cs="宋体"/>
          <w:spacing w:val="-3"/>
          <w:sz w:val="32"/>
          <w:szCs w:val="32"/>
          <w:lang w:eastAsia="zh-CN"/>
        </w:rPr>
        <w:t>以下</w:t>
      </w:r>
      <w:r>
        <w:rPr>
          <w:rFonts w:hint="eastAsia" w:ascii="仿宋" w:hAnsi="仿宋" w:eastAsia="仿宋" w:cs="宋体"/>
          <w:spacing w:val="-3"/>
          <w:sz w:val="32"/>
          <w:szCs w:val="32"/>
        </w:rPr>
        <w:t>无正文）</w:t>
      </w:r>
    </w:p>
    <w:p>
      <w:pPr>
        <w:spacing w:before="3" w:line="360" w:lineRule="auto"/>
        <w:ind w:firstLine="672"/>
        <w:rPr>
          <w:rFonts w:ascii="仿宋" w:hAnsi="仿宋" w:eastAsia="仿宋" w:cs="宋体"/>
          <w:spacing w:val="-3"/>
          <w:sz w:val="32"/>
          <w:szCs w:val="32"/>
        </w:rPr>
      </w:pPr>
    </w:p>
    <w:p>
      <w:pPr>
        <w:pStyle w:val="2"/>
      </w:pPr>
    </w:p>
    <w:p>
      <w:pPr>
        <w:spacing w:before="3" w:line="360" w:lineRule="auto"/>
        <w:rPr>
          <w:rFonts w:ascii="仿宋" w:hAnsi="仿宋" w:eastAsia="仿宋" w:cs="宋体"/>
          <w:spacing w:val="-3"/>
          <w:sz w:val="32"/>
          <w:szCs w:val="32"/>
        </w:rPr>
      </w:pPr>
      <w:r>
        <w:rPr>
          <w:rFonts w:hint="eastAsia" w:ascii="仿宋" w:hAnsi="仿宋" w:eastAsia="仿宋" w:cs="宋体"/>
          <w:spacing w:val="-3"/>
          <w:sz w:val="32"/>
          <w:szCs w:val="32"/>
        </w:rPr>
        <w:t>附件:</w:t>
      </w:r>
    </w:p>
    <w:p>
      <w:pPr>
        <w:spacing w:before="3" w:line="360" w:lineRule="auto"/>
        <w:ind w:firstLine="942" w:firstLineChars="300"/>
        <w:rPr>
          <w:rFonts w:ascii="仿宋" w:hAnsi="仿宋" w:eastAsia="仿宋" w:cs="宋体"/>
          <w:spacing w:val="-3"/>
          <w:sz w:val="32"/>
          <w:szCs w:val="32"/>
        </w:rPr>
      </w:pPr>
      <w:r>
        <w:rPr>
          <w:rFonts w:hint="eastAsia" w:ascii="仿宋" w:hAnsi="仿宋" w:eastAsia="仿宋" w:cs="宋体"/>
          <w:spacing w:val="-3"/>
          <w:sz w:val="32"/>
          <w:szCs w:val="32"/>
        </w:rPr>
        <w:t>1、鞍山市千山区房黑线改造项目事后绩效评价工作小组成员情况表；</w:t>
      </w:r>
    </w:p>
    <w:p>
      <w:pPr>
        <w:spacing w:before="3" w:line="360" w:lineRule="auto"/>
        <w:ind w:firstLine="942" w:firstLineChars="300"/>
        <w:rPr>
          <w:rFonts w:ascii="仿宋" w:hAnsi="仿宋" w:eastAsia="仿宋" w:cs="宋体"/>
          <w:spacing w:val="-3"/>
          <w:sz w:val="32"/>
          <w:szCs w:val="32"/>
        </w:rPr>
      </w:pPr>
      <w:r>
        <w:rPr>
          <w:rFonts w:hint="eastAsia" w:ascii="仿宋" w:hAnsi="仿宋" w:eastAsia="仿宋" w:cs="宋体"/>
          <w:spacing w:val="-3"/>
          <w:sz w:val="32"/>
          <w:szCs w:val="32"/>
        </w:rPr>
        <w:t>2、鞍山市千山区房黑线改造项目事后绩效评价指标体系；</w:t>
      </w:r>
    </w:p>
    <w:p>
      <w:pPr>
        <w:spacing w:before="3" w:line="360" w:lineRule="auto"/>
        <w:ind w:firstLine="942" w:firstLineChars="300"/>
        <w:rPr>
          <w:rFonts w:ascii="仿宋" w:hAnsi="仿宋" w:eastAsia="仿宋" w:cs="宋体"/>
          <w:spacing w:val="-3"/>
          <w:sz w:val="32"/>
          <w:szCs w:val="32"/>
        </w:rPr>
      </w:pPr>
      <w:r>
        <w:rPr>
          <w:rFonts w:hint="eastAsia" w:ascii="仿宋" w:hAnsi="仿宋" w:eastAsia="仿宋" w:cs="宋体"/>
          <w:spacing w:val="-3"/>
          <w:sz w:val="32"/>
          <w:szCs w:val="32"/>
        </w:rPr>
        <w:t>3、鞍山市千山区房黑线改造项目事后绩效评价评分汇总表。</w:t>
      </w:r>
    </w:p>
    <w:p>
      <w:pPr>
        <w:rPr>
          <w:rFonts w:ascii="仿宋" w:hAnsi="仿宋" w:eastAsia="仿宋" w:cs="宋体"/>
        </w:rPr>
      </w:pPr>
    </w:p>
    <w:p>
      <w:pPr>
        <w:rPr>
          <w:rFonts w:ascii="仿宋" w:hAnsi="仿宋" w:eastAsia="仿宋" w:cs="宋体"/>
        </w:rPr>
      </w:pPr>
    </w:p>
    <w:p>
      <w:pPr>
        <w:rPr>
          <w:rFonts w:ascii="仿宋" w:hAnsi="仿宋" w:eastAsia="仿宋" w:cs="宋体"/>
        </w:rPr>
      </w:pPr>
    </w:p>
    <w:p>
      <w:pPr>
        <w:rPr>
          <w:rFonts w:ascii="仿宋" w:hAnsi="仿宋" w:eastAsia="仿宋" w:cs="宋体"/>
        </w:rPr>
      </w:pPr>
    </w:p>
    <w:p>
      <w:pPr>
        <w:rPr>
          <w:rFonts w:ascii="仿宋" w:hAnsi="仿宋" w:eastAsia="仿宋" w:cs="宋体"/>
        </w:rPr>
      </w:pPr>
    </w:p>
    <w:p>
      <w:pPr>
        <w:rPr>
          <w:rFonts w:ascii="仿宋" w:hAnsi="仿宋" w:eastAsia="仿宋" w:cs="宋体"/>
        </w:rPr>
      </w:pPr>
    </w:p>
    <w:p>
      <w:pPr>
        <w:rPr>
          <w:rFonts w:ascii="仿宋" w:hAnsi="仿宋" w:eastAsia="仿宋" w:cs="宋体"/>
        </w:rPr>
      </w:pPr>
    </w:p>
    <w:p>
      <w:pPr>
        <w:rPr>
          <w:rFonts w:ascii="仿宋" w:hAnsi="仿宋" w:eastAsia="仿宋" w:cs="宋体"/>
        </w:rPr>
      </w:pPr>
    </w:p>
    <w:p>
      <w:pPr>
        <w:pStyle w:val="2"/>
      </w:pPr>
    </w:p>
    <w:p>
      <w:pPr>
        <w:rPr>
          <w:rFonts w:ascii="仿宋" w:hAnsi="仿宋" w:eastAsia="仿宋" w:cs="宋体"/>
        </w:rPr>
      </w:pPr>
    </w:p>
    <w:p>
      <w:pPr>
        <w:spacing w:before="236" w:line="360" w:lineRule="auto"/>
        <w:ind w:firstLine="3201" w:firstLineChars="1009"/>
        <w:jc w:val="right"/>
        <w:rPr>
          <w:rFonts w:ascii="仿宋" w:hAnsi="仿宋" w:eastAsia="仿宋" w:cs="宋体"/>
          <w:b/>
          <w:bCs/>
          <w:spacing w:val="-2"/>
          <w:sz w:val="32"/>
          <w:szCs w:val="32"/>
        </w:rPr>
      </w:pPr>
      <w:r>
        <w:rPr>
          <w:rFonts w:hint="eastAsia" w:ascii="仿宋" w:hAnsi="仿宋" w:eastAsia="仿宋" w:cs="宋体"/>
          <w:b/>
          <w:bCs/>
          <w:spacing w:val="-2"/>
          <w:sz w:val="32"/>
          <w:szCs w:val="32"/>
        </w:rPr>
        <w:t>辽宁永信会计师事务所有限责任公司</w:t>
      </w:r>
    </w:p>
    <w:p>
      <w:pPr>
        <w:spacing w:before="236" w:line="360" w:lineRule="auto"/>
        <w:ind w:firstLine="653"/>
        <w:jc w:val="right"/>
        <w:rPr>
          <w:rFonts w:ascii="仿宋" w:hAnsi="仿宋" w:eastAsia="仿宋" w:cs="宋体"/>
          <w:b/>
          <w:bCs/>
          <w:spacing w:val="-2"/>
          <w:sz w:val="32"/>
          <w:szCs w:val="32"/>
        </w:rPr>
      </w:pPr>
      <w:r>
        <w:rPr>
          <w:rFonts w:hint="eastAsia" w:ascii="仿宋" w:hAnsi="仿宋" w:eastAsia="仿宋" w:cs="宋体"/>
          <w:b/>
          <w:bCs/>
          <w:spacing w:val="-2"/>
          <w:sz w:val="32"/>
          <w:szCs w:val="32"/>
        </w:rPr>
        <w:t xml:space="preserve">                   202</w:t>
      </w:r>
      <w:r>
        <w:rPr>
          <w:rFonts w:hint="eastAsia" w:ascii="仿宋" w:hAnsi="仿宋" w:eastAsia="仿宋" w:cs="宋体"/>
          <w:b/>
          <w:bCs/>
          <w:spacing w:val="-2"/>
          <w:sz w:val="32"/>
          <w:szCs w:val="32"/>
          <w:lang w:val="en-US" w:eastAsia="zh-CN"/>
        </w:rPr>
        <w:t>2</w:t>
      </w:r>
      <w:r>
        <w:rPr>
          <w:rFonts w:hint="eastAsia" w:ascii="仿宋" w:hAnsi="仿宋" w:eastAsia="仿宋" w:cs="宋体"/>
          <w:b/>
          <w:bCs/>
          <w:spacing w:val="-2"/>
          <w:sz w:val="32"/>
          <w:szCs w:val="32"/>
        </w:rPr>
        <w:t xml:space="preserve"> 年1月7日</w:t>
      </w:r>
    </w:p>
    <w:sectPr>
      <w:footerReference r:id="rId3" w:type="default"/>
      <w:pgSz w:w="11906" w:h="16839"/>
      <w:pgMar w:top="1431" w:right="1589" w:bottom="1480" w:left="1586" w:header="0" w:footer="68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46" w:after="52" w:line="240" w:lineRule="auto"/>
      <w:ind w:firstLine="2994"/>
      <w:rPr>
        <w:rFonts w:ascii="宋体" w:hAnsi="宋体" w:eastAsia="宋体" w:cs="宋体"/>
        <w:spacing w:val="-1"/>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p>
    <w:pPr>
      <w:spacing w:before="46" w:after="52" w:line="240" w:lineRule="auto"/>
      <w:ind w:firstLine="2994"/>
      <w:rPr>
        <w:rFonts w:ascii="宋体" w:hAnsi="宋体" w:eastAsia="宋体" w:cs="宋体"/>
        <w:sz w:val="18"/>
        <w:szCs w:val="18"/>
      </w:rPr>
    </w:pPr>
    <w:r>
      <w:drawing>
        <wp:anchor distT="0" distB="0" distL="0" distR="0" simplePos="0" relativeHeight="251660288" behindDoc="0" locked="0" layoutInCell="0" allowOverlap="1">
          <wp:simplePos x="0" y="0"/>
          <wp:positionH relativeFrom="page">
            <wp:posOffset>997585</wp:posOffset>
          </wp:positionH>
          <wp:positionV relativeFrom="page">
            <wp:posOffset>9752965</wp:posOffset>
          </wp:positionV>
          <wp:extent cx="5544185" cy="635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
                  <a:stretch>
                    <a:fillRect/>
                  </a:stretch>
                </pic:blipFill>
                <pic:spPr>
                  <a:xfrm>
                    <a:off x="0" y="0"/>
                    <a:ext cx="5544184" cy="6350"/>
                  </a:xfrm>
                  <a:prstGeom prst="rect">
                    <a:avLst/>
                  </a:prstGeom>
                </pic:spPr>
              </pic:pic>
            </a:graphicData>
          </a:graphic>
        </wp:anchor>
      </w:drawing>
    </w:r>
    <w:r>
      <w:rPr>
        <w:rFonts w:ascii="宋体" w:hAnsi="宋体" w:eastAsia="宋体" w:cs="宋体"/>
        <w:spacing w:val="-1"/>
        <w:sz w:val="18"/>
        <w:szCs w:val="18"/>
      </w:rPr>
      <w:t>辽宁永信会计师事务所有限责任公司</w:t>
    </w:r>
  </w:p>
  <w:p>
    <w:pPr>
      <w:spacing w:line="240" w:lineRule="auto"/>
      <w:ind w:firstLine="1630"/>
      <w:rPr>
        <w:rFonts w:ascii="宋体" w:hAnsi="宋体" w:eastAsia="宋体" w:cs="宋体"/>
        <w:sz w:val="18"/>
        <w:szCs w:val="18"/>
      </w:rPr>
    </w:pPr>
    <w:r>
      <w:rPr>
        <w:rFonts w:ascii="宋体" w:hAnsi="宋体" w:eastAsia="宋体" w:cs="宋体"/>
        <w:spacing w:val="-8"/>
        <w:sz w:val="18"/>
        <w:szCs w:val="18"/>
      </w:rPr>
      <w:t>联系电话：</w:t>
    </w:r>
    <w:r>
      <w:rPr>
        <w:rFonts w:ascii="宋体" w:hAnsi="宋体" w:eastAsia="宋体" w:cs="宋体"/>
        <w:spacing w:val="53"/>
        <w:sz w:val="18"/>
        <w:szCs w:val="18"/>
      </w:rPr>
      <w:t xml:space="preserve"> </w:t>
    </w:r>
    <w:r>
      <w:rPr>
        <w:rFonts w:ascii="Times New Roman" w:hAnsi="Times New Roman" w:eastAsia="Times New Roman" w:cs="Times New Roman"/>
        <w:spacing w:val="-8"/>
        <w:sz w:val="18"/>
        <w:szCs w:val="18"/>
      </w:rPr>
      <w:t>024-22518366</w:t>
    </w:r>
    <w:r>
      <w:rPr>
        <w:rFonts w:ascii="Times New Roman" w:hAnsi="Times New Roman" w:eastAsia="Times New Roman" w:cs="Times New Roman"/>
        <w:w w:val="101"/>
        <w:sz w:val="18"/>
        <w:szCs w:val="18"/>
      </w:rPr>
      <w:t xml:space="preserve">        </w:t>
    </w:r>
    <w:r>
      <w:rPr>
        <w:rFonts w:ascii="宋体" w:hAnsi="宋体" w:eastAsia="宋体" w:cs="宋体"/>
        <w:spacing w:val="-8"/>
        <w:sz w:val="18"/>
        <w:szCs w:val="18"/>
      </w:rPr>
      <w:t>地址：</w:t>
    </w:r>
    <w:r>
      <w:rPr>
        <w:rFonts w:ascii="宋体" w:hAnsi="宋体" w:eastAsia="宋体" w:cs="宋体"/>
        <w:spacing w:val="48"/>
        <w:sz w:val="18"/>
        <w:szCs w:val="18"/>
      </w:rPr>
      <w:t xml:space="preserve"> </w:t>
    </w:r>
    <w:r>
      <w:rPr>
        <w:rFonts w:ascii="宋体" w:hAnsi="宋体" w:eastAsia="宋体" w:cs="宋体"/>
        <w:spacing w:val="-8"/>
        <w:sz w:val="18"/>
        <w:szCs w:val="18"/>
      </w:rPr>
      <w:t>辽宁省沈阳市和平区文化路</w:t>
    </w:r>
    <w:r>
      <w:rPr>
        <w:rFonts w:ascii="宋体" w:hAnsi="宋体" w:eastAsia="宋体" w:cs="宋体"/>
        <w:spacing w:val="-44"/>
        <w:sz w:val="18"/>
        <w:szCs w:val="18"/>
      </w:rPr>
      <w:t xml:space="preserve"> </w:t>
    </w:r>
    <w:r>
      <w:rPr>
        <w:rFonts w:ascii="Times New Roman" w:hAnsi="Times New Roman" w:eastAsia="Times New Roman" w:cs="Times New Roman"/>
        <w:spacing w:val="-8"/>
        <w:sz w:val="18"/>
        <w:szCs w:val="18"/>
      </w:rPr>
      <w:t>45</w:t>
    </w:r>
    <w:r>
      <w:rPr>
        <w:rFonts w:ascii="Times New Roman" w:hAnsi="Times New Roman" w:eastAsia="Times New Roman" w:cs="Times New Roman"/>
        <w:spacing w:val="11"/>
        <w:w w:val="101"/>
        <w:sz w:val="18"/>
        <w:szCs w:val="18"/>
      </w:rPr>
      <w:t xml:space="preserve"> </w:t>
    </w:r>
    <w:r>
      <w:rPr>
        <w:rFonts w:ascii="宋体" w:hAnsi="宋体" w:eastAsia="宋体" w:cs="宋体"/>
        <w:spacing w:val="-8"/>
        <w:sz w:val="18"/>
        <w:szCs w:val="18"/>
      </w:rPr>
      <w:t>号</w:t>
    </w:r>
    <w:r>
      <w:rPr>
        <w:rFonts w:ascii="宋体" w:hAnsi="宋体" w:eastAsia="宋体" w:cs="宋体"/>
        <w:spacing w:val="-42"/>
        <w:sz w:val="18"/>
        <w:szCs w:val="18"/>
      </w:rPr>
      <w:t xml:space="preserve"> </w:t>
    </w:r>
    <w:r>
      <w:rPr>
        <w:rFonts w:ascii="Times New Roman" w:hAnsi="Times New Roman" w:eastAsia="Times New Roman" w:cs="Times New Roman"/>
        <w:spacing w:val="-8"/>
        <w:sz w:val="18"/>
        <w:szCs w:val="18"/>
      </w:rPr>
      <w:t>401</w:t>
    </w:r>
    <w:r>
      <w:rPr>
        <w:rFonts w:ascii="Times New Roman" w:hAnsi="Times New Roman" w:eastAsia="Times New Roman" w:cs="Times New Roman"/>
        <w:spacing w:val="9"/>
        <w:w w:val="102"/>
        <w:sz w:val="18"/>
        <w:szCs w:val="18"/>
      </w:rPr>
      <w:t xml:space="preserve"> </w:t>
    </w:r>
    <w:r>
      <w:rPr>
        <w:rFonts w:ascii="宋体" w:hAnsi="宋体" w:eastAsia="宋体" w:cs="宋体"/>
        <w:spacing w:val="-8"/>
        <w:sz w:val="18"/>
        <w:szCs w:val="18"/>
      </w:rPr>
      <w:t>室。</w:t>
    </w:r>
  </w:p>
  <w:p>
    <w:pPr>
      <w:pStyle w:val="3"/>
      <w:jc w:val="both"/>
    </w:pPr>
  </w:p>
  <w:p>
    <w:pPr>
      <w:spacing w:line="14" w:lineRule="auto"/>
      <w:rPr>
        <w:rFonts w:ascii="宋体"/>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4769EC"/>
    <w:multiLevelType w:val="singleLevel"/>
    <w:tmpl w:val="F44769E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B6"/>
    <w:rsid w:val="006A5AB6"/>
    <w:rsid w:val="00F5693D"/>
    <w:rsid w:val="00F84970"/>
    <w:rsid w:val="10DA0191"/>
    <w:rsid w:val="136106D4"/>
    <w:rsid w:val="17085B7D"/>
    <w:rsid w:val="1A6C6CC9"/>
    <w:rsid w:val="1B0B13D3"/>
    <w:rsid w:val="237514D1"/>
    <w:rsid w:val="27822F08"/>
    <w:rsid w:val="30816F3B"/>
    <w:rsid w:val="3135465C"/>
    <w:rsid w:val="407C3946"/>
    <w:rsid w:val="42A34578"/>
    <w:rsid w:val="4C205BB6"/>
    <w:rsid w:val="5278343F"/>
    <w:rsid w:val="5B5F0B43"/>
    <w:rsid w:val="5B991DDB"/>
    <w:rsid w:val="6285093F"/>
    <w:rsid w:val="64132275"/>
    <w:rsid w:val="67481A78"/>
    <w:rsid w:val="725D2491"/>
    <w:rsid w:val="78F30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0"/>
    <w:pPr>
      <w:spacing w:after="120"/>
    </w:pPr>
    <w:rPr>
      <w:szCs w:val="24"/>
    </w:rPr>
  </w:style>
  <w:style w:type="paragraph" w:styleId="3">
    <w:name w:val="footer"/>
    <w:basedOn w:val="1"/>
    <w:link w:val="8"/>
    <w:uiPriority w:val="99"/>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5">
    <w:name w:val="Normal (Web)"/>
    <w:basedOn w:val="1"/>
    <w:qFormat/>
    <w:uiPriority w:val="0"/>
    <w:pPr>
      <w:spacing w:beforeAutospacing="1" w:afterAutospacing="1"/>
    </w:pPr>
    <w:rPr>
      <w:rFonts w:cs="Times New Roman"/>
      <w:sz w:val="24"/>
    </w:rPr>
  </w:style>
  <w:style w:type="character" w:customStyle="1" w:styleId="8">
    <w:name w:val="页脚 Char"/>
    <w:basedOn w:val="7"/>
    <w:link w:val="3"/>
    <w:uiPriority w:val="99"/>
    <w:rPr>
      <w:rFonts w:ascii="Arial" w:hAnsi="Arial" w:eastAsia="Arial" w:cs="Arial"/>
      <w:snapToGrid w:val="0"/>
      <w:color w:val="000000"/>
      <w:sz w:val="1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825</Words>
  <Characters>4708</Characters>
  <Lines>39</Lines>
  <Paragraphs>11</Paragraphs>
  <TotalTime>3</TotalTime>
  <ScaleCrop>false</ScaleCrop>
  <LinksUpToDate>false</LinksUpToDate>
  <CharactersWithSpaces>5522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云出无心鸟倦知返</cp:lastModifiedBy>
  <dcterms:modified xsi:type="dcterms:W3CDTF">2022-01-06T03:08:46Z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74EE82F7462A4921B073A2451204AE47</vt:lpwstr>
  </property>
</Properties>
</file>