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3" w:lineRule="auto"/>
        <w:rPr>
          <w:rFonts w:ascii="宋体"/>
          <w:sz w:val="21"/>
        </w:rPr>
      </w:pPr>
      <w:r>
        <w:drawing>
          <wp:anchor distT="0" distB="0" distL="0" distR="0" simplePos="0" relativeHeight="251659264" behindDoc="0" locked="0" layoutInCell="0" allowOverlap="1">
            <wp:simplePos x="0" y="0"/>
            <wp:positionH relativeFrom="page">
              <wp:posOffset>908685</wp:posOffset>
            </wp:positionH>
            <wp:positionV relativeFrom="page">
              <wp:posOffset>2576830</wp:posOffset>
            </wp:positionV>
            <wp:extent cx="548640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5486400" cy="9525"/>
                    </a:xfrm>
                    <a:prstGeom prst="rect">
                      <a:avLst/>
                    </a:prstGeom>
                  </pic:spPr>
                </pic:pic>
              </a:graphicData>
            </a:graphic>
          </wp:anchor>
        </w:drawing>
      </w:r>
    </w:p>
    <w:p>
      <w:pPr>
        <w:spacing w:before="169" w:line="186" w:lineRule="auto"/>
        <w:ind w:firstLine="435"/>
        <w:rPr>
          <w:rFonts w:ascii="宋体" w:hAnsi="宋体" w:eastAsia="宋体" w:cs="宋体"/>
          <w:sz w:val="52"/>
          <w:szCs w:val="52"/>
        </w:rPr>
      </w:pPr>
      <w:r>
        <w:rPr>
          <w:rFonts w:ascii="宋体" w:hAnsi="宋体" w:eastAsia="宋体" w:cs="宋体"/>
          <w:color w:val="FF0000"/>
          <w:spacing w:val="-1"/>
          <w:sz w:val="52"/>
          <w:szCs w:val="52"/>
          <w14:textOutline w14:w="9461" w14:cap="sq" w14:cmpd="sng">
            <w14:solidFill>
              <w14:srgbClr w14:val="FF0000"/>
            </w14:solidFill>
            <w14:prstDash w14:val="solid"/>
            <w14:bevel/>
          </w14:textOutline>
        </w:rPr>
        <w:t>辽宁永信会计师事务所有限责任公司</w:t>
      </w:r>
    </w:p>
    <w:p>
      <w:pPr>
        <w:spacing w:before="266" w:line="180" w:lineRule="auto"/>
        <w:ind w:firstLine="533"/>
        <w:rPr>
          <w:rFonts w:ascii="宋体" w:hAnsi="宋体" w:eastAsia="宋体" w:cs="宋体"/>
          <w:sz w:val="28"/>
          <w:szCs w:val="28"/>
        </w:rPr>
      </w:pPr>
      <w:r>
        <w:rPr>
          <w:rFonts w:ascii="宋体" w:hAnsi="宋体" w:eastAsia="宋体" w:cs="宋体"/>
          <w:color w:val="FF0000"/>
          <w:spacing w:val="-7"/>
          <w:sz w:val="28"/>
          <w:szCs w:val="28"/>
          <w14:textOutline w14:w="5103" w14:cap="sq" w14:cmpd="sng">
            <w14:solidFill>
              <w14:srgbClr w14:val="FF0000"/>
            </w14:solidFill>
            <w14:prstDash w14:val="solid"/>
            <w14:bevel/>
          </w14:textOutline>
        </w:rPr>
        <w:t>LIAONING</w:t>
      </w:r>
      <w:r>
        <w:rPr>
          <w:rFonts w:ascii="宋体" w:hAnsi="宋体" w:eastAsia="宋体" w:cs="宋体"/>
          <w:color w:val="FF0000"/>
          <w:spacing w:val="26"/>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YONGXIN</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CERTIFIED</w:t>
      </w:r>
      <w:r>
        <w:rPr>
          <w:rFonts w:ascii="宋体" w:hAnsi="宋体" w:eastAsia="宋体" w:cs="宋体"/>
          <w:color w:val="FF0000"/>
          <w:spacing w:val="-12"/>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PUBLIC</w:t>
      </w:r>
      <w:r>
        <w:rPr>
          <w:rFonts w:ascii="宋体" w:hAnsi="宋体" w:eastAsia="宋体" w:cs="宋体"/>
          <w:color w:val="FF0000"/>
          <w:spacing w:val="-15"/>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ACCOUNTANTS</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LIMITED</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3" w14:cap="sq" w14:cmpd="sng">
            <w14:solidFill>
              <w14:srgbClr w14:val="FF0000"/>
            </w14:solidFill>
            <w14:prstDash w14:val="solid"/>
            <w14:bevel/>
          </w14:textOutline>
        </w:rPr>
        <w:t>COMPANY</w:t>
      </w:r>
    </w:p>
    <w:p>
      <w:pPr>
        <w:spacing w:line="265" w:lineRule="auto"/>
        <w:rPr>
          <w:rFonts w:ascii="宋体"/>
          <w:sz w:val="21"/>
        </w:rPr>
      </w:pPr>
    </w:p>
    <w:p>
      <w:pPr>
        <w:spacing w:before="78" w:line="185" w:lineRule="auto"/>
        <w:ind w:firstLine="3230"/>
        <w:rPr>
          <w:rFonts w:hint="eastAsia" w:ascii="仿宋" w:hAnsi="仿宋" w:eastAsia="仿宋" w:cs="仿宋"/>
          <w:sz w:val="24"/>
          <w:szCs w:val="24"/>
        </w:rPr>
      </w:pPr>
      <w:r>
        <w:rPr>
          <w:rFonts w:hint="eastAsia" w:ascii="仿宋" w:hAnsi="仿宋" w:eastAsia="仿宋" w:cs="仿宋"/>
          <w:spacing w:val="-2"/>
          <w:sz w:val="24"/>
          <w:szCs w:val="24"/>
          <w14:textOutline w14:w="4358" w14:cap="sq" w14:cmpd="sng">
            <w14:solidFill>
              <w14:srgbClr w14:val="000000"/>
            </w14:solidFill>
            <w14:prstDash w14:val="solid"/>
            <w14:bevel/>
          </w14:textOutline>
        </w:rPr>
        <w:t>辽永信专审[2021]</w:t>
      </w:r>
      <w:r>
        <w:rPr>
          <w:rFonts w:hint="eastAsia" w:ascii="仿宋" w:hAnsi="仿宋" w:eastAsia="仿宋" w:cs="仿宋"/>
          <w:spacing w:val="-2"/>
          <w:sz w:val="24"/>
          <w:szCs w:val="24"/>
          <w:lang w:val="en-US" w:eastAsia="zh-CN"/>
          <w14:textOutline w14:w="4358" w14:cap="sq" w14:cmpd="sng">
            <w14:solidFill>
              <w14:srgbClr w14:val="000000"/>
            </w14:solidFill>
            <w14:prstDash w14:val="solid"/>
            <w14:bevel/>
          </w14:textOutline>
        </w:rPr>
        <w:t>QSJX</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14:textOutline w14:w="4358" w14:cap="sq" w14:cmpd="sng">
            <w14:solidFill>
              <w14:srgbClr w14:val="000000"/>
            </w14:solidFill>
            <w14:prstDash w14:val="solid"/>
            <w14:bevel/>
          </w14:textOutline>
        </w:rPr>
        <w:t>第</w:t>
      </w:r>
      <w:r>
        <w:rPr>
          <w:rFonts w:hint="eastAsia" w:ascii="仿宋" w:hAnsi="仿宋" w:eastAsia="仿宋" w:cs="仿宋"/>
          <w:spacing w:val="-51"/>
          <w:sz w:val="24"/>
          <w:szCs w:val="24"/>
          <w:lang w:val="en-US" w:eastAsia="zh-CN"/>
        </w:rPr>
        <w:t>1</w:t>
      </w:r>
      <w:r>
        <w:rPr>
          <w:rFonts w:hint="eastAsia" w:ascii="仿宋" w:hAnsi="仿宋" w:eastAsia="仿宋" w:cs="仿宋"/>
          <w:spacing w:val="-2"/>
          <w:sz w:val="24"/>
          <w:szCs w:val="24"/>
          <w14:textOutline w14:w="4358" w14:cap="sq" w14:cmpd="sng">
            <w14:solidFill>
              <w14:srgbClr w14:val="000000"/>
            </w14:solidFill>
            <w14:prstDash w14:val="solid"/>
            <w14:bevel/>
          </w14:textOutline>
        </w:rPr>
        <w:t>号</w:t>
      </w:r>
    </w:p>
    <w:p>
      <w:pPr>
        <w:spacing w:line="298" w:lineRule="auto"/>
        <w:rPr>
          <w:rFonts w:ascii="宋体"/>
          <w:sz w:val="21"/>
        </w:rPr>
      </w:pPr>
    </w:p>
    <w:p>
      <w:pPr>
        <w:spacing w:line="299" w:lineRule="auto"/>
        <w:rPr>
          <w:rFonts w:ascii="宋体"/>
          <w:sz w:val="21"/>
        </w:rPr>
      </w:pPr>
    </w:p>
    <w:p>
      <w:pPr>
        <w:spacing w:before="117" w:line="559" w:lineRule="exact"/>
        <w:rPr>
          <w:rFonts w:hint="eastAsia" w:ascii="仿宋" w:hAnsi="仿宋" w:eastAsia="仿宋" w:cs="仿宋"/>
          <w:sz w:val="36"/>
          <w:szCs w:val="36"/>
        </w:rPr>
      </w:pPr>
      <w:r>
        <w:rPr>
          <w:rFonts w:hint="eastAsia" w:ascii="仿宋" w:hAnsi="仿宋" w:eastAsia="仿宋" w:cs="仿宋"/>
          <w:spacing w:val="-1"/>
          <w:position w:val="13"/>
          <w:sz w:val="36"/>
          <w:szCs w:val="36"/>
          <w14:textOutline w14:w="6537" w14:cap="sq" w14:cmpd="sng">
            <w14:solidFill>
              <w14:srgbClr w14:val="000000"/>
            </w14:solidFill>
            <w14:prstDash w14:val="solid"/>
            <w14:bevel/>
          </w14:textOutline>
        </w:rPr>
        <w:t>关于</w:t>
      </w:r>
      <w:r>
        <w:rPr>
          <w:rFonts w:hint="eastAsia" w:ascii="仿宋" w:hAnsi="仿宋" w:eastAsia="仿宋" w:cs="仿宋"/>
          <w:spacing w:val="-1"/>
          <w:position w:val="13"/>
          <w:sz w:val="36"/>
          <w:szCs w:val="36"/>
          <w:lang w:eastAsia="zh-CN"/>
          <w14:textOutline w14:w="6537" w14:cap="sq" w14:cmpd="sng">
            <w14:solidFill>
              <w14:srgbClr w14:val="000000"/>
            </w14:solidFill>
            <w14:prstDash w14:val="solid"/>
            <w14:bevel/>
          </w14:textOutline>
        </w:rPr>
        <w:t>鞍山市千山区甘泉镇</w:t>
      </w:r>
      <w:r>
        <w:rPr>
          <w:rFonts w:hint="eastAsia" w:ascii="仿宋" w:hAnsi="仿宋" w:eastAsia="仿宋" w:cs="仿宋"/>
          <w:spacing w:val="-1"/>
          <w:position w:val="13"/>
          <w:sz w:val="36"/>
          <w:szCs w:val="36"/>
          <w:lang w:val="en-US" w:eastAsia="zh-CN"/>
          <w14:textOutline w14:w="6537" w14:cap="sq" w14:cmpd="sng">
            <w14:solidFill>
              <w14:srgbClr w14:val="000000"/>
            </w14:solidFill>
            <w14:prstDash w14:val="solid"/>
            <w14:bevel/>
          </w14:textOutline>
        </w:rPr>
        <w:t>2019年高标准农田建设</w:t>
      </w:r>
      <w:r>
        <w:rPr>
          <w:rFonts w:hint="eastAsia" w:ascii="仿宋" w:hAnsi="仿宋" w:eastAsia="仿宋" w:cs="仿宋"/>
          <w:spacing w:val="-1"/>
          <w:position w:val="13"/>
          <w:sz w:val="36"/>
          <w:szCs w:val="36"/>
          <w14:textOutline w14:w="6537" w14:cap="sq" w14:cmpd="sng">
            <w14:solidFill>
              <w14:srgbClr w14:val="000000"/>
            </w14:solidFill>
            <w14:prstDash w14:val="solid"/>
            <w14:bevel/>
          </w14:textOutline>
        </w:rPr>
        <w:t>项目</w:t>
      </w:r>
    </w:p>
    <w:p>
      <w:pPr>
        <w:spacing w:line="204" w:lineRule="auto"/>
        <w:ind w:firstLine="3147"/>
        <w:rPr>
          <w:rFonts w:hint="eastAsia" w:ascii="仿宋" w:hAnsi="仿宋" w:eastAsia="仿宋" w:cs="仿宋"/>
          <w:sz w:val="36"/>
          <w:szCs w:val="36"/>
        </w:rPr>
      </w:pPr>
      <w:r>
        <w:rPr>
          <w:rFonts w:hint="eastAsia" w:ascii="仿宋" w:hAnsi="仿宋" w:eastAsia="仿宋" w:cs="仿宋"/>
          <w:spacing w:val="-1"/>
          <w:sz w:val="36"/>
          <w:szCs w:val="36"/>
          <w14:textOutline w14:w="6537" w14:cap="sq" w14:cmpd="sng">
            <w14:solidFill>
              <w14:srgbClr w14:val="000000"/>
            </w14:solidFill>
            <w14:prstDash w14:val="solid"/>
            <w14:bevel/>
          </w14:textOutline>
        </w:rPr>
        <w:t>事</w:t>
      </w:r>
      <w:r>
        <w:rPr>
          <w:rFonts w:hint="eastAsia" w:ascii="仿宋" w:hAnsi="仿宋" w:eastAsia="仿宋" w:cs="仿宋"/>
          <w:spacing w:val="-1"/>
          <w:sz w:val="36"/>
          <w:szCs w:val="36"/>
          <w:lang w:eastAsia="zh-CN"/>
          <w14:textOutline w14:w="6537" w14:cap="sq" w14:cmpd="sng">
            <w14:solidFill>
              <w14:srgbClr w14:val="000000"/>
            </w14:solidFill>
            <w14:prstDash w14:val="solid"/>
            <w14:bevel/>
          </w14:textOutline>
        </w:rPr>
        <w:t>后</w:t>
      </w:r>
      <w:r>
        <w:rPr>
          <w:rFonts w:hint="eastAsia" w:ascii="仿宋" w:hAnsi="仿宋" w:eastAsia="仿宋" w:cs="仿宋"/>
          <w:spacing w:val="-1"/>
          <w:sz w:val="36"/>
          <w:szCs w:val="36"/>
          <w14:textOutline w14:w="6537" w14:cap="sq" w14:cmpd="sng">
            <w14:solidFill>
              <w14:srgbClr w14:val="000000"/>
            </w14:solidFill>
            <w14:prstDash w14:val="solid"/>
            <w14:bevel/>
          </w14:textOutline>
        </w:rPr>
        <w:t>绩效评</w:t>
      </w:r>
      <w:r>
        <w:rPr>
          <w:rFonts w:hint="eastAsia" w:ascii="仿宋" w:hAnsi="仿宋" w:eastAsia="仿宋" w:cs="仿宋"/>
          <w:spacing w:val="-1"/>
          <w:sz w:val="36"/>
          <w:szCs w:val="36"/>
          <w:lang w:eastAsia="zh-CN"/>
          <w14:textOutline w14:w="6537" w14:cap="sq" w14:cmpd="sng">
            <w14:solidFill>
              <w14:srgbClr w14:val="000000"/>
            </w14:solidFill>
            <w14:prstDash w14:val="solid"/>
            <w14:bevel/>
          </w14:textOutline>
        </w:rPr>
        <w:t>价</w:t>
      </w:r>
      <w:r>
        <w:rPr>
          <w:rFonts w:hint="eastAsia" w:ascii="仿宋" w:hAnsi="仿宋" w:eastAsia="仿宋" w:cs="仿宋"/>
          <w:spacing w:val="-1"/>
          <w:sz w:val="36"/>
          <w:szCs w:val="36"/>
          <w14:textOutline w14:w="6537" w14:cap="sq" w14:cmpd="sng">
            <w14:solidFill>
              <w14:srgbClr w14:val="000000"/>
            </w14:solidFill>
            <w14:prstDash w14:val="solid"/>
            <w14:bevel/>
          </w14:textOutline>
        </w:rPr>
        <w:t>报告</w:t>
      </w:r>
    </w:p>
    <w:p>
      <w:pPr>
        <w:keepNext w:val="0"/>
        <w:keepLines w:val="0"/>
        <w:pageBreakBefore w:val="0"/>
        <w:widowControl/>
        <w:kinsoku w:val="0"/>
        <w:wordWrap/>
        <w:overflowPunct/>
        <w:topLinePunct w:val="0"/>
        <w:autoSpaceDE w:val="0"/>
        <w:autoSpaceDN w:val="0"/>
        <w:bidi w:val="0"/>
        <w:adjustRightInd w:val="0"/>
        <w:snapToGrid w:val="0"/>
        <w:spacing w:before="199" w:line="360" w:lineRule="auto"/>
        <w:ind w:firstLine="179"/>
        <w:textAlignment w:val="baseline"/>
        <w:rPr>
          <w:rFonts w:ascii="仿宋" w:hAnsi="仿宋" w:eastAsia="仿宋" w:cs="仿宋"/>
          <w:sz w:val="32"/>
          <w:szCs w:val="32"/>
        </w:rPr>
      </w:pPr>
      <w:r>
        <w:rPr>
          <w:rFonts w:hint="eastAsia" w:ascii="仿宋" w:hAnsi="仿宋" w:eastAsia="仿宋" w:cs="仿宋"/>
          <w:spacing w:val="-3"/>
          <w:sz w:val="32"/>
          <w:szCs w:val="32"/>
          <w:lang w:eastAsia="zh-CN"/>
        </w:rPr>
        <w:t>鞍山市千山</w:t>
      </w:r>
      <w:r>
        <w:rPr>
          <w:rFonts w:ascii="仿宋" w:hAnsi="仿宋" w:eastAsia="仿宋" w:cs="仿宋"/>
          <w:spacing w:val="-3"/>
          <w:sz w:val="32"/>
          <w:szCs w:val="32"/>
        </w:rPr>
        <w:t>区财政局：</w:t>
      </w:r>
    </w:p>
    <w:p>
      <w:pPr>
        <w:keepNext w:val="0"/>
        <w:keepLines w:val="0"/>
        <w:pageBreakBefore w:val="0"/>
        <w:widowControl/>
        <w:kinsoku w:val="0"/>
        <w:wordWrap/>
        <w:overflowPunct/>
        <w:topLinePunct w:val="0"/>
        <w:autoSpaceDE w:val="0"/>
        <w:autoSpaceDN w:val="0"/>
        <w:bidi w:val="0"/>
        <w:adjustRightInd w:val="0"/>
        <w:snapToGrid w:val="0"/>
        <w:spacing w:before="237" w:line="360" w:lineRule="auto"/>
        <w:ind w:left="175" w:right="60" w:firstLine="656"/>
        <w:textAlignment w:val="baseline"/>
        <w:rPr>
          <w:rFonts w:ascii="仿宋" w:hAnsi="仿宋" w:eastAsia="仿宋" w:cs="仿宋"/>
          <w:sz w:val="32"/>
          <w:szCs w:val="32"/>
        </w:rPr>
      </w:pPr>
      <w:r>
        <w:rPr>
          <w:rFonts w:ascii="仿宋" w:hAnsi="仿宋" w:eastAsia="仿宋" w:cs="仿宋"/>
          <w:spacing w:val="-6"/>
          <w:sz w:val="32"/>
          <w:szCs w:val="32"/>
        </w:rPr>
        <w:t>受贵局委托，我们组织评</w:t>
      </w:r>
      <w:r>
        <w:rPr>
          <w:rFonts w:hint="eastAsia" w:ascii="仿宋" w:hAnsi="仿宋" w:eastAsia="仿宋" w:cs="仿宋"/>
          <w:spacing w:val="-6"/>
          <w:sz w:val="32"/>
          <w:szCs w:val="32"/>
          <w:lang w:eastAsia="zh-CN"/>
        </w:rPr>
        <w:t>价</w:t>
      </w:r>
      <w:r>
        <w:rPr>
          <w:rFonts w:ascii="仿宋" w:hAnsi="仿宋" w:eastAsia="仿宋" w:cs="仿宋"/>
          <w:spacing w:val="-6"/>
          <w:sz w:val="32"/>
          <w:szCs w:val="32"/>
        </w:rPr>
        <w:t>小组，根据国家法律法规和</w:t>
      </w:r>
      <w:r>
        <w:rPr>
          <w:rFonts w:hint="eastAsia" w:ascii="仿宋" w:hAnsi="仿宋" w:eastAsia="仿宋" w:cs="仿宋"/>
          <w:spacing w:val="-6"/>
          <w:sz w:val="32"/>
          <w:szCs w:val="32"/>
          <w:lang w:eastAsia="zh-CN"/>
        </w:rPr>
        <w:t>地方政府</w:t>
      </w:r>
      <w:r>
        <w:rPr>
          <w:rFonts w:ascii="仿宋" w:hAnsi="仿宋" w:eastAsia="仿宋" w:cs="仿宋"/>
          <w:spacing w:val="-6"/>
          <w:sz w:val="32"/>
          <w:szCs w:val="32"/>
        </w:rPr>
        <w:t>相关</w:t>
      </w:r>
      <w:r>
        <w:rPr>
          <w:rFonts w:ascii="仿宋" w:hAnsi="仿宋" w:eastAsia="仿宋" w:cs="仿宋"/>
          <w:spacing w:val="-4"/>
          <w:sz w:val="32"/>
          <w:szCs w:val="32"/>
        </w:rPr>
        <w:t>政策，本着“独立、客观、公正”的原则，结合</w:t>
      </w:r>
      <w:r>
        <w:rPr>
          <w:rFonts w:hint="eastAsia" w:ascii="仿宋" w:hAnsi="仿宋" w:eastAsia="仿宋" w:cs="仿宋"/>
          <w:spacing w:val="-4"/>
          <w:sz w:val="32"/>
          <w:szCs w:val="32"/>
          <w:lang w:eastAsia="zh-CN"/>
        </w:rPr>
        <w:t>千山区</w:t>
      </w:r>
      <w:r>
        <w:rPr>
          <w:rFonts w:ascii="仿宋" w:hAnsi="仿宋" w:eastAsia="仿宋" w:cs="仿宋"/>
          <w:spacing w:val="-4"/>
          <w:sz w:val="32"/>
          <w:szCs w:val="32"/>
        </w:rPr>
        <w:t>的实际，</w:t>
      </w:r>
      <w:r>
        <w:rPr>
          <w:rFonts w:ascii="仿宋" w:hAnsi="仿宋" w:eastAsia="仿宋" w:cs="仿宋"/>
          <w:spacing w:val="25"/>
          <w:sz w:val="32"/>
          <w:szCs w:val="32"/>
        </w:rPr>
        <w:t xml:space="preserve"> </w:t>
      </w:r>
      <w:r>
        <w:rPr>
          <w:rFonts w:ascii="仿宋" w:hAnsi="仿宋" w:eastAsia="仿宋" w:cs="仿宋"/>
          <w:spacing w:val="-9"/>
          <w:sz w:val="32"/>
          <w:szCs w:val="32"/>
        </w:rPr>
        <w:t>对</w:t>
      </w:r>
      <w:r>
        <w:rPr>
          <w:rFonts w:hint="eastAsia" w:ascii="仿宋" w:hAnsi="仿宋" w:eastAsia="仿宋" w:cs="仿宋"/>
          <w:spacing w:val="-9"/>
          <w:sz w:val="32"/>
          <w:szCs w:val="32"/>
          <w:lang w:eastAsia="zh-CN"/>
        </w:rPr>
        <w:t>甘泉镇</w:t>
      </w:r>
      <w:r>
        <w:rPr>
          <w:rFonts w:hint="eastAsia" w:ascii="仿宋" w:hAnsi="仿宋" w:eastAsia="仿宋" w:cs="仿宋"/>
          <w:spacing w:val="-9"/>
          <w:sz w:val="32"/>
          <w:szCs w:val="32"/>
          <w:lang w:val="en-US" w:eastAsia="zh-CN"/>
        </w:rPr>
        <w:t>2019年高标准农田建设</w:t>
      </w:r>
      <w:r>
        <w:rPr>
          <w:rFonts w:ascii="仿宋" w:hAnsi="仿宋" w:eastAsia="仿宋" w:cs="仿宋"/>
          <w:spacing w:val="-9"/>
          <w:sz w:val="32"/>
          <w:szCs w:val="32"/>
        </w:rPr>
        <w:t>项目（以下简称该项目）</w:t>
      </w:r>
      <w:r>
        <w:rPr>
          <w:rFonts w:ascii="仿宋" w:hAnsi="仿宋" w:eastAsia="仿宋" w:cs="仿宋"/>
          <w:spacing w:val="5"/>
          <w:sz w:val="32"/>
          <w:szCs w:val="32"/>
        </w:rPr>
        <w:t xml:space="preserve"> </w:t>
      </w:r>
      <w:r>
        <w:rPr>
          <w:rFonts w:ascii="仿宋" w:hAnsi="仿宋" w:eastAsia="仿宋" w:cs="仿宋"/>
          <w:spacing w:val="-9"/>
          <w:sz w:val="32"/>
          <w:szCs w:val="32"/>
        </w:rPr>
        <w:t>开展了事</w:t>
      </w:r>
      <w:r>
        <w:rPr>
          <w:rFonts w:hint="eastAsia" w:ascii="仿宋" w:hAnsi="仿宋" w:eastAsia="仿宋" w:cs="仿宋"/>
          <w:spacing w:val="-9"/>
          <w:sz w:val="32"/>
          <w:szCs w:val="32"/>
          <w:lang w:eastAsia="zh-CN"/>
        </w:rPr>
        <w:t>后</w:t>
      </w:r>
      <w:r>
        <w:rPr>
          <w:rFonts w:ascii="仿宋" w:hAnsi="仿宋" w:eastAsia="仿宋" w:cs="仿宋"/>
          <w:spacing w:val="-9"/>
          <w:sz w:val="32"/>
          <w:szCs w:val="32"/>
        </w:rPr>
        <w:t>绩效评</w:t>
      </w:r>
      <w:r>
        <w:rPr>
          <w:rFonts w:hint="eastAsia" w:ascii="仿宋" w:hAnsi="仿宋" w:eastAsia="仿宋" w:cs="仿宋"/>
          <w:spacing w:val="-9"/>
          <w:sz w:val="32"/>
          <w:szCs w:val="32"/>
          <w:lang w:eastAsia="zh-CN"/>
        </w:rPr>
        <w:t>价</w:t>
      </w:r>
      <w:r>
        <w:rPr>
          <w:rFonts w:ascii="仿宋" w:hAnsi="仿宋" w:eastAsia="仿宋" w:cs="仿宋"/>
          <w:spacing w:val="-9"/>
          <w:sz w:val="32"/>
          <w:szCs w:val="32"/>
        </w:rPr>
        <w:t>，</w:t>
      </w:r>
      <w:r>
        <w:rPr>
          <w:rFonts w:ascii="仿宋" w:hAnsi="仿宋" w:eastAsia="仿宋" w:cs="仿宋"/>
          <w:sz w:val="32"/>
          <w:szCs w:val="32"/>
        </w:rPr>
        <w:t xml:space="preserve"> </w:t>
      </w:r>
      <w:r>
        <w:rPr>
          <w:rFonts w:ascii="仿宋" w:hAnsi="仿宋" w:eastAsia="仿宋" w:cs="仿宋"/>
          <w:spacing w:val="-2"/>
          <w:sz w:val="32"/>
          <w:szCs w:val="32"/>
        </w:rPr>
        <w:t>现将评</w:t>
      </w:r>
      <w:r>
        <w:rPr>
          <w:rFonts w:hint="eastAsia" w:ascii="仿宋" w:hAnsi="仿宋" w:eastAsia="仿宋" w:cs="仿宋"/>
          <w:spacing w:val="-2"/>
          <w:sz w:val="32"/>
          <w:szCs w:val="32"/>
          <w:lang w:eastAsia="zh-CN"/>
        </w:rPr>
        <w:t>价</w:t>
      </w:r>
      <w:r>
        <w:rPr>
          <w:rFonts w:ascii="仿宋" w:hAnsi="仿宋" w:eastAsia="仿宋" w:cs="仿宋"/>
          <w:spacing w:val="-2"/>
          <w:sz w:val="32"/>
          <w:szCs w:val="32"/>
        </w:rPr>
        <w:t>的过程和结果报告如下：</w:t>
      </w:r>
    </w:p>
    <w:p>
      <w:pPr>
        <w:keepNext w:val="0"/>
        <w:keepLines w:val="0"/>
        <w:pageBreakBefore w:val="0"/>
        <w:widowControl/>
        <w:kinsoku w:val="0"/>
        <w:wordWrap/>
        <w:overflowPunct/>
        <w:topLinePunct w:val="0"/>
        <w:autoSpaceDE w:val="0"/>
        <w:autoSpaceDN w:val="0"/>
        <w:bidi w:val="0"/>
        <w:adjustRightInd w:val="0"/>
        <w:snapToGrid w:val="0"/>
        <w:spacing w:before="232" w:line="360" w:lineRule="auto"/>
        <w:ind w:firstLine="635"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一、基本情况</w:t>
      </w:r>
    </w:p>
    <w:p>
      <w:pPr>
        <w:keepNext w:val="0"/>
        <w:keepLines w:val="0"/>
        <w:pageBreakBefore w:val="0"/>
        <w:widowControl/>
        <w:kinsoku w:val="0"/>
        <w:wordWrap/>
        <w:overflowPunct/>
        <w:topLinePunct w:val="0"/>
        <w:autoSpaceDE w:val="0"/>
        <w:autoSpaceDN w:val="0"/>
        <w:bidi w:val="0"/>
        <w:adjustRightInd w:val="0"/>
        <w:snapToGrid w:val="0"/>
        <w:spacing w:before="234" w:line="360" w:lineRule="auto"/>
        <w:ind w:firstLine="632" w:firstLineChars="200"/>
        <w:textAlignment w:val="baseline"/>
        <w:rPr>
          <w:rFonts w:hint="eastAsia" w:ascii="仿宋" w:hAnsi="仿宋" w:eastAsia="仿宋" w:cs="仿宋"/>
          <w:sz w:val="32"/>
          <w:szCs w:val="32"/>
          <w:lang w:eastAsia="zh-CN"/>
        </w:rPr>
      </w:pPr>
      <w:r>
        <w:rPr>
          <w:rFonts w:ascii="仿宋" w:hAnsi="仿宋" w:eastAsia="仿宋" w:cs="仿宋"/>
          <w:spacing w:val="-2"/>
          <w:sz w:val="32"/>
          <w:szCs w:val="32"/>
        </w:rPr>
        <w:t>（一）项目</w:t>
      </w:r>
      <w:r>
        <w:rPr>
          <w:rFonts w:hint="eastAsia" w:ascii="仿宋" w:hAnsi="仿宋" w:eastAsia="仿宋" w:cs="仿宋"/>
          <w:spacing w:val="-2"/>
          <w:sz w:val="32"/>
          <w:szCs w:val="32"/>
          <w:lang w:eastAsia="zh-CN"/>
        </w:rPr>
        <w:t>概况</w:t>
      </w:r>
    </w:p>
    <w:p>
      <w:pPr>
        <w:keepNext w:val="0"/>
        <w:keepLines w:val="0"/>
        <w:pageBreakBefore w:val="0"/>
        <w:widowControl/>
        <w:kinsoku w:val="0"/>
        <w:wordWrap/>
        <w:overflowPunct/>
        <w:topLinePunct w:val="0"/>
        <w:autoSpaceDE w:val="0"/>
        <w:autoSpaceDN w:val="0"/>
        <w:bidi w:val="0"/>
        <w:adjustRightInd w:val="0"/>
        <w:snapToGrid w:val="0"/>
        <w:spacing w:before="235" w:line="360" w:lineRule="auto"/>
        <w:ind w:firstLine="628" w:firstLineChars="200"/>
        <w:textAlignment w:val="baseline"/>
        <w:rPr>
          <w:rFonts w:hint="eastAsia" w:ascii="仿宋" w:hAnsi="仿宋" w:eastAsia="仿宋" w:cs="仿宋"/>
          <w:spacing w:val="-3"/>
          <w:sz w:val="32"/>
          <w:szCs w:val="32"/>
          <w:lang w:eastAsia="zh-CN"/>
        </w:rPr>
      </w:pPr>
      <w:r>
        <w:rPr>
          <w:rFonts w:ascii="仿宋" w:hAnsi="仿宋" w:eastAsia="仿宋" w:cs="仿宋"/>
          <w:spacing w:val="-3"/>
          <w:sz w:val="32"/>
          <w:szCs w:val="32"/>
        </w:rPr>
        <w:t>1、</w:t>
      </w:r>
      <w:r>
        <w:rPr>
          <w:rFonts w:hint="eastAsia" w:ascii="仿宋" w:hAnsi="仿宋" w:eastAsia="仿宋" w:cs="仿宋"/>
          <w:spacing w:val="-3"/>
          <w:sz w:val="32"/>
          <w:szCs w:val="32"/>
          <w:lang w:eastAsia="zh-CN"/>
        </w:rPr>
        <w:t>项目背景</w:t>
      </w:r>
    </w:p>
    <w:p>
      <w:pPr>
        <w:keepNext w:val="0"/>
        <w:keepLines w:val="0"/>
        <w:pageBreakBefore w:val="0"/>
        <w:widowControl/>
        <w:kinsoku w:val="0"/>
        <w:wordWrap/>
        <w:overflowPunct/>
        <w:topLinePunct w:val="0"/>
        <w:autoSpaceDE w:val="0"/>
        <w:autoSpaceDN w:val="0"/>
        <w:bidi w:val="0"/>
        <w:adjustRightInd w:val="0"/>
        <w:snapToGrid w:val="0"/>
        <w:spacing w:before="235" w:line="360" w:lineRule="auto"/>
        <w:ind w:firstLine="628" w:firstLineChars="200"/>
        <w:textAlignment w:val="baseline"/>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国民经济与社会发展第十二个五年规划纲要》明确提出“加强以农田水利设施为基础的田间工程建设，大规模建设旱涝保收高标准农田”。《全国高标准农田建设总体规划》提出，到2020年，建成集中连片，旱涝保收的高标准农田8亿亩。规划将东北地区确定为全国粮食主产区，并明确规定了东北地区应完成的高标准农田建设目标。该项目根据省、市高标准农田建设工作安排，由千山区农业农村局呈报2019年高标准农田建设项目初步设计及实施计划，鞍山市农业农村局下发（鞍农发[2019]107、108号)文件予以批复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632" w:firstLineChars="200"/>
        <w:textAlignment w:val="baseline"/>
        <w:rPr>
          <w:rFonts w:hint="default" w:ascii="仿宋" w:hAnsi="仿宋" w:eastAsia="仿宋" w:cs="仿宋"/>
          <w:spacing w:val="-15"/>
          <w:w w:val="97"/>
          <w:sz w:val="32"/>
          <w:szCs w:val="32"/>
          <w:lang w:val="en-US" w:eastAsia="zh-CN"/>
        </w:rPr>
      </w:pPr>
      <w:r>
        <w:rPr>
          <w:rFonts w:hint="eastAsia" w:ascii="仿宋" w:hAnsi="仿宋" w:eastAsia="仿宋" w:cs="仿宋"/>
          <w:spacing w:val="-2"/>
          <w:sz w:val="32"/>
          <w:szCs w:val="32"/>
          <w:lang w:val="en-US" w:eastAsia="zh-CN"/>
        </w:rPr>
        <w:t>2、</w:t>
      </w:r>
      <w:r>
        <w:rPr>
          <w:rFonts w:ascii="仿宋" w:hAnsi="仿宋" w:eastAsia="仿宋" w:cs="仿宋"/>
          <w:spacing w:val="-2"/>
          <w:sz w:val="32"/>
          <w:szCs w:val="32"/>
        </w:rPr>
        <w:t>项目</w:t>
      </w:r>
      <w:r>
        <w:rPr>
          <w:rFonts w:hint="eastAsia" w:ascii="仿宋" w:hAnsi="仿宋" w:eastAsia="仿宋" w:cs="仿宋"/>
          <w:spacing w:val="-2"/>
          <w:sz w:val="32"/>
          <w:szCs w:val="32"/>
          <w:lang w:eastAsia="zh-CN"/>
        </w:rPr>
        <w:t>建设内容：</w:t>
      </w:r>
      <w:r>
        <w:rPr>
          <w:rFonts w:hint="eastAsia" w:ascii="仿宋" w:hAnsi="仿宋" w:eastAsia="仿宋" w:cs="仿宋"/>
          <w:spacing w:val="-9"/>
          <w:sz w:val="32"/>
          <w:szCs w:val="32"/>
          <w:lang w:eastAsia="zh-CN"/>
        </w:rPr>
        <w:t>甘泉镇</w:t>
      </w:r>
      <w:r>
        <w:rPr>
          <w:rFonts w:hint="eastAsia" w:ascii="仿宋" w:hAnsi="仿宋" w:eastAsia="仿宋" w:cs="仿宋"/>
          <w:spacing w:val="-9"/>
          <w:sz w:val="32"/>
          <w:szCs w:val="32"/>
          <w:lang w:val="en-US" w:eastAsia="zh-CN"/>
        </w:rPr>
        <w:t>2019年高标准农田建设</w:t>
      </w:r>
      <w:r>
        <w:rPr>
          <w:rFonts w:ascii="仿宋" w:hAnsi="仿宋" w:eastAsia="仿宋" w:cs="仿宋"/>
          <w:spacing w:val="-9"/>
          <w:sz w:val="32"/>
          <w:szCs w:val="32"/>
        </w:rPr>
        <w:t>项目</w:t>
      </w:r>
      <w:r>
        <w:rPr>
          <w:rFonts w:hint="eastAsia" w:ascii="仿宋" w:hAnsi="仿宋" w:eastAsia="仿宋" w:cs="仿宋"/>
          <w:spacing w:val="-10"/>
          <w:sz w:val="32"/>
          <w:szCs w:val="32"/>
          <w:lang w:eastAsia="zh-CN"/>
        </w:rPr>
        <w:t>计划</w:t>
      </w:r>
      <w:r>
        <w:rPr>
          <w:rFonts w:ascii="仿宋" w:hAnsi="仿宋" w:eastAsia="仿宋" w:cs="仿宋"/>
          <w:spacing w:val="-10"/>
          <w:sz w:val="32"/>
          <w:szCs w:val="32"/>
        </w:rPr>
        <w:t>总投</w:t>
      </w:r>
      <w:r>
        <w:rPr>
          <w:rFonts w:hint="eastAsia" w:ascii="仿宋" w:hAnsi="仿宋" w:eastAsia="仿宋" w:cs="仿宋"/>
          <w:spacing w:val="-10"/>
          <w:sz w:val="32"/>
          <w:szCs w:val="32"/>
          <w:lang w:val="en-US" w:eastAsia="zh-CN"/>
        </w:rPr>
        <w:t>资</w:t>
      </w:r>
      <w:r>
        <w:rPr>
          <w:rFonts w:hint="eastAsia" w:ascii="仿宋" w:hAnsi="仿宋" w:eastAsia="仿宋" w:cs="仿宋"/>
          <w:spacing w:val="-9"/>
          <w:sz w:val="32"/>
          <w:szCs w:val="32"/>
          <w:lang w:val="en-US" w:eastAsia="zh-CN"/>
        </w:rPr>
        <w:t>1,250.00万元，具体内容有：农用井一眼6.42万元、疏浚沟渠3.69公里2.03万元、农桥一座4.8万元、涵洞78个82.38万元、田间道路22.93公里425.11万元、农田林网600米1.22万元、沟道治理6.79公里628.04万元,独立费用100万元（含设计费、验收费、广告费、审计费、规划费）。</w:t>
      </w:r>
      <w:r>
        <w:rPr>
          <w:rFonts w:ascii="仿宋" w:hAnsi="仿宋" w:eastAsia="仿宋" w:cs="仿宋"/>
          <w:spacing w:val="-15"/>
          <w:w w:val="97"/>
          <w:sz w:val="32"/>
          <w:szCs w:val="32"/>
        </w:rPr>
        <w:t>项目建设期：</w:t>
      </w:r>
      <w:r>
        <w:rPr>
          <w:rFonts w:hint="eastAsia" w:ascii="仿宋" w:hAnsi="仿宋" w:eastAsia="仿宋" w:cs="仿宋"/>
          <w:spacing w:val="-15"/>
          <w:w w:val="97"/>
          <w:sz w:val="32"/>
          <w:szCs w:val="32"/>
          <w:lang w:val="en-US" w:eastAsia="zh-CN"/>
        </w:rPr>
        <w:t>2019年12月31日—2020年5月1日。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628" w:firstLineChars="200"/>
        <w:textAlignment w:val="baseline"/>
        <w:rPr>
          <w:rFonts w:hint="default" w:ascii="仿宋" w:hAnsi="仿宋" w:eastAsia="仿宋" w:cs="仿宋"/>
          <w:spacing w:val="-15"/>
          <w:w w:val="97"/>
          <w:sz w:val="32"/>
          <w:szCs w:val="32"/>
          <w:lang w:val="en-US" w:eastAsia="zh-CN"/>
        </w:rPr>
      </w:pPr>
      <w:r>
        <w:rPr>
          <w:rFonts w:ascii="仿宋" w:hAnsi="仿宋" w:eastAsia="仿宋" w:cs="仿宋"/>
          <w:spacing w:val="-3"/>
          <w:sz w:val="32"/>
          <w:szCs w:val="32"/>
        </w:rPr>
        <w:t>3</w:t>
      </w:r>
      <w:r>
        <w:rPr>
          <w:rFonts w:hint="eastAsia" w:ascii="仿宋" w:hAnsi="仿宋" w:eastAsia="仿宋" w:cs="仿宋"/>
          <w:spacing w:val="-3"/>
          <w:sz w:val="32"/>
          <w:szCs w:val="32"/>
          <w:lang w:val="en-US" w:eastAsia="zh-CN"/>
        </w:rPr>
        <w:t>、</w:t>
      </w:r>
      <w:r>
        <w:rPr>
          <w:rFonts w:ascii="仿宋" w:hAnsi="仿宋" w:eastAsia="仿宋" w:cs="仿宋"/>
          <w:spacing w:val="-3"/>
          <w:sz w:val="32"/>
          <w:szCs w:val="32"/>
        </w:rPr>
        <w:t>项目</w:t>
      </w:r>
      <w:r>
        <w:rPr>
          <w:rFonts w:hint="eastAsia" w:ascii="仿宋" w:hAnsi="仿宋" w:eastAsia="仿宋" w:cs="仿宋"/>
          <w:spacing w:val="-3"/>
          <w:sz w:val="32"/>
          <w:szCs w:val="32"/>
          <w:lang w:eastAsia="zh-CN"/>
        </w:rPr>
        <w:t>的实施情况：该项目由辽宁日升市政工程有限公</w:t>
      </w:r>
      <w:r>
        <w:rPr>
          <w:rFonts w:hint="eastAsia" w:ascii="仿宋" w:hAnsi="仿宋" w:eastAsia="仿宋" w:cs="仿宋"/>
          <w:spacing w:val="-15"/>
          <w:w w:val="97"/>
          <w:sz w:val="32"/>
          <w:szCs w:val="32"/>
          <w:lang w:eastAsia="zh-CN"/>
        </w:rPr>
        <w:t>司、鞍山市禾道建筑工程有限公司于</w:t>
      </w:r>
      <w:r>
        <w:rPr>
          <w:rFonts w:hint="eastAsia" w:ascii="仿宋" w:hAnsi="仿宋" w:eastAsia="仿宋" w:cs="仿宋"/>
          <w:spacing w:val="-15"/>
          <w:w w:val="97"/>
          <w:sz w:val="32"/>
          <w:szCs w:val="32"/>
          <w:lang w:val="en-US" w:eastAsia="zh-CN"/>
        </w:rPr>
        <w:t>2019年12月19日中标并签订工程施工合同后，在甘泉镇双台子村和双庙子村实施。2020年6月19日上述两家公司按合同约定的工程内容完成了项目建设。2020年9月20日辽宁寰宇泓业工程造价咨询有限责任公司出具了竣工验收工作报告；2021年1月29日中深泰项目管理有限公司出具了审核报告书。</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36" w:firstLineChars="200"/>
        <w:textAlignment w:val="baseline"/>
        <w:rPr>
          <w:rFonts w:hint="eastAsia" w:ascii="仿宋" w:hAnsi="仿宋" w:eastAsia="仿宋" w:cs="仿宋"/>
          <w:spacing w:val="-1"/>
          <w:sz w:val="32"/>
          <w:szCs w:val="32"/>
          <w:lang w:eastAsia="zh-CN"/>
        </w:rPr>
      </w:pPr>
      <w:r>
        <w:rPr>
          <w:rFonts w:ascii="仿宋" w:hAnsi="仿宋" w:eastAsia="仿宋" w:cs="仿宋"/>
          <w:spacing w:val="-1"/>
          <w:sz w:val="32"/>
          <w:szCs w:val="32"/>
        </w:rPr>
        <w:t>4、项</w:t>
      </w:r>
      <w:r>
        <w:rPr>
          <w:rFonts w:hint="eastAsia" w:ascii="仿宋" w:hAnsi="仿宋" w:eastAsia="仿宋" w:cs="仿宋"/>
          <w:spacing w:val="-1"/>
          <w:sz w:val="32"/>
          <w:szCs w:val="32"/>
          <w:lang w:eastAsia="zh-CN"/>
        </w:rPr>
        <w:t>目资金投入、使用、管理情况</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36" w:firstLineChars="200"/>
        <w:textAlignment w:val="baseline"/>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eastAsia="zh-CN"/>
        </w:rPr>
        <w:t>（</w:t>
      </w:r>
      <w:r>
        <w:rPr>
          <w:rFonts w:hint="eastAsia" w:ascii="仿宋" w:hAnsi="仿宋" w:eastAsia="仿宋" w:cs="仿宋"/>
          <w:spacing w:val="-1"/>
          <w:sz w:val="32"/>
          <w:szCs w:val="32"/>
          <w:lang w:val="en-US" w:eastAsia="zh-CN"/>
        </w:rPr>
        <w:t>1</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lang w:val="en-US" w:eastAsia="zh-CN"/>
        </w:rPr>
        <w:t>项目资金投入情况</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54" w:firstLineChars="200"/>
        <w:textAlignment w:val="baseline"/>
        <w:rPr>
          <w:rFonts w:hint="eastAsia" w:ascii="仿宋" w:hAnsi="仿宋" w:eastAsia="仿宋" w:cs="仿宋"/>
          <w:spacing w:val="-9"/>
          <w:sz w:val="32"/>
          <w:szCs w:val="32"/>
          <w:lang w:val="en-US" w:eastAsia="zh-CN"/>
        </w:rPr>
      </w:pPr>
      <w:r>
        <w:rPr>
          <w:rFonts w:hint="eastAsia" w:ascii="仿宋" w:hAnsi="仿宋" w:eastAsia="仿宋" w:cs="仿宋"/>
          <w:spacing w:val="-15"/>
          <w:w w:val="96"/>
          <w:sz w:val="32"/>
          <w:szCs w:val="32"/>
          <w:lang w:val="en-US" w:eastAsia="zh-CN"/>
        </w:rPr>
        <w:t>该项目</w:t>
      </w:r>
      <w:r>
        <w:rPr>
          <w:rFonts w:ascii="仿宋" w:hAnsi="仿宋" w:eastAsia="仿宋" w:cs="仿宋"/>
          <w:spacing w:val="-15"/>
          <w:w w:val="96"/>
          <w:sz w:val="32"/>
          <w:szCs w:val="32"/>
        </w:rPr>
        <w:t>投资</w:t>
      </w:r>
      <w:r>
        <w:rPr>
          <w:rFonts w:hint="eastAsia" w:ascii="仿宋" w:hAnsi="仿宋" w:eastAsia="仿宋" w:cs="仿宋"/>
          <w:spacing w:val="-15"/>
          <w:w w:val="96"/>
          <w:sz w:val="32"/>
          <w:szCs w:val="32"/>
          <w:lang w:val="en-US" w:eastAsia="zh-CN"/>
        </w:rPr>
        <w:t>1,250.00万元，其中：</w:t>
      </w:r>
      <w:r>
        <w:rPr>
          <w:rFonts w:hint="eastAsia" w:ascii="仿宋" w:hAnsi="仿宋" w:eastAsia="仿宋" w:cs="仿宋"/>
          <w:spacing w:val="-9"/>
          <w:sz w:val="32"/>
          <w:szCs w:val="32"/>
          <w:lang w:val="en-US" w:eastAsia="zh-CN"/>
        </w:rPr>
        <w:t>中央财政投资900.00万元、省级财政投资250.00万元、市级财政配套50.00万元、区级财政配套50.00万元。 2019年8月5日鞍山市财政局《关于下达2019年中央财政农田建设补助资金指标通知》 （鞍财指农[2019]609号）文件将中央财政资金900.00万元下拨给千山区财政局；2019年10月10日 鞍山市财政局《关于下达2019年省财政农田建设等补助资金指标通知》 （鞍财指农[2019]786号）文件将省级财政资金250.00万元下拨给千山区财政局；2020年3月5日鞍山市财政局《关于下达本级农田建设补助资金指标通知》（鞍财指农[2020]150号）文件将市级财政资金50.00万元下拨给千山区财政局、2020年12月10日千山区财政局《关于追加农业专项资金指标通知》（鞍千财指农[2020]第843号）将市级财政资金50.00万元及区财政50.00万元共计100.00万元下拨给千山区农业农村局。截止到2020年12月10日，该项目应到位资金1,250.00万元,实际到位1,250.00万元，到位率为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636" w:firstLineChars="200"/>
        <w:textAlignment w:val="baseline"/>
        <w:rPr>
          <w:rFonts w:hint="eastAsia" w:ascii="仿宋" w:hAnsi="仿宋" w:eastAsia="仿宋" w:cs="仿宋"/>
          <w:spacing w:val="-1"/>
          <w:sz w:val="32"/>
          <w:szCs w:val="32"/>
          <w:lang w:eastAsia="zh-CN"/>
        </w:rPr>
      </w:pPr>
      <w:r>
        <w:rPr>
          <w:rFonts w:hint="eastAsia" w:ascii="仿宋" w:hAnsi="仿宋" w:eastAsia="仿宋" w:cs="仿宋"/>
          <w:spacing w:val="-1"/>
          <w:sz w:val="32"/>
          <w:szCs w:val="32"/>
          <w:lang w:eastAsia="zh-CN"/>
        </w:rPr>
        <w:t>（</w:t>
      </w:r>
      <w:r>
        <w:rPr>
          <w:rFonts w:hint="eastAsia" w:ascii="仿宋" w:hAnsi="仿宋" w:eastAsia="仿宋" w:cs="仿宋"/>
          <w:spacing w:val="-1"/>
          <w:sz w:val="32"/>
          <w:szCs w:val="32"/>
          <w:lang w:val="en-US" w:eastAsia="zh-CN"/>
        </w:rPr>
        <w:t>2）</w:t>
      </w:r>
      <w:r>
        <w:rPr>
          <w:rFonts w:ascii="仿宋" w:hAnsi="仿宋" w:eastAsia="仿宋" w:cs="仿宋"/>
          <w:spacing w:val="-1"/>
          <w:sz w:val="32"/>
          <w:szCs w:val="32"/>
        </w:rPr>
        <w:t>项</w:t>
      </w:r>
      <w:r>
        <w:rPr>
          <w:rFonts w:hint="eastAsia" w:ascii="仿宋" w:hAnsi="仿宋" w:eastAsia="仿宋" w:cs="仿宋"/>
          <w:spacing w:val="-1"/>
          <w:sz w:val="32"/>
          <w:szCs w:val="32"/>
          <w:lang w:eastAsia="zh-CN"/>
        </w:rPr>
        <w:t>目资金使用情况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jc w:val="both"/>
        <w:textAlignment w:val="baseline"/>
        <w:rPr>
          <w:rFonts w:hint="eastAsia" w:ascii="仿宋" w:hAnsi="仿宋" w:eastAsia="仿宋" w:cs="仿宋"/>
          <w:spacing w:val="-15"/>
          <w:w w:val="97"/>
          <w:sz w:val="32"/>
          <w:szCs w:val="32"/>
          <w:lang w:val="en-US" w:eastAsia="zh-CN"/>
        </w:rPr>
      </w:pPr>
      <w:r>
        <w:rPr>
          <w:rFonts w:hint="eastAsia" w:ascii="仿宋" w:hAnsi="仿宋" w:eastAsia="仿宋" w:cs="仿宋"/>
          <w:spacing w:val="-1"/>
          <w:sz w:val="32"/>
          <w:szCs w:val="32"/>
          <w:lang w:val="en-US" w:eastAsia="zh-CN"/>
        </w:rPr>
        <w:t xml:space="preserve">    截止2020年5月21日，财政报账共使用项目资金12,366,659.65元。我们对千山区农业农村局提供的财政支出报账单、财政授权支付凭证、农业农村局记账凭证、工程发票进行核实，</w:t>
      </w:r>
      <w:r>
        <w:rPr>
          <w:rFonts w:hint="eastAsia" w:ascii="仿宋" w:hAnsi="仿宋" w:eastAsia="仿宋" w:cs="仿宋"/>
          <w:spacing w:val="-15"/>
          <w:w w:val="97"/>
          <w:sz w:val="32"/>
          <w:szCs w:val="32"/>
          <w:lang w:eastAsia="zh-CN"/>
        </w:rPr>
        <w:t>鞍山市禾道建筑工程有限公司</w:t>
      </w:r>
      <w:r>
        <w:rPr>
          <w:rFonts w:hint="eastAsia" w:ascii="仿宋" w:hAnsi="仿宋" w:eastAsia="仿宋" w:cs="仿宋"/>
          <w:spacing w:val="-15"/>
          <w:w w:val="97"/>
          <w:sz w:val="32"/>
          <w:szCs w:val="32"/>
          <w:lang w:val="en-US" w:eastAsia="zh-CN"/>
        </w:rPr>
        <w:t>双台子村工程使用项目资金5,879,587.89元；</w:t>
      </w:r>
      <w:r>
        <w:rPr>
          <w:rFonts w:hint="eastAsia" w:ascii="仿宋" w:hAnsi="仿宋" w:eastAsia="仿宋" w:cs="仿宋"/>
          <w:spacing w:val="-3"/>
          <w:sz w:val="32"/>
          <w:szCs w:val="32"/>
          <w:lang w:eastAsia="zh-CN"/>
        </w:rPr>
        <w:t>辽宁日升市政工程有限公</w:t>
      </w:r>
      <w:r>
        <w:rPr>
          <w:rFonts w:hint="eastAsia" w:ascii="仿宋" w:hAnsi="仿宋" w:eastAsia="仿宋" w:cs="仿宋"/>
          <w:spacing w:val="-15"/>
          <w:w w:val="97"/>
          <w:sz w:val="32"/>
          <w:szCs w:val="32"/>
          <w:lang w:eastAsia="zh-CN"/>
        </w:rPr>
        <w:t>司</w:t>
      </w:r>
      <w:r>
        <w:rPr>
          <w:rFonts w:hint="eastAsia" w:ascii="仿宋" w:hAnsi="仿宋" w:eastAsia="仿宋" w:cs="仿宋"/>
          <w:spacing w:val="-15"/>
          <w:w w:val="97"/>
          <w:sz w:val="32"/>
          <w:szCs w:val="32"/>
          <w:lang w:val="en-US" w:eastAsia="zh-CN"/>
        </w:rPr>
        <w:t>双庙子村工程使用项目资金5,616,079.06元；辽宁中弘工程咨询有限公司工程招标代理费83,872.70元；沈阳市文林水土工程设计有限公司项目规划费、项目设计费195,600.00元、</w:t>
      </w:r>
      <w:r>
        <w:rPr>
          <w:rFonts w:hint="eastAsia" w:ascii="仿宋" w:hAnsi="仿宋" w:eastAsia="仿宋" w:cs="仿宋"/>
          <w:color w:val="000000" w:themeColor="text1"/>
          <w:spacing w:val="-15"/>
          <w:w w:val="97"/>
          <w:sz w:val="32"/>
          <w:szCs w:val="32"/>
          <w:lang w:val="en-US" w:eastAsia="zh-CN"/>
          <w14:textFill>
            <w14:solidFill>
              <w14:schemeClr w14:val="tx1"/>
            </w14:solidFill>
          </w14:textFill>
        </w:rPr>
        <w:t>373,500.00元；</w:t>
      </w:r>
      <w:r>
        <w:rPr>
          <w:rFonts w:hint="eastAsia" w:ascii="仿宋" w:hAnsi="仿宋" w:eastAsia="仿宋" w:cs="仿宋"/>
          <w:spacing w:val="-15"/>
          <w:w w:val="97"/>
          <w:sz w:val="32"/>
          <w:szCs w:val="32"/>
          <w:lang w:val="en-US" w:eastAsia="zh-CN"/>
        </w:rPr>
        <w:t>北京荣广盛工程管理有限公司鞍山分公司控价费34,120.00元；鞍山市禾道建筑工程公司宣传告示牌30,000.00元；辽宁寰禹泓业工程造价咨询有限公司项目验收费75,000.00元；中深泰项目管理有限公司项目审计费78,900.00元。项目资金使用占总投资额的98.90%。目前该项目工程保证金344,869.04元未支付，项目资金实际支出12,021,790.61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560" w:firstLineChars="200"/>
        <w:textAlignment w:val="baseline"/>
        <w:rPr>
          <w:rFonts w:hint="eastAsia" w:ascii="仿宋" w:hAnsi="仿宋" w:eastAsia="仿宋" w:cs="仿宋"/>
          <w:spacing w:val="-15"/>
          <w:w w:val="97"/>
          <w:sz w:val="32"/>
          <w:szCs w:val="32"/>
          <w:lang w:val="en-US" w:eastAsia="zh-CN"/>
        </w:rPr>
      </w:pPr>
      <w:r>
        <w:rPr>
          <w:rFonts w:hint="eastAsia" w:ascii="仿宋" w:hAnsi="仿宋" w:eastAsia="仿宋" w:cs="仿宋"/>
          <w:spacing w:val="-15"/>
          <w:w w:val="97"/>
          <w:sz w:val="32"/>
          <w:szCs w:val="32"/>
          <w:lang w:val="en-US" w:eastAsia="zh-CN"/>
        </w:rPr>
        <w:t>从资金投向结构情况看，水利灌溉工程、田间道路、农田防护与生态环境工程占该项目总投资的91.9%，符合项目要求。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pacing w:val="-15"/>
          <w:w w:val="97"/>
          <w:sz w:val="32"/>
          <w:szCs w:val="32"/>
          <w:lang w:val="en-US" w:eastAsia="zh-CN"/>
        </w:rPr>
      </w:pPr>
      <w:r>
        <w:rPr>
          <w:rFonts w:hint="eastAsia" w:ascii="仿宋" w:hAnsi="仿宋" w:eastAsia="仿宋" w:cs="仿宋"/>
          <w:spacing w:val="-15"/>
          <w:w w:val="97"/>
          <w:sz w:val="32"/>
          <w:szCs w:val="32"/>
          <w:lang w:val="en-US" w:eastAsia="zh-CN"/>
        </w:rPr>
        <w:t xml:space="preserve">    （3）项目资金管理情况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560" w:firstLineChars="200"/>
        <w:textAlignment w:val="baseline"/>
        <w:rPr>
          <w:rFonts w:hint="eastAsia" w:ascii="仿宋" w:hAnsi="仿宋" w:eastAsia="仿宋" w:cs="仿宋"/>
          <w:spacing w:val="-15"/>
          <w:w w:val="97"/>
          <w:sz w:val="32"/>
          <w:szCs w:val="32"/>
          <w:lang w:val="en-US" w:eastAsia="zh-CN"/>
        </w:rPr>
      </w:pPr>
      <w:r>
        <w:rPr>
          <w:rFonts w:hint="eastAsia" w:ascii="仿宋" w:hAnsi="仿宋" w:eastAsia="仿宋" w:cs="仿宋"/>
          <w:spacing w:val="-15"/>
          <w:w w:val="97"/>
          <w:sz w:val="32"/>
          <w:szCs w:val="32"/>
          <w:lang w:val="en-US" w:eastAsia="zh-CN"/>
        </w:rPr>
        <w:t>按照农业综合开发项目资金管理的有关规定，按照鞍山市农业农村局2019年第107、108号文件的要求，该项目资金建立了项目资金专账，并分项目设立了明细账，执行了财政报账制，推行了工程竣工造价审计制度，基本做到了项目资金专款专用、专账核算，专人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552" w:firstLineChars="200"/>
        <w:textAlignment w:val="baseline"/>
        <w:rPr>
          <w:rFonts w:ascii="仿宋" w:hAnsi="仿宋" w:eastAsia="仿宋" w:cs="仿宋"/>
          <w:spacing w:val="-22"/>
          <w:sz w:val="32"/>
          <w:szCs w:val="32"/>
        </w:rPr>
      </w:pPr>
      <w:r>
        <w:rPr>
          <w:rFonts w:hint="eastAsia" w:ascii="仿宋" w:hAnsi="仿宋" w:eastAsia="仿宋" w:cs="仿宋"/>
          <w:spacing w:val="-22"/>
          <w:sz w:val="32"/>
          <w:szCs w:val="32"/>
          <w:lang w:eastAsia="zh-CN"/>
        </w:rPr>
        <w:t>（二）</w:t>
      </w:r>
      <w:r>
        <w:rPr>
          <w:rFonts w:ascii="仿宋" w:hAnsi="仿宋" w:eastAsia="仿宋" w:cs="仿宋"/>
          <w:spacing w:val="-22"/>
          <w:sz w:val="32"/>
          <w:szCs w:val="32"/>
        </w:rPr>
        <w:t>项目绩效目标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firstLine="560" w:firstLineChars="200"/>
        <w:textAlignment w:val="baseline"/>
        <w:rPr>
          <w:rFonts w:hint="default" w:ascii="仿宋" w:hAnsi="仿宋" w:eastAsia="仿宋" w:cs="仿宋"/>
          <w:spacing w:val="-15"/>
          <w:w w:val="97"/>
          <w:sz w:val="32"/>
          <w:szCs w:val="32"/>
          <w:lang w:val="en-US" w:eastAsia="zh-CN"/>
        </w:rPr>
      </w:pPr>
      <w:r>
        <w:rPr>
          <w:rFonts w:hint="eastAsia" w:ascii="仿宋" w:hAnsi="仿宋" w:eastAsia="仿宋" w:cs="仿宋"/>
          <w:spacing w:val="-15"/>
          <w:w w:val="97"/>
          <w:sz w:val="32"/>
          <w:szCs w:val="32"/>
          <w:lang w:val="en-US" w:eastAsia="zh-CN"/>
        </w:rPr>
        <w:t>该项目完成后预期效益；新增和改善灌溉达标面积0.01万亩，新增和改善排水面积0.85万亩，灌溉水利用率提高10%；道路通达率100% ；1万亩新增粮食产量118.80万公斤；新增其他农产品产量6万公斤；项目覆盖区直接受益农户938户，直接受益人口2721人，人均增收0.1062万元人民币。</w:t>
      </w:r>
    </w:p>
    <w:p>
      <w:pPr>
        <w:keepNext w:val="0"/>
        <w:keepLines w:val="0"/>
        <w:pageBreakBefore w:val="0"/>
        <w:widowControl/>
        <w:kinsoku w:val="0"/>
        <w:wordWrap/>
        <w:overflowPunct/>
        <w:topLinePunct w:val="0"/>
        <w:autoSpaceDE w:val="0"/>
        <w:autoSpaceDN w:val="0"/>
        <w:bidi w:val="0"/>
        <w:adjustRightInd w:val="0"/>
        <w:snapToGrid w:val="0"/>
        <w:spacing w:before="232" w:line="360" w:lineRule="auto"/>
        <w:ind w:firstLine="635" w:firstLineChars="200"/>
        <w:textAlignment w:val="baseline"/>
        <w:rPr>
          <w:rFonts w:hint="eastAsia" w:ascii="仿宋" w:hAnsi="仿宋" w:eastAsia="仿宋" w:cs="仿宋"/>
          <w:b/>
          <w:bCs/>
          <w:sz w:val="32"/>
          <w:szCs w:val="32"/>
          <w:lang w:eastAsia="zh-CN"/>
        </w:rPr>
      </w:pPr>
      <w:r>
        <w:rPr>
          <w:rFonts w:hint="eastAsia" w:ascii="仿宋" w:hAnsi="仿宋" w:eastAsia="仿宋" w:cs="仿宋"/>
          <w:b/>
          <w:bCs/>
          <w:spacing w:val="-2"/>
          <w:sz w:val="32"/>
          <w:szCs w:val="32"/>
        </w:rPr>
        <w:t>二、</w:t>
      </w:r>
      <w:r>
        <w:rPr>
          <w:rFonts w:hint="eastAsia" w:ascii="仿宋" w:hAnsi="仿宋" w:eastAsia="仿宋" w:cs="仿宋"/>
          <w:b/>
          <w:bCs/>
          <w:spacing w:val="-2"/>
          <w:sz w:val="32"/>
          <w:szCs w:val="32"/>
          <w:lang w:eastAsia="zh-CN"/>
        </w:rPr>
        <w:t>绩效评价工作开展的情况</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z w:val="32"/>
          <w:szCs w:val="32"/>
          <w:lang w:eastAsia="zh-CN"/>
        </w:rPr>
      </w:pPr>
      <w:r>
        <w:rPr>
          <w:rFonts w:ascii="仿宋" w:hAnsi="仿宋" w:eastAsia="仿宋" w:cs="仿宋"/>
          <w:spacing w:val="-3"/>
          <w:sz w:val="32"/>
          <w:szCs w:val="32"/>
        </w:rPr>
        <w:t>（一）</w:t>
      </w:r>
      <w:r>
        <w:rPr>
          <w:rFonts w:hint="eastAsia" w:ascii="仿宋" w:hAnsi="仿宋" w:eastAsia="仿宋" w:cs="仿宋"/>
          <w:spacing w:val="-3"/>
          <w:sz w:val="32"/>
          <w:szCs w:val="32"/>
          <w:lang w:eastAsia="zh-CN"/>
        </w:rPr>
        <w:t>绩效评价目的、对象和范围</w:t>
      </w:r>
    </w:p>
    <w:p>
      <w:pPr>
        <w:keepNext w:val="0"/>
        <w:keepLines w:val="0"/>
        <w:pageBreakBefore w:val="0"/>
        <w:widowControl/>
        <w:kinsoku w:val="0"/>
        <w:wordWrap/>
        <w:overflowPunct/>
        <w:topLinePunct w:val="0"/>
        <w:autoSpaceDE w:val="0"/>
        <w:autoSpaceDN w:val="0"/>
        <w:bidi w:val="0"/>
        <w:adjustRightInd w:val="0"/>
        <w:snapToGrid w:val="0"/>
        <w:spacing w:before="226" w:line="360" w:lineRule="auto"/>
        <w:ind w:right="47" w:firstLine="632" w:firstLineChars="200"/>
        <w:textAlignment w:val="baseline"/>
        <w:rPr>
          <w:rFonts w:hint="eastAsia" w:ascii="仿宋" w:hAnsi="仿宋" w:eastAsia="仿宋" w:cs="仿宋"/>
          <w:spacing w:val="-3"/>
          <w:sz w:val="32"/>
          <w:szCs w:val="32"/>
          <w:lang w:eastAsia="zh-CN"/>
        </w:rPr>
      </w:pPr>
      <w:r>
        <w:rPr>
          <w:rFonts w:ascii="仿宋" w:hAnsi="仿宋" w:eastAsia="仿宋" w:cs="仿宋"/>
          <w:spacing w:val="-2"/>
          <w:sz w:val="32"/>
          <w:szCs w:val="32"/>
        </w:rPr>
        <w:t>1、</w:t>
      </w:r>
      <w:r>
        <w:rPr>
          <w:rFonts w:hint="eastAsia" w:ascii="仿宋" w:hAnsi="仿宋" w:eastAsia="仿宋" w:cs="仿宋"/>
          <w:spacing w:val="-3"/>
          <w:sz w:val="32"/>
          <w:szCs w:val="32"/>
          <w:lang w:eastAsia="zh-CN"/>
        </w:rPr>
        <w:t>绩效评价目的</w:t>
      </w:r>
    </w:p>
    <w:p>
      <w:pPr>
        <w:keepNext w:val="0"/>
        <w:keepLines w:val="0"/>
        <w:pageBreakBefore w:val="0"/>
        <w:widowControl/>
        <w:kinsoku w:val="0"/>
        <w:wordWrap/>
        <w:overflowPunct/>
        <w:topLinePunct w:val="0"/>
        <w:autoSpaceDE w:val="0"/>
        <w:autoSpaceDN w:val="0"/>
        <w:bidi w:val="0"/>
        <w:adjustRightInd w:val="0"/>
        <w:snapToGrid w:val="0"/>
        <w:spacing w:before="226" w:line="360" w:lineRule="auto"/>
        <w:ind w:right="47" w:firstLine="628" w:firstLineChars="200"/>
        <w:textAlignment w:val="baseline"/>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客观公正地评价</w:t>
      </w:r>
      <w:r>
        <w:rPr>
          <w:rFonts w:hint="eastAsia" w:ascii="仿宋" w:hAnsi="仿宋" w:eastAsia="仿宋" w:cs="仿宋"/>
          <w:spacing w:val="-9"/>
          <w:sz w:val="32"/>
          <w:szCs w:val="32"/>
          <w:lang w:eastAsia="zh-CN"/>
        </w:rPr>
        <w:t>甘泉镇</w:t>
      </w:r>
      <w:r>
        <w:rPr>
          <w:rFonts w:hint="eastAsia" w:ascii="仿宋" w:hAnsi="仿宋" w:eastAsia="仿宋" w:cs="仿宋"/>
          <w:spacing w:val="-9"/>
          <w:sz w:val="32"/>
          <w:szCs w:val="32"/>
          <w:lang w:val="en-US" w:eastAsia="zh-CN"/>
        </w:rPr>
        <w:t>2019年高标准农田建设</w:t>
      </w:r>
      <w:r>
        <w:rPr>
          <w:rFonts w:ascii="仿宋" w:hAnsi="仿宋" w:eastAsia="仿宋" w:cs="仿宋"/>
          <w:spacing w:val="-9"/>
          <w:sz w:val="32"/>
          <w:szCs w:val="32"/>
        </w:rPr>
        <w:t>项目</w:t>
      </w:r>
      <w:r>
        <w:rPr>
          <w:rFonts w:hint="eastAsia" w:ascii="仿宋" w:hAnsi="仿宋" w:eastAsia="仿宋" w:cs="仿宋"/>
          <w:spacing w:val="-9"/>
          <w:sz w:val="32"/>
          <w:szCs w:val="32"/>
          <w:lang w:val="en-US" w:eastAsia="zh-CN"/>
        </w:rPr>
        <w:t>目标实现程度、资金使用效率和社会经济效益</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lang w:val="en-US" w:eastAsia="zh-CN"/>
        </w:rPr>
        <w:t>及时总结经验，找出存在的问题，分析问题产生的原因，以便采取切实措施，进一步改进和加强高标准农田建设</w:t>
      </w:r>
      <w:r>
        <w:rPr>
          <w:rFonts w:ascii="仿宋" w:hAnsi="仿宋" w:eastAsia="仿宋" w:cs="仿宋"/>
          <w:spacing w:val="-9"/>
          <w:sz w:val="32"/>
          <w:szCs w:val="32"/>
        </w:rPr>
        <w:t>项目</w:t>
      </w:r>
      <w:r>
        <w:rPr>
          <w:rFonts w:hint="eastAsia" w:ascii="仿宋" w:hAnsi="仿宋" w:eastAsia="仿宋" w:cs="仿宋"/>
          <w:spacing w:val="-9"/>
          <w:sz w:val="32"/>
          <w:szCs w:val="32"/>
          <w:lang w:val="en-US" w:eastAsia="zh-CN"/>
        </w:rPr>
        <w:t>和资金管理，不断提高项目管理水平和资金使用效益。</w:t>
      </w:r>
    </w:p>
    <w:p>
      <w:pPr>
        <w:keepNext w:val="0"/>
        <w:keepLines w:val="0"/>
        <w:pageBreakBefore w:val="0"/>
        <w:widowControl/>
        <w:numPr>
          <w:ilvl w:val="0"/>
          <w:numId w:val="0"/>
        </w:numPr>
        <w:tabs>
          <w:tab w:val="left" w:pos="1125"/>
        </w:tabs>
        <w:kinsoku w:val="0"/>
        <w:wordWrap/>
        <w:overflowPunct/>
        <w:topLinePunct w:val="0"/>
        <w:autoSpaceDE w:val="0"/>
        <w:autoSpaceDN w:val="0"/>
        <w:bidi w:val="0"/>
        <w:adjustRightInd w:val="0"/>
        <w:snapToGrid w:val="0"/>
        <w:spacing w:line="360" w:lineRule="auto"/>
        <w:ind w:firstLine="628" w:firstLineChars="20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val="en-US" w:eastAsia="zh-CN"/>
        </w:rPr>
        <w:t>2、</w:t>
      </w:r>
      <w:r>
        <w:rPr>
          <w:rFonts w:hint="eastAsia" w:ascii="仿宋" w:hAnsi="仿宋" w:eastAsia="仿宋" w:cs="仿宋"/>
          <w:spacing w:val="-3"/>
          <w:sz w:val="32"/>
          <w:szCs w:val="32"/>
          <w:lang w:eastAsia="zh-CN"/>
        </w:rPr>
        <w:t>绩效评价对象</w:t>
      </w:r>
    </w:p>
    <w:p>
      <w:pPr>
        <w:keepNext w:val="0"/>
        <w:keepLines w:val="0"/>
        <w:pageBreakBefore w:val="0"/>
        <w:widowControl/>
        <w:numPr>
          <w:ilvl w:val="0"/>
          <w:numId w:val="0"/>
        </w:numPr>
        <w:tabs>
          <w:tab w:val="left" w:pos="1125"/>
        </w:tabs>
        <w:kinsoku w:val="0"/>
        <w:wordWrap/>
        <w:overflowPunct/>
        <w:topLinePunct w:val="0"/>
        <w:autoSpaceDE w:val="0"/>
        <w:autoSpaceDN w:val="0"/>
        <w:bidi w:val="0"/>
        <w:adjustRightInd w:val="0"/>
        <w:snapToGrid w:val="0"/>
        <w:spacing w:line="360" w:lineRule="auto"/>
        <w:ind w:firstLine="604" w:firstLineChars="200"/>
        <w:jc w:val="both"/>
        <w:textAlignment w:val="baseline"/>
        <w:rPr>
          <w:rFonts w:hint="default" w:ascii="仿宋" w:hAnsi="仿宋" w:eastAsia="仿宋" w:cs="仿宋"/>
          <w:spacing w:val="-9"/>
          <w:sz w:val="32"/>
          <w:szCs w:val="32"/>
          <w:lang w:val="en-US" w:eastAsia="zh-CN"/>
        </w:rPr>
      </w:pPr>
      <w:r>
        <w:rPr>
          <w:rFonts w:hint="eastAsia" w:ascii="仿宋" w:hAnsi="仿宋" w:eastAsia="仿宋" w:cs="仿宋"/>
          <w:spacing w:val="-9"/>
          <w:sz w:val="32"/>
          <w:szCs w:val="32"/>
          <w:lang w:val="en-US" w:eastAsia="zh-CN"/>
        </w:rPr>
        <w:t>经千山区财政局研究确定，对甘泉镇2019年高标准农田建设项目总体情况开展绩效评价，以该项目的实施情况为主进行系统评价，包括建设过程和结果。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30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val="en-US" w:eastAsia="zh-CN"/>
        </w:rPr>
        <w:t>3、</w:t>
      </w:r>
      <w:r>
        <w:rPr>
          <w:rFonts w:hint="eastAsia" w:ascii="仿宋" w:hAnsi="仿宋" w:eastAsia="仿宋" w:cs="仿宋"/>
          <w:spacing w:val="-3"/>
          <w:sz w:val="32"/>
          <w:szCs w:val="32"/>
          <w:lang w:eastAsia="zh-CN"/>
        </w:rPr>
        <w:t>绩效评价范围</w:t>
      </w:r>
    </w:p>
    <w:p>
      <w:pPr>
        <w:keepNext w:val="0"/>
        <w:keepLines w:val="0"/>
        <w:pageBreakBefore w:val="0"/>
        <w:widowControl/>
        <w:numPr>
          <w:ilvl w:val="0"/>
          <w:numId w:val="0"/>
        </w:numPr>
        <w:tabs>
          <w:tab w:val="left" w:pos="1125"/>
        </w:tabs>
        <w:kinsoku w:val="0"/>
        <w:wordWrap/>
        <w:overflowPunct/>
        <w:topLinePunct w:val="0"/>
        <w:autoSpaceDE w:val="0"/>
        <w:autoSpaceDN w:val="0"/>
        <w:bidi w:val="0"/>
        <w:adjustRightInd w:val="0"/>
        <w:snapToGrid w:val="0"/>
        <w:spacing w:line="360" w:lineRule="auto"/>
        <w:ind w:firstLine="604" w:firstLineChars="200"/>
        <w:jc w:val="both"/>
        <w:textAlignment w:val="baseline"/>
        <w:rPr>
          <w:rFonts w:hint="default" w:ascii="仿宋" w:hAnsi="仿宋" w:eastAsia="仿宋" w:cs="仿宋"/>
          <w:spacing w:val="-9"/>
          <w:sz w:val="32"/>
          <w:szCs w:val="32"/>
          <w:lang w:val="en-US" w:eastAsia="zh-CN"/>
        </w:rPr>
      </w:pPr>
      <w:r>
        <w:rPr>
          <w:rFonts w:hint="eastAsia" w:ascii="仿宋" w:hAnsi="仿宋" w:eastAsia="仿宋" w:cs="仿宋"/>
          <w:spacing w:val="-9"/>
          <w:sz w:val="32"/>
          <w:szCs w:val="32"/>
          <w:lang w:val="en-US" w:eastAsia="zh-CN"/>
        </w:rPr>
        <w:t>该项目从申请、立项、批复、实施、完成所开展的建设活动，以及项目建成后收益成效都在绩效评价范围之内。</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61"/>
        <w:textAlignment w:val="baseline"/>
        <w:rPr>
          <w:rFonts w:hint="eastAsia" w:ascii="仿宋" w:hAnsi="仿宋" w:eastAsia="仿宋" w:cs="仿宋"/>
          <w:spacing w:val="-3"/>
          <w:sz w:val="32"/>
          <w:szCs w:val="32"/>
          <w:lang w:eastAsia="zh-CN"/>
        </w:rPr>
      </w:pPr>
      <w:r>
        <w:rPr>
          <w:rFonts w:ascii="仿宋" w:hAnsi="仿宋" w:eastAsia="仿宋" w:cs="仿宋"/>
          <w:spacing w:val="-3"/>
          <w:sz w:val="32"/>
          <w:szCs w:val="32"/>
        </w:rPr>
        <w:t>（二）</w:t>
      </w:r>
      <w:r>
        <w:rPr>
          <w:rFonts w:hint="eastAsia" w:ascii="仿宋" w:hAnsi="仿宋" w:eastAsia="仿宋" w:cs="仿宋"/>
          <w:spacing w:val="-3"/>
          <w:sz w:val="32"/>
          <w:szCs w:val="32"/>
          <w:lang w:eastAsia="zh-CN"/>
        </w:rPr>
        <w:t>绩效评价原则、评价指标体系、评价方法</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pacing w:val="-3"/>
          <w:sz w:val="32"/>
          <w:szCs w:val="32"/>
          <w:lang w:eastAsia="zh-CN"/>
        </w:rPr>
      </w:pPr>
      <w:r>
        <w:rPr>
          <w:rFonts w:ascii="仿宋" w:hAnsi="仿宋" w:eastAsia="仿宋" w:cs="仿宋"/>
          <w:spacing w:val="-3"/>
          <w:sz w:val="32"/>
          <w:szCs w:val="32"/>
        </w:rPr>
        <w:t>1、</w:t>
      </w:r>
      <w:r>
        <w:rPr>
          <w:rFonts w:hint="eastAsia" w:ascii="仿宋" w:hAnsi="仿宋" w:eastAsia="仿宋" w:cs="仿宋"/>
          <w:spacing w:val="-3"/>
          <w:sz w:val="32"/>
          <w:szCs w:val="32"/>
          <w:lang w:eastAsia="zh-CN"/>
        </w:rPr>
        <w:t>绩效评价原则</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28" w:firstLineChars="200"/>
        <w:textAlignment w:val="baseline"/>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该项目评价原则的主要依据包括：国家相关法律法规和规章制度；国家农业综合开发项目资金绩效评价办法；辽宁省农业农村厅2019年农田建设项目计划；鞍山市农业农村局对此项目的批复文件，经审定的初步设计方案或实施方案；财政资金拨款文件、农业开发资金决算等财务会计资料；其他相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val="en-US" w:eastAsia="zh-CN"/>
        </w:rPr>
        <w:t>2、</w:t>
      </w:r>
      <w:r>
        <w:rPr>
          <w:rFonts w:hint="eastAsia" w:ascii="仿宋" w:hAnsi="仿宋" w:eastAsia="仿宋" w:cs="仿宋"/>
          <w:spacing w:val="-3"/>
          <w:sz w:val="32"/>
          <w:szCs w:val="32"/>
          <w:lang w:eastAsia="zh-CN"/>
        </w:rPr>
        <w:t>绩效评价指标体系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8" w:line="360" w:lineRule="auto"/>
        <w:textAlignment w:val="baseline"/>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 xml:space="preserve">    该项目选用财政部项目支出绩效评价管理办法评价指标体系，结合国家农业综合开发项目资金绩效评价办法中的评价指标完善绩效评价三级指标体系。一级指标：决策、过程、产出、效益。二级指标：项目立项、绩效目标、资金投入；资金管理、组织实施；产出数量、产出质量、产出时效；项目效益。三级指标：立项依据充分性、立项程序规范；绩效目标合理性、绩效指标明确性；预算编制科学性、资金分配合理性；资金到位率、预算执行率、资金使用合规性、管理制度健全性、制度执行有效性；实际完成率、质量达标率、完成及时性；实施效益、满意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3、绩效评价方法</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本次绩效评价实行自评和他评相结合的方式，主要采取目标比较法和调查法。目标比较法是通过对高标准农田建设后的产出及效果与项目实施计划目标进行比较，分析目标的完成度。调查法是通过抽样调查、现场调查和问卷调查，对调查结果进行统计、分析和评定。</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28" w:firstLineChars="200"/>
        <w:textAlignment w:val="baseline"/>
        <w:rPr>
          <w:rFonts w:hint="eastAsia" w:ascii="仿宋" w:hAnsi="仿宋" w:eastAsia="仿宋" w:cs="仿宋"/>
          <w:sz w:val="32"/>
          <w:szCs w:val="32"/>
          <w:lang w:eastAsia="zh-CN"/>
        </w:rPr>
      </w:pPr>
      <w:r>
        <w:rPr>
          <w:rFonts w:hint="eastAsia" w:ascii="仿宋" w:hAnsi="仿宋" w:eastAsia="仿宋" w:cs="仿宋"/>
          <w:spacing w:val="-3"/>
          <w:sz w:val="32"/>
          <w:szCs w:val="32"/>
          <w:lang w:val="en-US" w:eastAsia="zh-CN"/>
        </w:rPr>
        <w:t>（三）绩效评价工作过程</w:t>
      </w:r>
    </w:p>
    <w:p>
      <w:pPr>
        <w:keepNext w:val="0"/>
        <w:keepLines w:val="0"/>
        <w:pageBreakBefore w:val="0"/>
        <w:widowControl/>
        <w:kinsoku w:val="0"/>
        <w:wordWrap/>
        <w:overflowPunct/>
        <w:topLinePunct w:val="0"/>
        <w:autoSpaceDE w:val="0"/>
        <w:autoSpaceDN w:val="0"/>
        <w:bidi w:val="0"/>
        <w:adjustRightInd w:val="0"/>
        <w:snapToGrid w:val="0"/>
        <w:spacing w:before="238" w:line="360" w:lineRule="auto"/>
        <w:ind w:firstLine="640" w:firstLineChars="200"/>
        <w:textAlignment w:val="baseline"/>
        <w:rPr>
          <w:rFonts w:hint="eastAsia" w:ascii="仿宋" w:hAnsi="仿宋" w:eastAsia="仿宋" w:cs="仿宋"/>
          <w:sz w:val="32"/>
          <w:szCs w:val="32"/>
          <w:lang w:val="en-US" w:eastAsia="zh-CN"/>
        </w:rPr>
      </w:pPr>
      <w:r>
        <w:rPr>
          <w:rFonts w:ascii="仿宋" w:hAnsi="仿宋" w:eastAsia="仿宋" w:cs="仿宋"/>
          <w:sz w:val="32"/>
          <w:szCs w:val="32"/>
        </w:rPr>
        <w:t>1、</w:t>
      </w:r>
      <w:r>
        <w:rPr>
          <w:rFonts w:hint="eastAsia" w:ascii="仿宋" w:hAnsi="仿宋" w:eastAsia="仿宋" w:cs="仿宋"/>
          <w:sz w:val="32"/>
          <w:szCs w:val="32"/>
          <w:lang w:val="en-US" w:eastAsia="zh-CN"/>
        </w:rPr>
        <w:t>前期准备</w:t>
      </w:r>
    </w:p>
    <w:p>
      <w:pPr>
        <w:keepNext w:val="0"/>
        <w:keepLines w:val="0"/>
        <w:pageBreakBefore w:val="0"/>
        <w:widowControl/>
        <w:kinsoku w:val="0"/>
        <w:wordWrap/>
        <w:overflowPunct/>
        <w:topLinePunct w:val="0"/>
        <w:autoSpaceDE w:val="0"/>
        <w:autoSpaceDN w:val="0"/>
        <w:bidi w:val="0"/>
        <w:adjustRightInd w:val="0"/>
        <w:snapToGrid w:val="0"/>
        <w:spacing w:before="238" w:line="360" w:lineRule="auto"/>
        <w:ind w:firstLine="640" w:firstLineChars="200"/>
        <w:textAlignment w:val="baseline"/>
        <w:rPr>
          <w:rFonts w:ascii="仿宋" w:hAnsi="仿宋" w:eastAsia="仿宋" w:cs="仿宋"/>
          <w:sz w:val="32"/>
          <w:szCs w:val="32"/>
        </w:rPr>
      </w:pPr>
      <w:r>
        <w:rPr>
          <w:rFonts w:hint="eastAsia" w:ascii="仿宋" w:hAnsi="仿宋" w:eastAsia="仿宋" w:cs="仿宋"/>
          <w:sz w:val="32"/>
          <w:szCs w:val="32"/>
          <w:lang w:val="en-US" w:eastAsia="zh-CN"/>
        </w:rPr>
        <w:t>接受千山区财政局对该</w:t>
      </w:r>
      <w:r>
        <w:rPr>
          <w:rFonts w:ascii="仿宋" w:hAnsi="仿宋" w:eastAsia="仿宋" w:cs="仿宋"/>
          <w:sz w:val="32"/>
          <w:szCs w:val="32"/>
        </w:rPr>
        <w:t>项目事</w:t>
      </w:r>
      <w:r>
        <w:rPr>
          <w:rFonts w:hint="eastAsia" w:ascii="仿宋" w:hAnsi="仿宋" w:eastAsia="仿宋" w:cs="仿宋"/>
          <w:sz w:val="32"/>
          <w:szCs w:val="32"/>
          <w:lang w:val="en-US" w:eastAsia="zh-CN"/>
        </w:rPr>
        <w:t>后</w:t>
      </w:r>
      <w:r>
        <w:rPr>
          <w:rFonts w:ascii="仿宋" w:hAnsi="仿宋" w:eastAsia="仿宋" w:cs="仿宋"/>
          <w:sz w:val="32"/>
          <w:szCs w:val="32"/>
        </w:rPr>
        <w:t>绩效评</w:t>
      </w:r>
      <w:r>
        <w:rPr>
          <w:rFonts w:hint="eastAsia" w:ascii="仿宋" w:hAnsi="仿宋" w:eastAsia="仿宋" w:cs="仿宋"/>
          <w:sz w:val="32"/>
          <w:szCs w:val="32"/>
          <w:lang w:val="en-US" w:eastAsia="zh-CN"/>
        </w:rPr>
        <w:t>价</w:t>
      </w:r>
      <w:r>
        <w:rPr>
          <w:rFonts w:ascii="仿宋" w:hAnsi="仿宋" w:eastAsia="仿宋" w:cs="仿宋"/>
          <w:sz w:val="32"/>
          <w:szCs w:val="32"/>
        </w:rPr>
        <w:t>工作后，</w:t>
      </w:r>
      <w:r>
        <w:rPr>
          <w:rFonts w:hint="eastAsia" w:ascii="仿宋" w:hAnsi="仿宋" w:eastAsia="仿宋" w:cs="仿宋"/>
          <w:sz w:val="32"/>
          <w:szCs w:val="32"/>
          <w:lang w:val="en-US" w:eastAsia="zh-CN"/>
        </w:rPr>
        <w:t>我们</w:t>
      </w:r>
      <w:r>
        <w:rPr>
          <w:rFonts w:ascii="仿宋" w:hAnsi="仿宋" w:eastAsia="仿宋" w:cs="仿宋"/>
          <w:sz w:val="32"/>
          <w:szCs w:val="32"/>
        </w:rPr>
        <w:t>成立了相关专业</w:t>
      </w:r>
      <w:r>
        <w:rPr>
          <w:rFonts w:ascii="仿宋" w:hAnsi="仿宋" w:eastAsia="仿宋" w:cs="仿宋"/>
          <w:spacing w:val="-6"/>
          <w:sz w:val="32"/>
          <w:szCs w:val="32"/>
        </w:rPr>
        <w:t>人员组成的评</w:t>
      </w:r>
      <w:r>
        <w:rPr>
          <w:rFonts w:hint="eastAsia" w:ascii="仿宋" w:hAnsi="仿宋" w:eastAsia="仿宋" w:cs="仿宋"/>
          <w:spacing w:val="-6"/>
          <w:sz w:val="32"/>
          <w:szCs w:val="32"/>
          <w:lang w:val="en-US" w:eastAsia="zh-CN"/>
        </w:rPr>
        <w:t>价</w:t>
      </w:r>
      <w:r>
        <w:rPr>
          <w:rFonts w:ascii="仿宋" w:hAnsi="仿宋" w:eastAsia="仿宋" w:cs="仿宋"/>
          <w:spacing w:val="-6"/>
          <w:sz w:val="32"/>
          <w:szCs w:val="32"/>
        </w:rPr>
        <w:t>工作小组，</w:t>
      </w:r>
      <w:r>
        <w:rPr>
          <w:rFonts w:hint="eastAsia" w:ascii="仿宋" w:hAnsi="仿宋" w:eastAsia="仿宋" w:cs="仿宋"/>
          <w:spacing w:val="-6"/>
          <w:sz w:val="32"/>
          <w:szCs w:val="32"/>
          <w:lang w:val="en-US" w:eastAsia="zh-CN"/>
        </w:rPr>
        <w:t>根据该项目的特殊性，收集国家关于高标准农田建设的相关文件和政策，为项目评价工作做好先期准备。</w:t>
      </w:r>
    </w:p>
    <w:p>
      <w:pPr>
        <w:keepNext w:val="0"/>
        <w:keepLines w:val="0"/>
        <w:pageBreakBefore w:val="0"/>
        <w:widowControl/>
        <w:kinsoku w:val="0"/>
        <w:wordWrap/>
        <w:overflowPunct/>
        <w:topLinePunct w:val="0"/>
        <w:autoSpaceDE w:val="0"/>
        <w:autoSpaceDN w:val="0"/>
        <w:bidi w:val="0"/>
        <w:adjustRightInd w:val="0"/>
        <w:snapToGrid w:val="0"/>
        <w:spacing w:before="104" w:line="360" w:lineRule="auto"/>
        <w:ind w:right="92" w:firstLine="648" w:firstLineChars="200"/>
        <w:textAlignment w:val="baseline"/>
        <w:rPr>
          <w:rFonts w:ascii="仿宋" w:hAnsi="仿宋" w:eastAsia="仿宋" w:cs="仿宋"/>
          <w:spacing w:val="2"/>
          <w:sz w:val="32"/>
          <w:szCs w:val="32"/>
        </w:rPr>
      </w:pPr>
      <w:r>
        <w:rPr>
          <w:rFonts w:ascii="仿宋" w:hAnsi="仿宋" w:eastAsia="仿宋" w:cs="仿宋"/>
          <w:spacing w:val="2"/>
          <w:sz w:val="32"/>
          <w:szCs w:val="32"/>
        </w:rPr>
        <w:t>2、</w:t>
      </w:r>
      <w:r>
        <w:rPr>
          <w:rFonts w:hint="eastAsia" w:ascii="仿宋" w:hAnsi="仿宋" w:eastAsia="仿宋" w:cs="仿宋"/>
          <w:spacing w:val="2"/>
          <w:sz w:val="32"/>
          <w:szCs w:val="32"/>
          <w:lang w:val="en-US" w:eastAsia="zh-CN"/>
        </w:rPr>
        <w:t>组织实施</w:t>
      </w:r>
    </w:p>
    <w:p>
      <w:pPr>
        <w:keepNext w:val="0"/>
        <w:keepLines w:val="0"/>
        <w:pageBreakBefore w:val="0"/>
        <w:widowControl/>
        <w:kinsoku w:val="0"/>
        <w:wordWrap/>
        <w:overflowPunct/>
        <w:topLinePunct w:val="0"/>
        <w:autoSpaceDE w:val="0"/>
        <w:autoSpaceDN w:val="0"/>
        <w:bidi w:val="0"/>
        <w:adjustRightInd w:val="0"/>
        <w:snapToGrid w:val="0"/>
        <w:spacing w:before="238" w:line="360" w:lineRule="auto"/>
        <w:ind w:firstLine="616" w:firstLineChars="200"/>
        <w:textAlignment w:val="baseline"/>
        <w:rPr>
          <w:rFonts w:hint="eastAsia" w:ascii="仿宋" w:hAnsi="仿宋" w:eastAsia="仿宋" w:cs="仿宋"/>
          <w:spacing w:val="-5"/>
          <w:sz w:val="32"/>
          <w:szCs w:val="32"/>
          <w:lang w:val="en-US" w:eastAsia="zh-CN"/>
        </w:rPr>
      </w:pPr>
      <w:r>
        <w:rPr>
          <w:rFonts w:ascii="仿宋" w:hAnsi="仿宋" w:eastAsia="仿宋" w:cs="仿宋"/>
          <w:spacing w:val="-6"/>
          <w:sz w:val="32"/>
          <w:szCs w:val="32"/>
        </w:rPr>
        <w:t>参加</w:t>
      </w:r>
      <w:r>
        <w:rPr>
          <w:rFonts w:hint="eastAsia" w:ascii="仿宋" w:hAnsi="仿宋" w:eastAsia="仿宋" w:cs="仿宋"/>
          <w:spacing w:val="-6"/>
          <w:sz w:val="32"/>
          <w:szCs w:val="32"/>
          <w:lang w:val="en-US" w:eastAsia="zh-CN"/>
        </w:rPr>
        <w:t>财政</w:t>
      </w:r>
      <w:r>
        <w:rPr>
          <w:rFonts w:ascii="仿宋" w:hAnsi="仿宋" w:eastAsia="仿宋" w:cs="仿宋"/>
          <w:spacing w:val="-6"/>
          <w:sz w:val="32"/>
          <w:szCs w:val="32"/>
        </w:rPr>
        <w:t>部门</w:t>
      </w:r>
      <w:r>
        <w:rPr>
          <w:rFonts w:hint="eastAsia" w:ascii="仿宋" w:hAnsi="仿宋" w:eastAsia="仿宋" w:cs="仿宋"/>
          <w:spacing w:val="-6"/>
          <w:sz w:val="32"/>
          <w:szCs w:val="32"/>
          <w:lang w:val="en-US" w:eastAsia="zh-CN"/>
        </w:rPr>
        <w:t>召开的与项目有关的政府相关部门及承包</w:t>
      </w:r>
      <w:r>
        <w:rPr>
          <w:rFonts w:ascii="仿宋" w:hAnsi="仿宋" w:eastAsia="仿宋" w:cs="仿宋"/>
          <w:spacing w:val="-6"/>
          <w:sz w:val="32"/>
          <w:szCs w:val="32"/>
        </w:rPr>
        <w:t>企业人员</w:t>
      </w:r>
      <w:r>
        <w:rPr>
          <w:rFonts w:ascii="仿宋" w:hAnsi="仿宋" w:eastAsia="仿宋" w:cs="仿宋"/>
          <w:spacing w:val="-2"/>
          <w:sz w:val="32"/>
          <w:szCs w:val="32"/>
        </w:rPr>
        <w:t>见面会，</w:t>
      </w:r>
      <w:r>
        <w:rPr>
          <w:rFonts w:ascii="仿宋" w:hAnsi="仿宋" w:eastAsia="仿宋" w:cs="仿宋"/>
          <w:spacing w:val="-6"/>
          <w:sz w:val="32"/>
          <w:szCs w:val="32"/>
        </w:rPr>
        <w:t>了解项目</w:t>
      </w:r>
      <w:r>
        <w:rPr>
          <w:rFonts w:hint="eastAsia" w:ascii="仿宋" w:hAnsi="仿宋" w:eastAsia="仿宋" w:cs="仿宋"/>
          <w:spacing w:val="-6"/>
          <w:sz w:val="32"/>
          <w:szCs w:val="32"/>
          <w:lang w:eastAsia="zh-CN"/>
        </w:rPr>
        <w:t>立项</w:t>
      </w:r>
      <w:r>
        <w:rPr>
          <w:rFonts w:ascii="仿宋" w:hAnsi="仿宋" w:eastAsia="仿宋" w:cs="仿宋"/>
          <w:spacing w:val="-6"/>
          <w:sz w:val="32"/>
          <w:szCs w:val="32"/>
        </w:rPr>
        <w:t>基本情况、项目背景、项目进度计</w:t>
      </w:r>
      <w:r>
        <w:rPr>
          <w:rFonts w:ascii="仿宋" w:hAnsi="仿宋" w:eastAsia="仿宋" w:cs="仿宋"/>
          <w:spacing w:val="-5"/>
          <w:sz w:val="32"/>
          <w:szCs w:val="32"/>
        </w:rPr>
        <w:t>划、项目绩效目标。</w:t>
      </w:r>
      <w:r>
        <w:rPr>
          <w:rFonts w:hint="eastAsia" w:ascii="仿宋" w:hAnsi="仿宋" w:eastAsia="仿宋" w:cs="仿宋"/>
          <w:spacing w:val="-5"/>
          <w:sz w:val="32"/>
          <w:szCs w:val="32"/>
          <w:lang w:val="en-US" w:eastAsia="zh-CN"/>
        </w:rPr>
        <w:t>收集调取查阅与该项目相关的政府文件，资金方面：中央、省、市、区财政拨付资料；工程方面：项目立项资料、上级对此项目的批复文件、项目可行性研究报告、初步设计及施工图设计、招投标文件、工程施工中标合同、工程预算评审与造价审计报告、施工资料、监理资料、质量评定资料、工程建后移交协议与管护制度等资料；与工程施工公司人员对项目完成情况100%的实地检查；对两个村实行问卷调查。在此基础上，根据绩效评价指标体系的要求，对项目的建设内容、项目管理、资金管理、经济社会生态等绩效指标进行客观的考评计分。</w:t>
      </w:r>
    </w:p>
    <w:p>
      <w:pPr>
        <w:keepNext w:val="0"/>
        <w:keepLines w:val="0"/>
        <w:pageBreakBefore w:val="0"/>
        <w:widowControl/>
        <w:kinsoku w:val="0"/>
        <w:wordWrap/>
        <w:overflowPunct/>
        <w:topLinePunct w:val="0"/>
        <w:autoSpaceDE w:val="0"/>
        <w:autoSpaceDN w:val="0"/>
        <w:bidi w:val="0"/>
        <w:adjustRightInd w:val="0"/>
        <w:snapToGrid w:val="0"/>
        <w:spacing w:before="207" w:line="360" w:lineRule="auto"/>
        <w:ind w:left="0" w:leftChars="0" w:firstLine="0" w:firstLineChars="0"/>
        <w:textAlignment w:val="baseline"/>
        <w:rPr>
          <w:rFonts w:hint="eastAsia" w:ascii="仿宋" w:hAnsi="仿宋" w:eastAsia="仿宋" w:cs="仿宋"/>
          <w:b/>
          <w:bCs/>
          <w:spacing w:val="-2"/>
          <w:sz w:val="32"/>
          <w:szCs w:val="32"/>
          <w:lang w:eastAsia="zh-CN"/>
        </w:rPr>
      </w:pPr>
      <w:r>
        <w:rPr>
          <w:rFonts w:hint="eastAsia" w:ascii="黑体" w:hAnsi="黑体" w:eastAsia="黑体" w:cs="黑体"/>
          <w:spacing w:val="-2"/>
          <w:sz w:val="32"/>
          <w:szCs w:val="32"/>
          <w:lang w:eastAsia="zh-CN"/>
        </w:rPr>
        <w:t xml:space="preserve">   </w:t>
      </w:r>
      <w:r>
        <w:rPr>
          <w:rFonts w:hint="eastAsia" w:ascii="仿宋" w:hAnsi="仿宋" w:eastAsia="仿宋" w:cs="仿宋"/>
          <w:b/>
          <w:bCs/>
          <w:spacing w:val="-2"/>
          <w:sz w:val="32"/>
          <w:szCs w:val="32"/>
          <w:lang w:eastAsia="zh-CN"/>
        </w:rPr>
        <w:t xml:space="preserve"> </w:t>
      </w:r>
      <w:r>
        <w:rPr>
          <w:rFonts w:hint="eastAsia" w:ascii="仿宋" w:hAnsi="仿宋" w:eastAsia="仿宋" w:cs="仿宋"/>
          <w:b/>
          <w:bCs/>
          <w:spacing w:val="-2"/>
          <w:sz w:val="32"/>
          <w:szCs w:val="32"/>
        </w:rPr>
        <w:t>三、</w:t>
      </w:r>
      <w:r>
        <w:rPr>
          <w:rFonts w:hint="eastAsia" w:ascii="仿宋" w:hAnsi="仿宋" w:eastAsia="仿宋" w:cs="仿宋"/>
          <w:b/>
          <w:bCs/>
          <w:spacing w:val="-2"/>
          <w:sz w:val="32"/>
          <w:szCs w:val="32"/>
          <w:lang w:eastAsia="zh-CN"/>
        </w:rPr>
        <w:t>综合评价情况及评价结论（附相关评分表）</w:t>
      </w:r>
    </w:p>
    <w:p>
      <w:pPr>
        <w:keepNext w:val="0"/>
        <w:keepLines w:val="0"/>
        <w:pageBreakBefore w:val="0"/>
        <w:widowControl/>
        <w:kinsoku w:val="0"/>
        <w:wordWrap/>
        <w:overflowPunct/>
        <w:topLinePunct w:val="0"/>
        <w:autoSpaceDE w:val="0"/>
        <w:autoSpaceDN w:val="0"/>
        <w:bidi w:val="0"/>
        <w:adjustRightInd w:val="0"/>
        <w:snapToGrid w:val="0"/>
        <w:spacing w:before="207" w:line="360" w:lineRule="auto"/>
        <w:ind w:left="0" w:leftChars="0" w:firstLine="552" w:firstLineChars="0"/>
        <w:textAlignment w:val="baseline"/>
        <w:rPr>
          <w:rFonts w:hint="eastAsia" w:ascii="仿宋" w:hAnsi="仿宋" w:eastAsia="仿宋" w:cs="仿宋"/>
          <w:spacing w:val="-5"/>
          <w:sz w:val="32"/>
          <w:szCs w:val="32"/>
          <w:lang w:val="en-US" w:eastAsia="zh-CN"/>
        </w:rPr>
      </w:pPr>
      <w:r>
        <w:rPr>
          <w:rFonts w:hint="eastAsia" w:ascii="仿宋" w:hAnsi="仿宋" w:eastAsia="仿宋" w:cs="仿宋"/>
          <w:spacing w:val="-5"/>
          <w:sz w:val="32"/>
          <w:szCs w:val="32"/>
          <w:lang w:val="en-US" w:eastAsia="zh-CN"/>
        </w:rPr>
        <w:t>秉着“客观公正”的原则，遵循《高标准农田建设评价规范》的要求，利用合理的绩效评价指标，对收集的与项目相关部门提供的各方面材料，进行分析研究，采取查资料、看现场、验项目等方式，对该项目初步设计的内容完成情况进行评价。</w:t>
      </w:r>
    </w:p>
    <w:p>
      <w:pPr>
        <w:keepNext w:val="0"/>
        <w:keepLines w:val="0"/>
        <w:pageBreakBefore w:val="0"/>
        <w:widowControl/>
        <w:kinsoku w:val="0"/>
        <w:wordWrap/>
        <w:overflowPunct/>
        <w:topLinePunct w:val="0"/>
        <w:autoSpaceDE w:val="0"/>
        <w:autoSpaceDN w:val="0"/>
        <w:bidi w:val="0"/>
        <w:adjustRightInd w:val="0"/>
        <w:snapToGrid w:val="0"/>
        <w:spacing w:before="207" w:line="360" w:lineRule="auto"/>
        <w:ind w:left="0" w:leftChars="0" w:firstLine="552" w:firstLineChars="0"/>
        <w:textAlignment w:val="baseline"/>
        <w:rPr>
          <w:rFonts w:hint="eastAsia" w:ascii="仿宋" w:hAnsi="仿宋" w:eastAsia="仿宋" w:cs="仿宋"/>
          <w:spacing w:val="-5"/>
          <w:sz w:val="32"/>
          <w:szCs w:val="32"/>
          <w:lang w:val="en-US" w:eastAsia="zh-CN"/>
        </w:rPr>
      </w:pPr>
      <w:r>
        <w:rPr>
          <w:rFonts w:hint="eastAsia" w:ascii="仿宋" w:hAnsi="仿宋" w:eastAsia="仿宋" w:cs="仿宋"/>
          <w:spacing w:val="-5"/>
          <w:sz w:val="32"/>
          <w:szCs w:val="32"/>
          <w:lang w:val="en-US" w:eastAsia="zh-CN"/>
        </w:rPr>
        <w:t>该项目总体上工程质量完成较好；工程招投标符合法定程序；项目管理各方协同配合，竣工验收资料齐全，资金拨付、结算及时，工程造价审计和竣工决算行为规范，项目建设基本达到了预期效果。该项目规划设计基本遵循了因地制宜原则，田间机耕路等工程布局合理，但是初步设计实地勘察不详细，本项目中唯一的灌溉和排水工程（农用井），在施工后进行变更，其他桥涵项目也有不小的变更，工程造价有一定的增幅。另外，该项目实施单位农业农村局在2020年底的项目自评表中，并未很好的对项目进行自评，自评表的效益指标中经济效益一栏未填写，根据初步设计方案中第十章效益分析，项目区经济生产效益在三方面有很大提高：（1）项目区新增玉米生产能力；（2）项目区新增农业产值；（3）项目区农民新增纯收入，农业农村局在该项目申报材料中对预期效益也做了明确性的阐述。通过对双台子村、双庙子村的问卷调查，双台子村对农作物产量是否增产的问题回答是，平均亩产增产75斤；双庙子村回答是，平均亩产增产50斤，这些预期效益和实际效益在自评表中均未体现，因此，该项目经济效益有待考核。</w:t>
      </w:r>
    </w:p>
    <w:p>
      <w:pPr>
        <w:keepNext w:val="0"/>
        <w:keepLines w:val="0"/>
        <w:pageBreakBefore w:val="0"/>
        <w:widowControl/>
        <w:kinsoku w:val="0"/>
        <w:wordWrap/>
        <w:overflowPunct/>
        <w:topLinePunct w:val="0"/>
        <w:autoSpaceDE w:val="0"/>
        <w:autoSpaceDN w:val="0"/>
        <w:bidi w:val="0"/>
        <w:adjustRightInd w:val="0"/>
        <w:snapToGrid w:val="0"/>
        <w:spacing w:before="207" w:line="360" w:lineRule="auto"/>
        <w:ind w:left="0" w:leftChars="0" w:firstLine="552" w:firstLineChars="0"/>
        <w:textAlignment w:val="baseline"/>
        <w:rPr>
          <w:rFonts w:hint="default" w:ascii="黑体" w:hAnsi="黑体" w:eastAsia="黑体" w:cs="黑体"/>
          <w:b w:val="0"/>
          <w:bCs w:val="0"/>
          <w:color w:val="A6A6A6" w:themeColor="background1" w:themeShade="A6"/>
          <w:spacing w:val="-2"/>
          <w:sz w:val="28"/>
          <w:szCs w:val="28"/>
          <w:lang w:val="en-US" w:eastAsia="zh-CN"/>
        </w:rPr>
      </w:pPr>
      <w:r>
        <w:rPr>
          <w:rFonts w:hint="eastAsia" w:ascii="仿宋" w:hAnsi="仿宋" w:eastAsia="仿宋" w:cs="仿宋"/>
          <w:spacing w:val="-5"/>
          <w:sz w:val="32"/>
          <w:szCs w:val="32"/>
          <w:lang w:val="en-US" w:eastAsia="zh-CN"/>
        </w:rPr>
        <w:t>该项目评价得分为80分，评价结论为“良”。详见附件（三）</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0" w:leftChars="0" w:firstLine="0" w:firstLineChars="0"/>
        <w:textAlignment w:val="baseline"/>
        <w:rPr>
          <w:rFonts w:hint="eastAsia" w:ascii="仿宋" w:hAnsi="仿宋" w:eastAsia="仿宋" w:cs="仿宋"/>
          <w:b/>
          <w:bCs/>
          <w:sz w:val="32"/>
          <w:szCs w:val="32"/>
        </w:rPr>
      </w:pPr>
      <w:r>
        <w:rPr>
          <w:rFonts w:hint="eastAsia" w:ascii="仿宋" w:hAnsi="仿宋" w:eastAsia="仿宋" w:cs="仿宋"/>
          <w:b/>
          <w:bCs/>
          <w:spacing w:val="-3"/>
          <w:sz w:val="32"/>
          <w:szCs w:val="32"/>
          <w:lang w:eastAsia="zh-CN"/>
        </w:rPr>
        <w:t xml:space="preserve">    </w:t>
      </w:r>
      <w:r>
        <w:rPr>
          <w:rFonts w:hint="eastAsia" w:ascii="仿宋" w:hAnsi="仿宋" w:eastAsia="仿宋" w:cs="仿宋"/>
          <w:b/>
          <w:bCs/>
          <w:spacing w:val="-3"/>
          <w:sz w:val="32"/>
          <w:szCs w:val="32"/>
        </w:rPr>
        <w:t>四、</w:t>
      </w:r>
      <w:r>
        <w:rPr>
          <w:rFonts w:hint="eastAsia" w:ascii="仿宋" w:hAnsi="仿宋" w:eastAsia="仿宋" w:cs="仿宋"/>
          <w:b/>
          <w:bCs/>
          <w:spacing w:val="-3"/>
          <w:sz w:val="32"/>
          <w:szCs w:val="32"/>
          <w:lang w:eastAsia="zh-CN"/>
        </w:rPr>
        <w:t>绩效评价指标分析</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eastAsia="zh-CN"/>
        </w:rPr>
      </w:pPr>
      <w:r>
        <w:rPr>
          <w:rFonts w:ascii="仿宋" w:hAnsi="仿宋" w:eastAsia="仿宋" w:cs="仿宋"/>
          <w:spacing w:val="-3"/>
          <w:sz w:val="32"/>
          <w:szCs w:val="32"/>
        </w:rPr>
        <w:t>（一）项目决策</w:t>
      </w:r>
      <w:r>
        <w:rPr>
          <w:rFonts w:hint="eastAsia" w:ascii="仿宋" w:hAnsi="仿宋" w:eastAsia="仿宋" w:cs="仿宋"/>
          <w:spacing w:val="-3"/>
          <w:sz w:val="32"/>
          <w:szCs w:val="32"/>
          <w:lang w:eastAsia="zh-CN"/>
        </w:rPr>
        <w:t>情况分析（12分）</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661"/>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1、项目立项（4分）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eastAsia="zh-CN"/>
        </w:rPr>
        <w:t>（1）项目立项的充分性：该项目符合国家法律法规，符合</w:t>
      </w:r>
      <w:r>
        <w:rPr>
          <w:rFonts w:hint="eastAsia" w:ascii="仿宋" w:hAnsi="仿宋" w:eastAsia="仿宋" w:cs="仿宋"/>
          <w:spacing w:val="-3"/>
          <w:sz w:val="32"/>
          <w:szCs w:val="32"/>
          <w:lang w:val="en-US" w:eastAsia="zh-CN"/>
        </w:rPr>
        <w:t>《全国高标准农田建设总体规划》要求，该项目符合千山区“优化农业产业布局、调整产业结构、建设都市现代农业”的区域发展理念。（2分）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（2）项目立项程序的规范性：该项目无事前可行性研究报告及立项申请。项目实施上报了区农业农村局申请材料及设计公司的初步设计，市级相关部门批复文件齐全。（2分）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2、绩效目标（4分）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（1）绩效目标合理性：该项目确立了绩效目标，绩效目标与实际工程具有相关性。（2分）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（2）绩效指标明确性：该项目依据绩效目标设定的绩效指标清晰、细化，通过可衡量的指标值体现了指标明确性。但未提供确定绩效指标的具体依据。（2分）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3、资金投入（4分）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1）预算编制科学性：沈阳市文林水土工程设计有限公司作为项目的初步设计者，在初步设计方案第九章投资概算与资金筹措对工程进行了详细的概算；第十章效益分析阐述了财务评价结论，“本项目的财务盈利能力较强，投资效益状况良好，资金使用率较高，资金回收较快，本项目财务可行”。千山区农林局提供的申请材料后附的项目投资额与项目任务匹配。（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61"/>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（2）资金分配合理性：该项目资金分配的依据是初步设计方案的工程设计及建设内容，与地方实际情况相适应。（2分）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w:t>
      </w:r>
      <w:r>
        <w:rPr>
          <w:rFonts w:ascii="仿宋" w:hAnsi="仿宋" w:eastAsia="仿宋" w:cs="仿宋"/>
          <w:spacing w:val="-3"/>
          <w:sz w:val="32"/>
          <w:szCs w:val="32"/>
        </w:rPr>
        <w:t>（二） 项目</w:t>
      </w:r>
      <w:r>
        <w:rPr>
          <w:rFonts w:hint="eastAsia" w:ascii="仿宋" w:hAnsi="仿宋" w:eastAsia="仿宋" w:cs="仿宋"/>
          <w:spacing w:val="-3"/>
          <w:sz w:val="32"/>
          <w:szCs w:val="32"/>
          <w:lang w:eastAsia="zh-CN"/>
        </w:rPr>
        <w:t>过程情况分析</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1、资金管理（18分）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（1）资金到位率：截止2020年12月10日，该项目中央财政资金、省财政资金、鞍山市财政资金及千山区财政资金1</w:t>
      </w:r>
      <w:r>
        <w:rPr>
          <w:rFonts w:hint="eastAsia" w:ascii="仿宋" w:hAnsi="仿宋" w:eastAsia="仿宋" w:cs="仿宋"/>
          <w:spacing w:val="-3"/>
          <w:sz w:val="32"/>
          <w:szCs w:val="32"/>
          <w:lang w:val="en-US" w:eastAsia="zh-CN"/>
        </w:rPr>
        <w:t>,</w:t>
      </w:r>
      <w:r>
        <w:rPr>
          <w:rFonts w:hint="eastAsia" w:ascii="仿宋" w:hAnsi="仿宋" w:eastAsia="仿宋" w:cs="仿宋"/>
          <w:spacing w:val="-3"/>
          <w:sz w:val="32"/>
          <w:szCs w:val="32"/>
          <w:lang w:eastAsia="zh-CN"/>
        </w:rPr>
        <w:t>250.00万元全部到位，到位率100%。（5分）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w:t>
      </w:r>
      <w:r>
        <w:rPr>
          <w:rFonts w:hint="eastAsia" w:ascii="仿宋" w:hAnsi="仿宋" w:eastAsia="仿宋" w:cs="仿宋"/>
          <w:spacing w:val="-3"/>
          <w:sz w:val="32"/>
          <w:szCs w:val="32"/>
          <w:highlight w:val="none"/>
          <w:lang w:eastAsia="zh-CN"/>
        </w:rPr>
        <w:t xml:space="preserve"> （2）预算执行率：截止2021年</w:t>
      </w:r>
      <w:r>
        <w:rPr>
          <w:rFonts w:hint="eastAsia" w:ascii="仿宋" w:hAnsi="仿宋" w:eastAsia="仿宋" w:cs="仿宋"/>
          <w:spacing w:val="-3"/>
          <w:sz w:val="32"/>
          <w:szCs w:val="32"/>
          <w:highlight w:val="none"/>
          <w:lang w:val="en-US" w:eastAsia="zh-CN"/>
        </w:rPr>
        <w:t>5</w:t>
      </w:r>
      <w:r>
        <w:rPr>
          <w:rFonts w:hint="eastAsia" w:ascii="仿宋" w:hAnsi="仿宋" w:eastAsia="仿宋" w:cs="仿宋"/>
          <w:spacing w:val="-3"/>
          <w:sz w:val="32"/>
          <w:szCs w:val="32"/>
          <w:highlight w:val="none"/>
          <w:lang w:eastAsia="zh-CN"/>
        </w:rPr>
        <w:t>月</w:t>
      </w:r>
      <w:r>
        <w:rPr>
          <w:rFonts w:hint="eastAsia" w:ascii="仿宋" w:hAnsi="仿宋" w:eastAsia="仿宋" w:cs="仿宋"/>
          <w:spacing w:val="-3"/>
          <w:sz w:val="32"/>
          <w:szCs w:val="32"/>
          <w:highlight w:val="none"/>
          <w:lang w:val="en-US" w:eastAsia="zh-CN"/>
        </w:rPr>
        <w:t>21</w:t>
      </w:r>
      <w:r>
        <w:rPr>
          <w:rFonts w:hint="eastAsia" w:ascii="仿宋" w:hAnsi="仿宋" w:eastAsia="仿宋" w:cs="仿宋"/>
          <w:spacing w:val="-3"/>
          <w:sz w:val="32"/>
          <w:szCs w:val="32"/>
          <w:highlight w:val="none"/>
          <w:lang w:eastAsia="zh-CN"/>
        </w:rPr>
        <w:t>日，该项目资金预算执行率</w:t>
      </w:r>
      <w:r>
        <w:rPr>
          <w:rFonts w:hint="eastAsia" w:ascii="仿宋" w:hAnsi="仿宋" w:eastAsia="仿宋" w:cs="仿宋"/>
          <w:spacing w:val="-3"/>
          <w:sz w:val="32"/>
          <w:szCs w:val="32"/>
          <w:highlight w:val="none"/>
          <w:lang w:val="en-US" w:eastAsia="zh-CN"/>
        </w:rPr>
        <w:t>98.90</w:t>
      </w:r>
      <w:r>
        <w:rPr>
          <w:rFonts w:hint="eastAsia" w:ascii="仿宋" w:hAnsi="仿宋" w:eastAsia="仿宋" w:cs="仿宋"/>
          <w:spacing w:val="-3"/>
          <w:sz w:val="32"/>
          <w:szCs w:val="32"/>
          <w:highlight w:val="none"/>
          <w:lang w:eastAsia="zh-CN"/>
        </w:rPr>
        <w:t>%。</w:t>
      </w:r>
      <w:r>
        <w:rPr>
          <w:rFonts w:hint="eastAsia" w:ascii="仿宋" w:hAnsi="仿宋" w:eastAsia="仿宋" w:cs="仿宋"/>
          <w:spacing w:val="-3"/>
          <w:sz w:val="32"/>
          <w:szCs w:val="32"/>
          <w:lang w:eastAsia="zh-CN"/>
        </w:rPr>
        <w:t>在项目期内即2019年12月至2020年5月</w:t>
      </w:r>
      <w:r>
        <w:rPr>
          <w:rFonts w:hint="eastAsia" w:ascii="仿宋" w:hAnsi="仿宋" w:eastAsia="仿宋" w:cs="仿宋"/>
          <w:spacing w:val="-3"/>
          <w:sz w:val="32"/>
          <w:szCs w:val="32"/>
          <w:lang w:val="en-US" w:eastAsia="zh-CN"/>
        </w:rPr>
        <w:t>21日</w:t>
      </w:r>
      <w:r>
        <w:rPr>
          <w:rFonts w:hint="eastAsia" w:ascii="仿宋" w:hAnsi="仿宋" w:eastAsia="仿宋" w:cs="仿宋"/>
          <w:spacing w:val="-3"/>
          <w:sz w:val="32"/>
          <w:szCs w:val="32"/>
          <w:lang w:eastAsia="zh-CN"/>
        </w:rPr>
        <w:t>实际支出项目资金12,021,790.61元，预算执行率</w:t>
      </w:r>
      <w:r>
        <w:rPr>
          <w:rFonts w:hint="eastAsia" w:ascii="仿宋" w:hAnsi="仿宋" w:eastAsia="仿宋" w:cs="仿宋"/>
          <w:spacing w:val="-3"/>
          <w:sz w:val="32"/>
          <w:szCs w:val="32"/>
          <w:lang w:val="en-US" w:eastAsia="zh-CN"/>
        </w:rPr>
        <w:t>96.17</w:t>
      </w:r>
      <w:r>
        <w:rPr>
          <w:rFonts w:hint="eastAsia" w:ascii="仿宋" w:hAnsi="仿宋" w:eastAsia="仿宋" w:cs="仿宋"/>
          <w:spacing w:val="-3"/>
          <w:sz w:val="32"/>
          <w:szCs w:val="32"/>
          <w:lang w:eastAsia="zh-CN"/>
        </w:rPr>
        <w:t>%。（5分）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3）资金使用合规性：该项目资金使用符合国家各项财务制度及专项资金管理办法的规定。资金拨付有完整的审批程序和手续，资金使用符合项目合同规定的用途，无截留、挤占、挪用、虚列支出等情况。（8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2、组织实施（5分）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628" w:firstLineChars="20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（1）管理制度健全性：该项目实施单位千山区农村局制定了相应完善的财务和业务管理制度，财务和业务管理制度合法、合规、完整。（2分）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628" w:firstLineChars="20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2）制度执行有效性：该项目实施单位和项目公司遵守相关法律法规，遵守合同约定的各项内容，项目调整手续齐全完备，项目合同书、竣工验收工作报告等资料齐全，但是资料未按时间和资料归档的要求进行归档，不及时，不完整。（3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3"/>
          <w:sz w:val="32"/>
          <w:szCs w:val="32"/>
          <w:lang w:eastAsia="zh-CN"/>
        </w:rPr>
      </w:pPr>
      <w:r>
        <w:rPr>
          <w:rFonts w:hint="eastAsia" w:ascii="仿宋" w:hAnsi="仿宋" w:eastAsia="仿宋" w:cs="仿宋"/>
          <w:spacing w:val="-3"/>
          <w:sz w:val="32"/>
          <w:szCs w:val="32"/>
          <w:lang w:eastAsia="zh-CN"/>
        </w:rPr>
        <w:t xml:space="preserve">    </w:t>
      </w:r>
      <w:r>
        <w:rPr>
          <w:rFonts w:ascii="仿宋" w:hAnsi="仿宋" w:eastAsia="仿宋" w:cs="仿宋"/>
          <w:spacing w:val="-3"/>
          <w:sz w:val="32"/>
          <w:szCs w:val="32"/>
        </w:rPr>
        <w:t>（三）</w:t>
      </w:r>
      <w:r>
        <w:rPr>
          <w:rFonts w:hint="eastAsia" w:ascii="仿宋" w:hAnsi="仿宋" w:eastAsia="仿宋" w:cs="仿宋"/>
          <w:spacing w:val="33"/>
          <w:sz w:val="32"/>
          <w:szCs w:val="32"/>
          <w:lang w:eastAsia="zh-CN"/>
        </w:rPr>
        <w:t>绩效产出情况（9分）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772" w:firstLineChars="200"/>
        <w:textAlignment w:val="baseline"/>
        <w:rPr>
          <w:rFonts w:hint="eastAsia" w:ascii="仿宋" w:hAnsi="仿宋" w:eastAsia="仿宋" w:cs="仿宋"/>
          <w:spacing w:val="33"/>
          <w:sz w:val="32"/>
          <w:szCs w:val="32"/>
          <w:lang w:eastAsia="zh-CN"/>
        </w:rPr>
      </w:pPr>
      <w:r>
        <w:rPr>
          <w:rFonts w:hint="eastAsia" w:ascii="仿宋" w:hAnsi="仿宋" w:eastAsia="仿宋" w:cs="仿宋"/>
          <w:spacing w:val="33"/>
          <w:sz w:val="32"/>
          <w:szCs w:val="32"/>
          <w:lang w:eastAsia="zh-CN"/>
        </w:rPr>
        <w:t>1、工程数量实际完成率：该项目完成了工程合同约定的</w:t>
      </w:r>
      <w:r>
        <w:rPr>
          <w:rFonts w:hint="eastAsia" w:ascii="仿宋" w:hAnsi="仿宋" w:eastAsia="仿宋" w:cs="仿宋"/>
          <w:spacing w:val="-6"/>
          <w:sz w:val="32"/>
          <w:szCs w:val="32"/>
          <w:lang w:eastAsia="zh-CN"/>
        </w:rPr>
        <w:t>一万亩高标准农田</w:t>
      </w:r>
      <w:r>
        <w:rPr>
          <w:rFonts w:hint="eastAsia" w:ascii="仿宋" w:hAnsi="仿宋" w:eastAsia="仿宋" w:cs="仿宋"/>
          <w:spacing w:val="33"/>
          <w:sz w:val="32"/>
          <w:szCs w:val="32"/>
          <w:lang w:eastAsia="zh-CN"/>
        </w:rPr>
        <w:t>的各项建设内容，完成率100%。（2分）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3"/>
          <w:sz w:val="32"/>
          <w:szCs w:val="32"/>
          <w:lang w:eastAsia="zh-CN"/>
        </w:rPr>
      </w:pPr>
      <w:r>
        <w:rPr>
          <w:rFonts w:hint="eastAsia" w:ascii="仿宋" w:hAnsi="仿宋" w:eastAsia="仿宋" w:cs="仿宋"/>
          <w:spacing w:val="33"/>
          <w:sz w:val="32"/>
          <w:szCs w:val="32"/>
          <w:lang w:eastAsia="zh-CN"/>
        </w:rPr>
        <w:t xml:space="preserve">   </w:t>
      </w:r>
      <w:r>
        <w:rPr>
          <w:rFonts w:hint="eastAsia" w:ascii="仿宋" w:hAnsi="仿宋" w:eastAsia="仿宋" w:cs="仿宋"/>
          <w:spacing w:val="33"/>
          <w:sz w:val="32"/>
          <w:szCs w:val="32"/>
          <w:lang w:val="en-US" w:eastAsia="zh-CN"/>
        </w:rPr>
        <w:t xml:space="preserve"> </w:t>
      </w:r>
      <w:r>
        <w:rPr>
          <w:rFonts w:hint="eastAsia" w:ascii="仿宋" w:hAnsi="仿宋" w:eastAsia="仿宋" w:cs="仿宋"/>
          <w:spacing w:val="33"/>
          <w:sz w:val="32"/>
          <w:szCs w:val="32"/>
          <w:lang w:eastAsia="zh-CN"/>
        </w:rPr>
        <w:t>2、工程质量达标率：该项目由辽宁寰禹泓业工程造价咨询有限责任公司2020年9月出具竣工验收报告，经公司派出专业人员现场勘查，确认工程施工质量等级为合格。（5分）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left="0" w:leftChars="0" w:firstLine="0" w:firstLineChars="0"/>
        <w:textAlignment w:val="baseline"/>
        <w:rPr>
          <w:rFonts w:hint="eastAsia" w:ascii="仿宋" w:hAnsi="仿宋" w:eastAsia="仿宋" w:cs="仿宋"/>
          <w:spacing w:val="33"/>
          <w:sz w:val="32"/>
          <w:szCs w:val="32"/>
          <w:lang w:eastAsia="zh-CN"/>
        </w:rPr>
      </w:pPr>
      <w:r>
        <w:rPr>
          <w:rFonts w:hint="eastAsia" w:ascii="仿宋" w:hAnsi="仿宋" w:eastAsia="仿宋" w:cs="仿宋"/>
          <w:spacing w:val="33"/>
          <w:sz w:val="32"/>
          <w:szCs w:val="32"/>
          <w:lang w:eastAsia="zh-CN"/>
        </w:rPr>
        <w:t xml:space="preserve">   </w:t>
      </w:r>
      <w:r>
        <w:rPr>
          <w:rFonts w:hint="eastAsia" w:ascii="仿宋" w:hAnsi="仿宋" w:eastAsia="仿宋" w:cs="仿宋"/>
          <w:spacing w:val="33"/>
          <w:sz w:val="32"/>
          <w:szCs w:val="32"/>
          <w:lang w:val="en-US" w:eastAsia="zh-CN"/>
        </w:rPr>
        <w:t xml:space="preserve"> </w:t>
      </w:r>
      <w:r>
        <w:rPr>
          <w:rFonts w:hint="eastAsia" w:ascii="仿宋" w:hAnsi="仿宋" w:eastAsia="仿宋" w:cs="仿宋"/>
          <w:spacing w:val="33"/>
          <w:sz w:val="32"/>
          <w:szCs w:val="32"/>
          <w:lang w:eastAsia="zh-CN"/>
        </w:rPr>
        <w:t>3、工程时效性即完成及时性：该项目施工合同约定工程时间为2019年12月31日—2020年5月1日，审阅竣工验收报告中发现，实际工期已改为2020年2月20日—6月19日，无更改工期的补充施工合同书。（2分）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580" w:firstLineChars="200"/>
        <w:textAlignment w:val="baseline"/>
        <w:rPr>
          <w:rFonts w:ascii="仿宋" w:hAnsi="仿宋" w:eastAsia="仿宋" w:cs="仿宋"/>
          <w:spacing w:val="-15"/>
          <w:sz w:val="32"/>
          <w:szCs w:val="32"/>
        </w:rPr>
      </w:pPr>
      <w:r>
        <w:rPr>
          <w:rFonts w:hint="eastAsia" w:ascii="仿宋" w:hAnsi="仿宋" w:eastAsia="仿宋" w:cs="仿宋"/>
          <w:spacing w:val="-15"/>
          <w:sz w:val="32"/>
          <w:szCs w:val="32"/>
          <w:lang w:eastAsia="zh-CN"/>
        </w:rPr>
        <w:t>（四）</w:t>
      </w:r>
      <w:r>
        <w:rPr>
          <w:rFonts w:ascii="仿宋" w:hAnsi="仿宋" w:eastAsia="仿宋" w:cs="仿宋"/>
          <w:spacing w:val="-15"/>
          <w:sz w:val="32"/>
          <w:szCs w:val="32"/>
        </w:rPr>
        <w:t>项目效益指标分析</w:t>
      </w:r>
      <w:r>
        <w:rPr>
          <w:rFonts w:hint="eastAsia" w:ascii="仿宋" w:hAnsi="仿宋" w:eastAsia="仿宋" w:cs="仿宋"/>
          <w:spacing w:val="-15"/>
          <w:sz w:val="32"/>
          <w:szCs w:val="32"/>
          <w:lang w:eastAsia="zh-CN"/>
        </w:rPr>
        <w:t>（36分）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772" w:firstLineChars="200"/>
        <w:textAlignment w:val="baseline"/>
        <w:rPr>
          <w:rFonts w:hint="eastAsia" w:ascii="仿宋" w:hAnsi="仿宋" w:eastAsia="仿宋" w:cs="仿宋"/>
          <w:spacing w:val="33"/>
          <w:sz w:val="32"/>
          <w:szCs w:val="32"/>
          <w:lang w:eastAsia="zh-CN"/>
        </w:rPr>
      </w:pPr>
      <w:r>
        <w:rPr>
          <w:rFonts w:hint="eastAsia" w:ascii="仿宋" w:hAnsi="仿宋" w:eastAsia="仿宋" w:cs="仿宋"/>
          <w:spacing w:val="33"/>
          <w:sz w:val="32"/>
          <w:szCs w:val="32"/>
          <w:lang w:eastAsia="zh-CN"/>
        </w:rPr>
        <w:t>1、经济效益：该项目经济效益在项目初步设计中明确计算出在两大方面：</w:t>
      </w:r>
      <w:r>
        <w:rPr>
          <w:rFonts w:hint="eastAsia" w:ascii="仿宋" w:hAnsi="仿宋" w:eastAsia="仿宋" w:cs="仿宋"/>
          <w:spacing w:val="33"/>
          <w:sz w:val="32"/>
          <w:szCs w:val="32"/>
          <w:highlight w:val="none"/>
          <w:lang w:eastAsia="zh-CN"/>
        </w:rPr>
        <w:t>（1）项目区新增农业产值239.84万元；（2）项目区农民新增纯收入289.14万元；受益人口2721人，人均增加纯收入0.1062万元。</w:t>
      </w:r>
      <w:r>
        <w:rPr>
          <w:rFonts w:hint="eastAsia" w:ascii="仿宋" w:hAnsi="仿宋" w:eastAsia="仿宋" w:cs="仿宋"/>
          <w:spacing w:val="33"/>
          <w:sz w:val="32"/>
          <w:szCs w:val="32"/>
          <w:lang w:eastAsia="zh-CN"/>
        </w:rPr>
        <w:t>在实施单位自评表中，通过对项目的自评，项目初步设计方案经济效益未能实现。（</w:t>
      </w:r>
      <w:r>
        <w:rPr>
          <w:rFonts w:hint="eastAsia" w:ascii="仿宋" w:hAnsi="仿宋" w:eastAsia="仿宋" w:cs="仿宋"/>
          <w:spacing w:val="33"/>
          <w:sz w:val="32"/>
          <w:szCs w:val="32"/>
          <w:lang w:val="en-US" w:eastAsia="zh-CN"/>
        </w:rPr>
        <w:t>1</w:t>
      </w:r>
      <w:r>
        <w:rPr>
          <w:rFonts w:hint="eastAsia" w:ascii="仿宋" w:hAnsi="仿宋" w:eastAsia="仿宋" w:cs="仿宋"/>
          <w:spacing w:val="33"/>
          <w:sz w:val="32"/>
          <w:szCs w:val="32"/>
          <w:lang w:eastAsia="zh-CN"/>
        </w:rPr>
        <w:t>0分）</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628" w:firstLineChars="200"/>
        <w:textAlignment w:val="baseline"/>
        <w:rPr>
          <w:rFonts w:ascii="仿宋" w:hAnsi="仿宋" w:eastAsia="仿宋" w:cs="仿宋"/>
          <w:spacing w:val="-3"/>
          <w:sz w:val="32"/>
          <w:szCs w:val="32"/>
        </w:rPr>
      </w:pPr>
      <w:r>
        <w:rPr>
          <w:rFonts w:ascii="仿宋" w:hAnsi="仿宋" w:eastAsia="仿宋" w:cs="仿宋"/>
          <w:spacing w:val="-3"/>
          <w:sz w:val="32"/>
          <w:szCs w:val="32"/>
        </w:rPr>
        <w:t>2、社会效益</w:t>
      </w:r>
      <w:r>
        <w:rPr>
          <w:rFonts w:hint="eastAsia" w:ascii="仿宋" w:hAnsi="仿宋" w:eastAsia="仿宋" w:cs="仿宋"/>
          <w:spacing w:val="-3"/>
          <w:sz w:val="32"/>
          <w:szCs w:val="32"/>
          <w:lang w:eastAsia="zh-CN"/>
        </w:rPr>
        <w:t>：该项目完成后，项目区田间道路通达率达到了100%，对实现高标准农田标准“土地平整、集中连片、设施完善……”等起到了积极的推动作用。实施单位在项目自评表中，对粮食增产一项未能体现项目初步设计的预期目标，也未能体现在农业农村局上报的申报材料中预期效益目标。（9分）</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firstLine="0" w:firstLineChars="0"/>
        <w:textAlignment w:val="baseline"/>
        <w:rPr>
          <w:rFonts w:ascii="仿宋" w:hAnsi="仿宋" w:eastAsia="仿宋" w:cs="仿宋"/>
          <w:sz w:val="32"/>
          <w:szCs w:val="32"/>
        </w:rPr>
      </w:pPr>
      <w:r>
        <w:rPr>
          <w:rFonts w:hint="eastAsia" w:ascii="仿宋" w:hAnsi="仿宋" w:eastAsia="仿宋" w:cs="仿宋"/>
          <w:spacing w:val="-3"/>
          <w:sz w:val="32"/>
          <w:szCs w:val="32"/>
          <w:lang w:eastAsia="zh-CN"/>
        </w:rPr>
        <w:t xml:space="preserve">    </w:t>
      </w:r>
      <w:r>
        <w:rPr>
          <w:rFonts w:ascii="仿宋" w:hAnsi="仿宋" w:eastAsia="仿宋" w:cs="仿宋"/>
          <w:spacing w:val="-3"/>
          <w:sz w:val="32"/>
          <w:szCs w:val="32"/>
        </w:rPr>
        <w:t>3、生态效益</w:t>
      </w:r>
      <w:r>
        <w:rPr>
          <w:rFonts w:hint="eastAsia" w:ascii="仿宋" w:hAnsi="仿宋" w:eastAsia="仿宋" w:cs="仿宋"/>
          <w:spacing w:val="-3"/>
          <w:sz w:val="32"/>
          <w:szCs w:val="32"/>
          <w:lang w:eastAsia="zh-CN"/>
        </w:rPr>
        <w:t>：该项目完成后，预期新增和改善灌溉达标面积0.01万亩，新增和改善排水达标面积0.85万亩，灌溉水利用率提高10%，实施单位在项目自评表中未体现预期效益指标。（7分）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ascii="仿宋" w:hAnsi="仿宋" w:eastAsia="仿宋" w:cs="仿宋"/>
          <w:spacing w:val="-2"/>
          <w:sz w:val="32"/>
          <w:szCs w:val="32"/>
        </w:rPr>
        <w:t>4、可持续影响</w:t>
      </w:r>
      <w:r>
        <w:rPr>
          <w:rFonts w:hint="eastAsia" w:ascii="仿宋" w:hAnsi="仿宋" w:eastAsia="仿宋" w:cs="仿宋"/>
          <w:spacing w:val="-2"/>
          <w:sz w:val="32"/>
          <w:szCs w:val="32"/>
          <w:lang w:eastAsia="zh-CN"/>
        </w:rPr>
        <w:t>：通过项目实施，较好地实现经济效益、社会效益和生态效益的统一，促进项目区土地资源的可持续利用。（10分）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5、满意度：通过对项目区所在村进行问卷调查，双台子村和双庙子村对该项目满意度100%。</w:t>
      </w:r>
      <w:r>
        <w:rPr>
          <w:rFonts w:hint="eastAsia" w:ascii="仿宋" w:hAnsi="仿宋" w:eastAsia="仿宋" w:cs="仿宋"/>
          <w:color w:val="404040" w:themeColor="text1" w:themeTint="BF"/>
          <w:spacing w:val="-2"/>
          <w:sz w:val="32"/>
          <w:szCs w:val="32"/>
          <w:lang w:eastAsia="zh-CN"/>
          <w14:textFill>
            <w14:solidFill>
              <w14:schemeClr w14:val="tx1">
                <w14:lumMod w14:val="75000"/>
                <w14:lumOff w14:val="25000"/>
              </w14:schemeClr>
            </w14:solidFill>
          </w14:textFill>
        </w:rPr>
        <w:t>（10分）</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firstLine="672"/>
        <w:textAlignment w:val="baseline"/>
        <w:rPr>
          <w:rFonts w:hint="eastAsia" w:ascii="仿宋" w:hAnsi="仿宋" w:eastAsia="仿宋" w:cs="仿宋"/>
          <w:b/>
          <w:bCs/>
          <w:spacing w:val="-3"/>
          <w:sz w:val="32"/>
          <w:szCs w:val="32"/>
          <w:lang w:eastAsia="zh-CN"/>
        </w:rPr>
      </w:pPr>
      <w:r>
        <w:rPr>
          <w:rFonts w:hint="eastAsia" w:ascii="仿宋" w:hAnsi="仿宋" w:eastAsia="仿宋" w:cs="仿宋"/>
          <w:b/>
          <w:bCs/>
          <w:spacing w:val="-3"/>
          <w:sz w:val="32"/>
          <w:szCs w:val="32"/>
          <w:lang w:eastAsia="zh-CN"/>
        </w:rPr>
        <w:t>五、主要的经验及做法</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（一）做好项目前期工作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政府高度重视，成立领导小组</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千山区政府2019年4月，按照《辽宁省农业农村厅办公室关于编报2019年农田建设项目计划的通知》（辽农田办发【2019】151号）文件要求，为了建立和完善农田建设管理体制，成立了高标准农田建设项目领导小组。结合本区域的发展理念，积极将高标准农田建设与新型农业主体、产业结构调整相结合，因地制宜的合理安排项目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农业农村局作为实施单位牵头负责此项工作，2019年4月下发各镇关于编报2019年农田建设项目计划的通知，要求按照省办规定的标准进行上报。2019年年9月项目初步设计完成并上报鞍山市农业农村局，同年11月鞍山市农业农村局下达（2019）107号文件批复；千山区农业农村局2019年10月上报该项目年度实施计划，同年11月鞍山市农业农村局下达（2019）108号文件批复。</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（二）规范关键环节的管理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农业农村局按照项目管理的相关规定，对规划设计、招标投标、工程监理、造价审计、竣工验收等关键环节按规范进行操作，在对市级汇报的高标准农田建设情况材料中，对财政资金的使用、项目规划及储备、年度任务分解及年度建设进度都有详细的安排。为搞好该项目建设奠定了基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（三）强化落实监理责任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在该项目实施过程中，各个工程公司强化了监理责任，要求每个单项工程都要有施工前和施工后的对比照片。</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（四）项目完成资产移交</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该项目完成后，形成固定资产11</w:t>
      </w:r>
      <w:r>
        <w:rPr>
          <w:rFonts w:hint="eastAsia" w:ascii="仿宋" w:hAnsi="仿宋" w:eastAsia="仿宋" w:cs="仿宋"/>
          <w:spacing w:val="-2"/>
          <w:sz w:val="32"/>
          <w:szCs w:val="32"/>
          <w:lang w:val="en-US" w:eastAsia="zh-CN"/>
        </w:rPr>
        <w:t>,</w:t>
      </w:r>
      <w:r>
        <w:rPr>
          <w:rFonts w:hint="eastAsia" w:ascii="仿宋" w:hAnsi="仿宋" w:eastAsia="仿宋" w:cs="仿宋"/>
          <w:spacing w:val="-2"/>
          <w:sz w:val="32"/>
          <w:szCs w:val="32"/>
          <w:lang w:eastAsia="zh-CN"/>
        </w:rPr>
        <w:t>495</w:t>
      </w:r>
      <w:r>
        <w:rPr>
          <w:rFonts w:hint="eastAsia" w:ascii="仿宋" w:hAnsi="仿宋" w:eastAsia="仿宋" w:cs="仿宋"/>
          <w:spacing w:val="-2"/>
          <w:sz w:val="32"/>
          <w:szCs w:val="32"/>
          <w:lang w:val="en-US" w:eastAsia="zh-CN"/>
        </w:rPr>
        <w:t>,</w:t>
      </w:r>
      <w:r>
        <w:rPr>
          <w:rFonts w:hint="eastAsia" w:ascii="仿宋" w:hAnsi="仿宋" w:eastAsia="仿宋" w:cs="仿宋"/>
          <w:spacing w:val="-2"/>
          <w:sz w:val="32"/>
          <w:szCs w:val="32"/>
          <w:lang w:eastAsia="zh-CN"/>
        </w:rPr>
        <w:t>666.95元，其中含水泥路、砂石路、衬砌、农田防护网、机井、农涵、农桥，两个建设工程公司，在2020年11月同时移交给辽宁江河水利水电工程建设有限公司、甘泉镇双台子村、双庙子村管理养护，对增加固定资产的使用年限，保证固定资产不流失起到了一定作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5" w:firstLineChars="200"/>
        <w:textAlignment w:val="baseline"/>
        <w:rPr>
          <w:rFonts w:hint="eastAsia" w:ascii="仿宋" w:hAnsi="仿宋" w:eastAsia="仿宋" w:cs="仿宋"/>
          <w:b/>
          <w:bCs/>
          <w:spacing w:val="-2"/>
          <w:sz w:val="32"/>
          <w:szCs w:val="32"/>
          <w:lang w:eastAsia="zh-CN"/>
        </w:rPr>
      </w:pPr>
      <w:r>
        <w:rPr>
          <w:rFonts w:hint="eastAsia" w:ascii="仿宋" w:hAnsi="仿宋" w:eastAsia="仿宋" w:cs="仿宋"/>
          <w:b/>
          <w:bCs/>
          <w:spacing w:val="-2"/>
          <w:sz w:val="32"/>
          <w:szCs w:val="32"/>
          <w:lang w:eastAsia="zh-CN"/>
        </w:rPr>
        <w:t>六、存在的问题及原因分析</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由于种种原因，项目还存在一些问题，主要表现在以下几个方面：</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（一）项目管理中的问题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该项目无可行性研究报告、无立项书。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在鞍农发【2019】107号文件中第三条明确指出，“项目初步设计执行情况，将作为项目验收的重要内容进行考核”。因此工程中的每一项建设标准，效益分析中的每一项增长指标都必须经过设计部门与政府相关部门认真推敲，最终确定，它是后期项目验收、绩效评价的依据。目前看，由于初步设计未能认真进行实地调查，实际施工中项目变动较大；初步设计中的效益分析各项增长指标没有在农村局的自评表中体现，无法显示这些指标是否已经实现或者根本无法实现。</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default" w:ascii="仿宋" w:hAnsi="仿宋" w:eastAsia="仿宋" w:cs="仿宋"/>
          <w:spacing w:val="-2"/>
          <w:sz w:val="32"/>
          <w:szCs w:val="32"/>
          <w:lang w:val="en-US" w:eastAsia="zh-CN"/>
        </w:rPr>
      </w:pPr>
      <w:r>
        <w:rPr>
          <w:rFonts w:hint="eastAsia" w:ascii="仿宋" w:hAnsi="仿宋" w:eastAsia="仿宋" w:cs="仿宋"/>
          <w:spacing w:val="-2"/>
          <w:sz w:val="32"/>
          <w:szCs w:val="32"/>
          <w:lang w:val="en-US" w:eastAsia="zh-CN"/>
        </w:rPr>
        <w:t>3、</w:t>
      </w:r>
      <w:r>
        <w:rPr>
          <w:rFonts w:hint="eastAsia" w:ascii="仿宋" w:hAnsi="仿宋" w:eastAsia="仿宋" w:cs="仿宋"/>
          <w:spacing w:val="-2"/>
          <w:sz w:val="32"/>
          <w:szCs w:val="32"/>
          <w:lang w:eastAsia="zh-CN"/>
        </w:rPr>
        <w:t>初步设计第十章效益分析中，项目区农民新增纯收入：人均收入增长1062元，受益人口2721人。农村局上报的项目年度实施计划材料中预期收益人均收入增长500元，受益人口2721人，同样的受益人口，人均收入增长差距较大；项目区新增玉米生产能力：</w:t>
      </w:r>
      <w:r>
        <w:rPr>
          <w:rFonts w:hint="eastAsia" w:ascii="仿宋" w:hAnsi="仿宋" w:eastAsia="仿宋" w:cs="仿宋"/>
          <w:spacing w:val="-2"/>
          <w:sz w:val="32"/>
          <w:szCs w:val="32"/>
          <w:lang w:val="en-US" w:eastAsia="zh-CN"/>
        </w:rPr>
        <w:t>1万亩旱田玉米增产118.8万公斤。</w:t>
      </w:r>
      <w:r>
        <w:rPr>
          <w:rFonts w:hint="eastAsia" w:ascii="仿宋" w:hAnsi="仿宋" w:eastAsia="仿宋" w:cs="仿宋"/>
          <w:spacing w:val="-5"/>
          <w:sz w:val="32"/>
          <w:szCs w:val="32"/>
          <w:lang w:val="en-US" w:eastAsia="zh-CN"/>
        </w:rPr>
        <w:t>通过对双台子村、双庙子村的问卷调查，双台子村平均亩产增产75斤，双庙子村平均亩产增产50斤，实际增产与绩效目标相差较大。</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4、</w:t>
      </w:r>
      <w:r>
        <w:rPr>
          <w:rFonts w:hint="eastAsia" w:ascii="仿宋" w:hAnsi="仿宋" w:eastAsia="仿宋" w:cs="仿宋"/>
          <w:spacing w:val="-2"/>
          <w:sz w:val="32"/>
          <w:szCs w:val="32"/>
          <w:lang w:eastAsia="zh-CN"/>
        </w:rPr>
        <w:t>农业农村局项目资料管理比较混乱，不能系统的、完整的提供该项目的全部资料，影响项目完成的最终验收评价质量。</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5、</w:t>
      </w:r>
      <w:r>
        <w:rPr>
          <w:rFonts w:hint="eastAsia" w:ascii="仿宋" w:hAnsi="仿宋" w:eastAsia="仿宋" w:cs="仿宋"/>
          <w:spacing w:val="-2"/>
          <w:sz w:val="32"/>
          <w:szCs w:val="32"/>
          <w:lang w:eastAsia="zh-CN"/>
        </w:rPr>
        <w:t>该项目施工合同签订的施工期为2019年12月31日—2020年5月1日，项目竣工报告确认的实际施工期为2020年2月18日—2020年6月19日，施工日期的改变无施工合同变更补充协议。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（二）项目建设中的问题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该项目建设标准高，但是亩投资标准较低，导致在项目区田间工程中，砂石路多，水泥路少。在实地检查中，有些砂石路已经裸露石子，装运粮食的车把田里的泥带到路上后形成新的烂泥路，如双台子村的</w:t>
      </w:r>
      <w:r>
        <w:rPr>
          <w:rFonts w:hint="eastAsia" w:ascii="仿宋" w:hAnsi="仿宋" w:eastAsia="仿宋" w:cs="仿宋"/>
          <w:spacing w:val="-2"/>
          <w:sz w:val="32"/>
          <w:szCs w:val="32"/>
          <w:lang w:val="en-US" w:eastAsia="zh-CN"/>
        </w:rPr>
        <w:t>31</w:t>
      </w:r>
      <w:r>
        <w:rPr>
          <w:rFonts w:hint="eastAsia" w:ascii="仿宋" w:hAnsi="仿宋" w:eastAsia="仿宋" w:cs="仿宋"/>
          <w:spacing w:val="-2"/>
          <w:sz w:val="32"/>
          <w:szCs w:val="32"/>
          <w:lang w:eastAsia="zh-CN"/>
        </w:rPr>
        <w:t>号砂石路，影响了项目整体功能的发挥。</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该项目完成移交后，管护工作不到位，造成路面损毁。双庙子村6号砂石路长度为</w:t>
      </w:r>
      <w:r>
        <w:rPr>
          <w:rFonts w:hint="eastAsia" w:ascii="仿宋" w:hAnsi="仿宋" w:eastAsia="仿宋" w:cs="仿宋"/>
          <w:spacing w:val="-2"/>
          <w:sz w:val="32"/>
          <w:szCs w:val="32"/>
          <w:lang w:val="en-US" w:eastAsia="zh-CN"/>
        </w:rPr>
        <w:t>400米</w:t>
      </w:r>
      <w:r>
        <w:rPr>
          <w:rFonts w:hint="eastAsia" w:ascii="仿宋" w:hAnsi="仿宋" w:eastAsia="仿宋" w:cs="仿宋"/>
          <w:spacing w:val="-2"/>
          <w:sz w:val="32"/>
          <w:szCs w:val="32"/>
          <w:lang w:eastAsia="zh-CN"/>
        </w:rPr>
        <w:t>，在实地检查的中发现，由于路边没有水渠，农户已在路面上挖出一个大坑，此条路已经损毁，造成资产损失。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3、</w:t>
      </w:r>
      <w:r>
        <w:rPr>
          <w:rFonts w:hint="eastAsia" w:ascii="仿宋" w:hAnsi="仿宋" w:eastAsia="仿宋" w:cs="仿宋"/>
          <w:spacing w:val="-2"/>
          <w:sz w:val="32"/>
          <w:szCs w:val="32"/>
          <w:lang w:eastAsia="zh-CN"/>
        </w:rPr>
        <w:t>实地验收中，我们对补植的300棵防护林清点，实际清点树林为256棵，缺失44棵，反映出项目建成后管护工作的缺位。</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（三）初步设计变更中的问题（双庙子村）</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双庙子村农用井位置在初步设计中位于双庙子村西，申请变更的理由是“双庙子村村西耕地面积少，若水井修建在原位置，水井利用率小，而且不能覆盖到全村耕地，现改于村东侧（瑞格柏林东50米路北）位置”。村西耕地面积少是由来已久的事实，农用井设计依旧在此选址，说明初步设计实地调研不够。</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辽宁日升市政工程公司2020年5月20日变更申请报告第2项，对混凝土4号路进行调整，申请变更的理由是</w:t>
      </w:r>
      <w:r>
        <w:rPr>
          <w:rFonts w:hint="eastAsia" w:ascii="仿宋" w:hAnsi="仿宋" w:eastAsia="仿宋" w:cs="仿宋"/>
          <w:spacing w:val="-2"/>
          <w:sz w:val="32"/>
          <w:szCs w:val="32"/>
          <w:highlight w:val="none"/>
          <w:lang w:eastAsia="zh-CN"/>
        </w:rPr>
        <w:t>“混凝土4号路在设计图中规划725米，剩余150米不知什么原因未规划在内（是基本农田）现申请进行修建，将混凝土4号路全部修建，总计825米”</w:t>
      </w:r>
      <w:r>
        <w:rPr>
          <w:rFonts w:hint="eastAsia" w:ascii="仿宋" w:hAnsi="仿宋" w:eastAsia="仿宋" w:cs="仿宋"/>
          <w:spacing w:val="-2"/>
          <w:sz w:val="32"/>
          <w:szCs w:val="32"/>
          <w:lang w:eastAsia="zh-CN"/>
        </w:rPr>
        <w:t>。但在2020年4月的变更设计实施方案中，双庙子村项目内容变更前后对比明细表中并没有混凝土4号路的变更内容。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（四）初步设计变更中的问题（双台子村）</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鞍山市禾道建筑工程有限公司在变更申请报告中提出涵30、31、33、70、71、72、74、75、76、九处盖板涵位置发生变化，但在2020年4月的变更设计实施方案中是12处盖板涵位置发生变化（增加涵32、73、77三处）。</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鞍山市禾道建筑工程有限公司在变更申请报告中未提出对涵管进行位置变更，但在2020年4月的变更设计实施方案中有六处涵管位置发生变化（涵管49、50、51、52、53、54）。</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3、</w:t>
      </w:r>
      <w:r>
        <w:rPr>
          <w:rFonts w:hint="eastAsia" w:ascii="仿宋" w:hAnsi="仿宋" w:eastAsia="仿宋" w:cs="仿宋"/>
          <w:spacing w:val="-2"/>
          <w:sz w:val="32"/>
          <w:szCs w:val="32"/>
          <w:lang w:eastAsia="zh-CN"/>
        </w:rPr>
        <w:t>鞍山市禾道建筑工程有限公司在变更申请报告中无“补植银中杨变更为旱柳”的申请内容，但在2020年4月的变更设计实施方案中有这项变更内容，实地查验，确为旱柳。</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（五）资产移交后管护问题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1、</w:t>
      </w:r>
      <w:r>
        <w:rPr>
          <w:rFonts w:hint="eastAsia" w:ascii="仿宋" w:hAnsi="仿宋" w:eastAsia="仿宋" w:cs="仿宋"/>
          <w:spacing w:val="-2"/>
          <w:sz w:val="32"/>
          <w:szCs w:val="32"/>
          <w:lang w:eastAsia="zh-CN"/>
        </w:rPr>
        <w:t>农村局提供的2019年高标准农田建设项目监管及管护协议无镇政府及村民委员会的盖章，协议存在真实性的问题。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val="en-US" w:eastAsia="zh-CN"/>
        </w:rPr>
        <w:t>2、</w:t>
      </w:r>
      <w:r>
        <w:rPr>
          <w:rFonts w:hint="eastAsia" w:ascii="仿宋" w:hAnsi="仿宋" w:eastAsia="仿宋" w:cs="仿宋"/>
          <w:spacing w:val="-2"/>
          <w:sz w:val="32"/>
          <w:szCs w:val="32"/>
          <w:lang w:eastAsia="zh-CN"/>
        </w:rPr>
        <w:t>管护协议的规定，管护费由镇、村负责，但是根据2019年初步设计预算书在独立费100万元中，预留了12.5万元项目管护费，应确认是否应该用于项目建成后的管护工作中。</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5" w:firstLineChars="200"/>
        <w:textAlignment w:val="baseline"/>
        <w:rPr>
          <w:rFonts w:hint="eastAsia" w:ascii="仿宋" w:hAnsi="仿宋" w:eastAsia="仿宋" w:cs="仿宋"/>
          <w:b/>
          <w:bCs/>
          <w:spacing w:val="-2"/>
          <w:sz w:val="32"/>
          <w:szCs w:val="32"/>
          <w:lang w:eastAsia="zh-CN"/>
        </w:rPr>
      </w:pPr>
      <w:r>
        <w:rPr>
          <w:rFonts w:hint="eastAsia" w:ascii="仿宋" w:hAnsi="仿宋" w:eastAsia="仿宋" w:cs="仿宋"/>
          <w:b/>
          <w:bCs/>
          <w:spacing w:val="-2"/>
          <w:sz w:val="32"/>
          <w:szCs w:val="32"/>
          <w:lang w:eastAsia="zh-CN"/>
        </w:rPr>
        <w:t>七、改进工作的意见及建议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（一）改进工作的意见</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1、在今后的项目前期过程中，要提升项目规划设计水平</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按照高标准农田建设的要求，政府相关部门在项目可行性研究、项目设计、项目实施方案编制，要充分征求农民群众意见，政府相关部门要认真审核每一项建设内容及效益增长指标，做到项目切实可行，预期效益可实现；要公开招标，择优选择设计单位；要对项目工程进行实地测量，精心设计，准确预算；要因地制宜，保护好生态，促进现代农业及可持续农业发展。</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2、在项目实施过程中，要进一步严格执行相关制度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严格执行招投标管理过程，不走过场；完善实施单位，建设单位专业监理，乡镇及农民代表的工程质量监督体制，严格执行工程预算评审和造价审计，规范工程结算。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3、进一步建立项目工程的长效管理机制</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（1）档案管理：实施单位要有专业人员进行牵头管理，对项目全部资料进行妥善保管，人员交流要妥善进行档案交接，不能以任何借口作为无法提供资料的理由。</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（2）项目管理：项目竣工后，资产移交要做到名至实归的移交，要建立移交后的考核制度和检查制度，建立工程管护的长效机制，管护资金渠道畅通，专款专用，确保项目工程长期发挥效益。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（二）对项目工作的建议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1、建议在项目招投标工作结束后，在工程全面实施前，组织项目牵头单位的工作人员、工程监理、施工队伍负责人进行对中央、省、市、区关于项目文件进行学习，总结已经完成的项目经验与不足，对工程技术和工艺提出要求，也可以组织项目实施各方的管理人员走出去，学习其他乡镇或者其他市区的先进经验，施工过程中，相关人员要定期检查。</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2、建议在工程计量或者竣工验收环节，邀请审计，财政评审、纪检监察等机构参与，确保工程质量，防范“利益输送”风险。</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3、建议建立工程移交后的专人检查制度，对固定资产完整的检查、对管护资金的使用检查，把资金和资产损失降低到最低点。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4、初步设计方案中对可能形成固定资产的资产，要根据实际情况预估合理的使用年限，便于资产移交后进行时间上的管理。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5" w:firstLineChars="200"/>
        <w:textAlignment w:val="baseline"/>
        <w:rPr>
          <w:rFonts w:hint="eastAsia" w:ascii="仿宋" w:hAnsi="仿宋" w:eastAsia="仿宋" w:cs="仿宋"/>
          <w:b/>
          <w:bCs/>
          <w:spacing w:val="-2"/>
          <w:sz w:val="32"/>
          <w:szCs w:val="32"/>
          <w:lang w:eastAsia="zh-CN"/>
        </w:rPr>
      </w:pPr>
      <w:r>
        <w:rPr>
          <w:rFonts w:hint="eastAsia" w:ascii="仿宋" w:hAnsi="仿宋" w:eastAsia="仿宋" w:cs="仿宋"/>
          <w:b/>
          <w:bCs/>
          <w:spacing w:val="-2"/>
          <w:sz w:val="32"/>
          <w:szCs w:val="32"/>
          <w:lang w:eastAsia="zh-CN"/>
        </w:rPr>
        <w:t>八、其他需要说明的问题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632" w:firstLineChars="200"/>
        <w:textAlignment w:val="baseline"/>
        <w:rPr>
          <w:rFonts w:hint="eastAsia" w:ascii="仿宋" w:hAnsi="仿宋" w:eastAsia="仿宋" w:cs="仿宋"/>
          <w:spacing w:val="-2"/>
          <w:sz w:val="32"/>
          <w:szCs w:val="32"/>
          <w:lang w:eastAsia="zh-CN"/>
        </w:rPr>
        <w:sectPr>
          <w:footerReference r:id="rId5" w:type="default"/>
          <w:pgSz w:w="11906" w:h="16839"/>
          <w:pgMar w:top="1431" w:right="1335" w:bottom="1478" w:left="1586" w:header="0" w:footer="680" w:gutter="0"/>
          <w:pgNumType w:fmt="decimal"/>
          <w:cols w:space="720" w:num="1"/>
        </w:sectPr>
      </w:pPr>
      <w:r>
        <w:rPr>
          <w:rFonts w:hint="eastAsia" w:ascii="仿宋" w:hAnsi="仿宋" w:eastAsia="仿宋" w:cs="仿宋"/>
          <w:spacing w:val="-2"/>
          <w:sz w:val="32"/>
          <w:szCs w:val="32"/>
          <w:lang w:eastAsia="zh-CN"/>
        </w:rPr>
        <w:t>本次规划项目区治理面积1.00万亩，1.00万亩均与“两个项目区”范围有交接。</w:t>
      </w:r>
    </w:p>
    <w:p>
      <w:pPr>
        <w:pStyle w:val="2"/>
        <w:rPr>
          <w:rFonts w:ascii="仿宋" w:hAnsi="仿宋" w:eastAsia="仿宋" w:cs="宋体"/>
          <w:spacing w:val="-3"/>
          <w:sz w:val="32"/>
          <w:szCs w:val="32"/>
        </w:rPr>
      </w:pPr>
    </w:p>
    <w:p>
      <w:pPr>
        <w:pStyle w:val="2"/>
        <w:rPr>
          <w:rFonts w:ascii="仿宋" w:hAnsi="仿宋" w:eastAsia="仿宋" w:cs="宋体"/>
          <w:spacing w:val="-3"/>
          <w:sz w:val="32"/>
          <w:szCs w:val="32"/>
        </w:rPr>
      </w:pP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（本页无正文）</w:t>
      </w:r>
    </w:p>
    <w:p>
      <w:pPr>
        <w:keepNext w:val="0"/>
        <w:keepLines w:val="0"/>
        <w:pageBreakBefore w:val="0"/>
        <w:widowControl/>
        <w:kinsoku w:val="0"/>
        <w:wordWrap/>
        <w:overflowPunct/>
        <w:topLinePunct w:val="0"/>
        <w:autoSpaceDE w:val="0"/>
        <w:autoSpaceDN w:val="0"/>
        <w:bidi w:val="0"/>
        <w:adjustRightInd w:val="0"/>
        <w:snapToGrid w:val="0"/>
        <w:spacing w:before="105" w:line="360" w:lineRule="auto"/>
        <w:ind w:firstLine="675"/>
        <w:textAlignment w:val="baseline"/>
        <w:rPr>
          <w:rFonts w:ascii="仿宋" w:hAnsi="仿宋" w:eastAsia="仿宋" w:cs="仿宋"/>
          <w:spacing w:val="-12"/>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105" w:line="360" w:lineRule="auto"/>
        <w:textAlignment w:val="baseline"/>
        <w:rPr>
          <w:rFonts w:ascii="仿宋" w:hAnsi="仿宋" w:eastAsia="仿宋" w:cs="仿宋"/>
          <w:sz w:val="32"/>
          <w:szCs w:val="32"/>
        </w:rPr>
      </w:pPr>
      <w:r>
        <w:rPr>
          <w:rFonts w:ascii="仿宋" w:hAnsi="仿宋" w:eastAsia="仿宋" w:cs="仿宋"/>
          <w:spacing w:val="-12"/>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35" w:line="360" w:lineRule="auto"/>
        <w:ind w:firstLine="954" w:firstLineChars="300"/>
        <w:textAlignment w:val="baseline"/>
        <w:rPr>
          <w:rFonts w:hint="eastAsia" w:ascii="仿宋" w:hAnsi="仿宋" w:eastAsia="仿宋" w:cs="仿宋"/>
          <w:sz w:val="32"/>
          <w:szCs w:val="32"/>
          <w:lang w:eastAsia="zh-CN"/>
        </w:rPr>
      </w:pPr>
      <w:r>
        <w:rPr>
          <w:rFonts w:hint="eastAsia" w:ascii="仿宋" w:hAnsi="仿宋" w:eastAsia="仿宋" w:cs="仿宋"/>
          <w:spacing w:val="-1"/>
          <w:sz w:val="32"/>
          <w:szCs w:val="32"/>
          <w:lang w:val="en-US" w:eastAsia="zh-CN"/>
        </w:rPr>
        <w:t>1、</w:t>
      </w:r>
      <w:r>
        <w:rPr>
          <w:rFonts w:hint="eastAsia" w:ascii="仿宋" w:hAnsi="仿宋" w:eastAsia="仿宋" w:cs="仿宋"/>
          <w:spacing w:val="-1"/>
          <w:sz w:val="32"/>
          <w:szCs w:val="32"/>
          <w:lang w:eastAsia="zh-CN"/>
        </w:rPr>
        <w:t>鞍山市千山区2019年高标准农田建设项目事后绩效评价工作小组成员情况表</w:t>
      </w:r>
      <w:r>
        <w:rPr>
          <w:rFonts w:hint="eastAsia" w:ascii="仿宋" w:hAnsi="仿宋" w:eastAsia="仿宋" w:cs="仿宋"/>
          <w:spacing w:val="-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firstLine="948" w:firstLineChars="300"/>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2</w:t>
      </w:r>
      <w:r>
        <w:rPr>
          <w:rFonts w:ascii="仿宋" w:hAnsi="仿宋" w:eastAsia="仿宋" w:cs="仿宋"/>
          <w:spacing w:val="-2"/>
          <w:sz w:val="32"/>
          <w:szCs w:val="32"/>
        </w:rPr>
        <w:t>、</w:t>
      </w:r>
      <w:r>
        <w:rPr>
          <w:rFonts w:hint="eastAsia" w:ascii="仿宋" w:hAnsi="仿宋" w:eastAsia="仿宋" w:cs="仿宋"/>
          <w:spacing w:val="-1"/>
          <w:sz w:val="32"/>
          <w:szCs w:val="32"/>
        </w:rPr>
        <w:t>鞍山市千山区2019年高标准农田建设项目事后绩效评价指标体系</w:t>
      </w:r>
      <w:r>
        <w:rPr>
          <w:rFonts w:hint="eastAsia" w:ascii="仿宋" w:hAnsi="仿宋" w:eastAsia="仿宋" w:cs="仿宋"/>
          <w:spacing w:val="-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234" w:line="360" w:lineRule="auto"/>
        <w:ind w:firstLine="954" w:firstLineChars="300"/>
        <w:textAlignment w:val="baseline"/>
        <w:rPr>
          <w:rFonts w:hint="eastAsia" w:ascii="仿宋" w:hAnsi="仿宋" w:eastAsia="仿宋" w:cs="仿宋"/>
          <w:sz w:val="32"/>
          <w:szCs w:val="32"/>
          <w:lang w:eastAsia="zh-CN"/>
        </w:rPr>
      </w:pPr>
      <w:r>
        <w:rPr>
          <w:rFonts w:hint="eastAsia" w:ascii="仿宋" w:hAnsi="仿宋" w:eastAsia="仿宋" w:cs="仿宋"/>
          <w:spacing w:val="-1"/>
          <w:sz w:val="32"/>
          <w:szCs w:val="32"/>
          <w:lang w:val="en-US" w:eastAsia="zh-CN"/>
        </w:rPr>
        <w:t>3</w:t>
      </w:r>
      <w:r>
        <w:rPr>
          <w:rFonts w:ascii="仿宋" w:hAnsi="仿宋" w:eastAsia="仿宋" w:cs="仿宋"/>
          <w:spacing w:val="-1"/>
          <w:sz w:val="32"/>
          <w:szCs w:val="32"/>
        </w:rPr>
        <w:t>、</w:t>
      </w:r>
      <w:r>
        <w:rPr>
          <w:rFonts w:hint="eastAsia" w:ascii="仿宋" w:hAnsi="仿宋" w:eastAsia="仿宋" w:cs="仿宋"/>
          <w:spacing w:val="-1"/>
          <w:sz w:val="32"/>
          <w:szCs w:val="32"/>
          <w:lang w:eastAsia="zh-CN"/>
        </w:rPr>
        <w:t>鞍山市千山区2019年高标准农田建设项目事后绩效评价评分汇总表</w:t>
      </w:r>
      <w:r>
        <w:rPr>
          <w:rFonts w:hint="eastAsia" w:ascii="仿宋" w:hAnsi="仿宋" w:eastAsia="仿宋" w:cs="仿宋"/>
          <w:spacing w:val="-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235" w:line="360" w:lineRule="auto"/>
        <w:ind w:firstLine="658"/>
        <w:textAlignment w:val="baseline"/>
        <w:rPr>
          <w:rFonts w:ascii="仿宋" w:hAnsi="仿宋" w:eastAsia="仿宋" w:cs="仿宋"/>
          <w:sz w:val="32"/>
          <w:szCs w:val="32"/>
        </w:rPr>
      </w:pPr>
    </w:p>
    <w:p/>
    <w:p/>
    <w:p/>
    <w:p/>
    <w:p/>
    <w:p/>
    <w:p/>
    <w:p/>
    <w:p/>
    <w:p/>
    <w:p/>
    <w:p>
      <w:pPr>
        <w:spacing w:before="104" w:line="359" w:lineRule="auto"/>
        <w:ind w:firstLine="3498" w:firstLineChars="1100"/>
        <w:jc w:val="right"/>
        <w:rPr>
          <w:rFonts w:hint="eastAsia" w:ascii="仿宋" w:hAnsi="仿宋" w:eastAsia="仿宋" w:cs="仿宋"/>
          <w:spacing w:val="-1"/>
          <w:sz w:val="32"/>
          <w:szCs w:val="32"/>
          <w:lang w:eastAsia="zh-CN"/>
          <w14:textOutline w14:w="5793" w14:cap="sq" w14:cmpd="sng">
            <w14:solidFill>
              <w14:srgbClr w14:val="000000"/>
            </w14:solidFill>
            <w14:prstDash w14:val="solid"/>
            <w14:bevel/>
          </w14:textOutline>
        </w:rPr>
      </w:pPr>
      <w:r>
        <w:rPr>
          <w:rFonts w:ascii="仿宋" w:hAnsi="仿宋" w:eastAsia="仿宋" w:cs="仿宋"/>
          <w:spacing w:val="-1"/>
          <w:sz w:val="32"/>
          <w:szCs w:val="32"/>
          <w14:textOutline w14:w="5793" w14:cap="sq" w14:cmpd="sng">
            <w14:solidFill>
              <w14:srgbClr w14:val="000000"/>
            </w14:solidFill>
            <w14:prstDash w14:val="solid"/>
            <w14:bevel/>
          </w14:textOutline>
        </w:rPr>
        <w:t>辽宁永信会计师事务所有限责任</w:t>
      </w:r>
      <w:r>
        <w:rPr>
          <w:rFonts w:hint="eastAsia" w:ascii="仿宋" w:hAnsi="仿宋" w:eastAsia="仿宋" w:cs="仿宋"/>
          <w:spacing w:val="-1"/>
          <w:sz w:val="32"/>
          <w:szCs w:val="32"/>
          <w:lang w:eastAsia="zh-CN"/>
          <w14:textOutline w14:w="5793" w14:cap="sq" w14:cmpd="sng">
            <w14:solidFill>
              <w14:srgbClr w14:val="000000"/>
            </w14:solidFill>
            <w14:prstDash w14:val="solid"/>
            <w14:bevel/>
          </w14:textOutline>
        </w:rPr>
        <w:t>公司</w:t>
      </w:r>
    </w:p>
    <w:p>
      <w:pPr>
        <w:spacing w:before="104" w:line="359" w:lineRule="auto"/>
        <w:ind w:left="4884" w:hanging="1148"/>
        <w:jc w:val="right"/>
        <w:rPr>
          <w:rFonts w:ascii="宋体"/>
          <w:sz w:val="21"/>
        </w:rPr>
      </w:pPr>
      <w:r>
        <w:rPr>
          <w:rFonts w:ascii="仿宋" w:hAnsi="仿宋" w:eastAsia="仿宋" w:cs="仿宋"/>
          <w:spacing w:val="-12"/>
          <w:sz w:val="32"/>
          <w:szCs w:val="32"/>
          <w14:textOutline w14:w="5793" w14:cap="sq" w14:cmpd="sng">
            <w14:solidFill>
              <w14:srgbClr w14:val="000000"/>
            </w14:solidFill>
            <w14:prstDash w14:val="solid"/>
            <w14:bevel/>
          </w14:textOutline>
        </w:rPr>
        <w:t>202</w:t>
      </w:r>
      <w:r>
        <w:rPr>
          <w:rFonts w:hint="eastAsia" w:ascii="仿宋" w:hAnsi="仿宋" w:eastAsia="仿宋" w:cs="仿宋"/>
          <w:spacing w:val="-12"/>
          <w:sz w:val="32"/>
          <w:szCs w:val="32"/>
          <w:lang w:val="en-US" w:eastAsia="zh-CN"/>
          <w14:textOutline w14:w="5793" w14:cap="sq" w14:cmpd="sng">
            <w14:solidFill>
              <w14:srgbClr w14:val="000000"/>
            </w14:solidFill>
            <w14:prstDash w14:val="solid"/>
            <w14:bevel/>
          </w14:textOutline>
        </w:rPr>
        <w:t>2</w:t>
      </w:r>
      <w:r>
        <w:rPr>
          <w:rFonts w:ascii="仿宋" w:hAnsi="仿宋" w:eastAsia="仿宋" w:cs="仿宋"/>
          <w:spacing w:val="-49"/>
          <w:sz w:val="32"/>
          <w:szCs w:val="32"/>
        </w:rPr>
        <w:t xml:space="preserve"> </w:t>
      </w:r>
      <w:r>
        <w:rPr>
          <w:rFonts w:ascii="仿宋" w:hAnsi="仿宋" w:eastAsia="仿宋" w:cs="仿宋"/>
          <w:spacing w:val="-12"/>
          <w:sz w:val="32"/>
          <w:szCs w:val="32"/>
          <w14:textOutline w14:w="5793" w14:cap="sq" w14:cmpd="sng">
            <w14:solidFill>
              <w14:srgbClr w14:val="000000"/>
            </w14:solidFill>
            <w14:prstDash w14:val="solid"/>
            <w14:bevel/>
          </w14:textOutline>
        </w:rPr>
        <w:t>年</w:t>
      </w:r>
      <w:r>
        <w:rPr>
          <w:rFonts w:ascii="仿宋" w:hAnsi="仿宋" w:eastAsia="仿宋" w:cs="仿宋"/>
          <w:spacing w:val="-64"/>
          <w:sz w:val="32"/>
          <w:szCs w:val="32"/>
        </w:rPr>
        <w:t xml:space="preserve"> </w:t>
      </w:r>
      <w:r>
        <w:rPr>
          <w:rFonts w:hint="eastAsia" w:ascii="仿宋" w:hAnsi="仿宋" w:eastAsia="仿宋" w:cs="仿宋"/>
          <w:spacing w:val="-12"/>
          <w:sz w:val="32"/>
          <w:szCs w:val="32"/>
          <w:lang w:val="en-US" w:eastAsia="zh-CN"/>
          <w14:textOutline w14:w="5793" w14:cap="sq" w14:cmpd="sng">
            <w14:solidFill>
              <w14:srgbClr w14:val="000000"/>
            </w14:solidFill>
            <w14:prstDash w14:val="solid"/>
            <w14:bevel/>
          </w14:textOutline>
        </w:rPr>
        <w:t>1</w:t>
      </w:r>
      <w:r>
        <w:rPr>
          <w:rFonts w:ascii="仿宋" w:hAnsi="仿宋" w:eastAsia="仿宋" w:cs="仿宋"/>
          <w:spacing w:val="-12"/>
          <w:sz w:val="32"/>
          <w:szCs w:val="32"/>
          <w14:textOutline w14:w="5793" w14:cap="sq" w14:cmpd="sng">
            <w14:solidFill>
              <w14:srgbClr w14:val="000000"/>
            </w14:solidFill>
            <w14:prstDash w14:val="solid"/>
            <w14:bevel/>
          </w14:textOutline>
        </w:rPr>
        <w:t>月</w:t>
      </w:r>
      <w:r>
        <w:rPr>
          <w:rFonts w:hint="eastAsia" w:ascii="仿宋" w:hAnsi="仿宋" w:eastAsia="仿宋" w:cs="仿宋"/>
          <w:spacing w:val="-12"/>
          <w:sz w:val="32"/>
          <w:szCs w:val="32"/>
          <w:lang w:val="en-US" w:eastAsia="zh-CN"/>
          <w14:textOutline w14:w="5793" w14:cap="sq" w14:cmpd="sng">
            <w14:solidFill>
              <w14:srgbClr w14:val="000000"/>
            </w14:solidFill>
            <w14:prstDash w14:val="solid"/>
            <w14:bevel/>
          </w14:textOutline>
        </w:rPr>
        <w:t>7</w:t>
      </w:r>
      <w:r>
        <w:rPr>
          <w:rFonts w:ascii="仿宋" w:hAnsi="仿宋" w:eastAsia="仿宋" w:cs="仿宋"/>
          <w:spacing w:val="-12"/>
          <w:sz w:val="32"/>
          <w:szCs w:val="32"/>
          <w14:textOutline w14:w="5793" w14:cap="sq" w14:cmpd="sng">
            <w14:solidFill>
              <w14:srgbClr w14:val="000000"/>
            </w14:solidFill>
            <w14:prstDash w14:val="solid"/>
            <w14:bevel/>
          </w14:textOutline>
        </w:rPr>
        <w:t>日</w:t>
      </w:r>
    </w:p>
    <w:sectPr>
      <w:footerReference r:id="rId6" w:type="default"/>
      <w:pgSz w:w="11906" w:h="16839"/>
      <w:pgMar w:top="1431" w:right="1589" w:bottom="1480" w:left="1586" w:header="0" w:footer="6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46" w:after="52" w:line="240" w:lineRule="auto"/>
      <w:ind w:firstLine="2994"/>
      <w:rPr>
        <w:rFonts w:ascii="宋体" w:hAnsi="宋体" w:eastAsia="宋体" w:cs="宋体"/>
        <w:spacing w:val="-1"/>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spacing w:before="46" w:after="52" w:line="240" w:lineRule="auto"/>
      <w:ind w:firstLine="2994"/>
      <w:rPr>
        <w:rFonts w:ascii="宋体" w:hAnsi="宋体" w:eastAsia="宋体" w:cs="宋体"/>
        <w:sz w:val="18"/>
        <w:szCs w:val="18"/>
      </w:rPr>
    </w:pPr>
    <w:r>
      <w:rPr>
        <w:rFonts w:ascii="宋体" w:hAnsi="宋体" w:eastAsia="宋体" w:cs="宋体"/>
        <w:spacing w:val="-1"/>
        <w:sz w:val="18"/>
        <w:szCs w:val="18"/>
      </w:rPr>
      <w:t>辽宁永信会计师事务所有限责任公司</w:t>
    </w:r>
  </w:p>
  <w:p>
    <w:pPr>
      <w:spacing w:line="240" w:lineRule="auto"/>
      <w:ind w:firstLine="1630"/>
      <w:rPr>
        <w:rFonts w:ascii="宋体" w:hAnsi="宋体" w:eastAsia="宋体" w:cs="宋体"/>
        <w:sz w:val="18"/>
        <w:szCs w:val="18"/>
      </w:rPr>
    </w:pPr>
    <w:r>
      <w:rPr>
        <w:rFonts w:ascii="宋体" w:hAnsi="宋体" w:eastAsia="宋体" w:cs="宋体"/>
        <w:spacing w:val="-8"/>
        <w:sz w:val="18"/>
        <w:szCs w:val="18"/>
      </w:rPr>
      <w:t>联系电话：</w:t>
    </w:r>
    <w:r>
      <w:rPr>
        <w:rFonts w:ascii="宋体" w:hAnsi="宋体" w:eastAsia="宋体" w:cs="宋体"/>
        <w:spacing w:val="53"/>
        <w:sz w:val="18"/>
        <w:szCs w:val="18"/>
      </w:rPr>
      <w:t xml:space="preserve"> </w:t>
    </w:r>
    <w:r>
      <w:rPr>
        <w:rFonts w:ascii="Times New Roman" w:hAnsi="Times New Roman" w:eastAsia="Times New Roman" w:cs="Times New Roman"/>
        <w:spacing w:val="-8"/>
        <w:sz w:val="18"/>
        <w:szCs w:val="18"/>
      </w:rPr>
      <w:t>024-22518366</w:t>
    </w:r>
    <w:r>
      <w:rPr>
        <w:rFonts w:ascii="Times New Roman" w:hAnsi="Times New Roman" w:eastAsia="Times New Roman" w:cs="Times New Roman"/>
        <w:w w:val="101"/>
        <w:sz w:val="18"/>
        <w:szCs w:val="18"/>
      </w:rPr>
      <w:t xml:space="preserve">        </w:t>
    </w:r>
    <w:r>
      <w:rPr>
        <w:rFonts w:ascii="宋体" w:hAnsi="宋体" w:eastAsia="宋体" w:cs="宋体"/>
        <w:spacing w:val="-8"/>
        <w:sz w:val="18"/>
        <w:szCs w:val="18"/>
      </w:rPr>
      <w:t>地址：</w:t>
    </w:r>
    <w:r>
      <w:rPr>
        <w:rFonts w:ascii="宋体" w:hAnsi="宋体" w:eastAsia="宋体" w:cs="宋体"/>
        <w:spacing w:val="48"/>
        <w:sz w:val="18"/>
        <w:szCs w:val="18"/>
      </w:rPr>
      <w:t xml:space="preserve"> </w:t>
    </w:r>
    <w:r>
      <w:rPr>
        <w:rFonts w:ascii="宋体" w:hAnsi="宋体" w:eastAsia="宋体" w:cs="宋体"/>
        <w:spacing w:val="-8"/>
        <w:sz w:val="18"/>
        <w:szCs w:val="18"/>
      </w:rPr>
      <w:t>辽宁省沈阳市和平区文化路</w:t>
    </w:r>
    <w:r>
      <w:rPr>
        <w:rFonts w:ascii="宋体" w:hAnsi="宋体" w:eastAsia="宋体" w:cs="宋体"/>
        <w:spacing w:val="-44"/>
        <w:sz w:val="18"/>
        <w:szCs w:val="18"/>
      </w:rPr>
      <w:t xml:space="preserve"> </w:t>
    </w:r>
    <w:r>
      <w:rPr>
        <w:rFonts w:ascii="Times New Roman" w:hAnsi="Times New Roman" w:eastAsia="Times New Roman" w:cs="Times New Roman"/>
        <w:spacing w:val="-8"/>
        <w:sz w:val="18"/>
        <w:szCs w:val="18"/>
      </w:rPr>
      <w:t>45</w:t>
    </w:r>
    <w:r>
      <w:rPr>
        <w:rFonts w:ascii="Times New Roman" w:hAnsi="Times New Roman" w:eastAsia="Times New Roman" w:cs="Times New Roman"/>
        <w:spacing w:val="11"/>
        <w:w w:val="101"/>
        <w:sz w:val="18"/>
        <w:szCs w:val="18"/>
      </w:rPr>
      <w:t xml:space="preserve"> </w:t>
    </w:r>
    <w:r>
      <w:rPr>
        <w:rFonts w:ascii="宋体" w:hAnsi="宋体" w:eastAsia="宋体" w:cs="宋体"/>
        <w:spacing w:val="-8"/>
        <w:sz w:val="18"/>
        <w:szCs w:val="18"/>
      </w:rPr>
      <w:t>号</w:t>
    </w:r>
    <w:r>
      <w:rPr>
        <w:rFonts w:ascii="宋体" w:hAnsi="宋体" w:eastAsia="宋体" w:cs="宋体"/>
        <w:spacing w:val="-42"/>
        <w:sz w:val="18"/>
        <w:szCs w:val="18"/>
      </w:rPr>
      <w:t xml:space="preserve"> </w:t>
    </w:r>
    <w:r>
      <w:rPr>
        <w:rFonts w:ascii="Times New Roman" w:hAnsi="Times New Roman" w:eastAsia="Times New Roman" w:cs="Times New Roman"/>
        <w:spacing w:val="-8"/>
        <w:sz w:val="18"/>
        <w:szCs w:val="18"/>
      </w:rPr>
      <w:t>401</w:t>
    </w:r>
    <w:r>
      <w:rPr>
        <w:rFonts w:ascii="Times New Roman" w:hAnsi="Times New Roman" w:eastAsia="Times New Roman" w:cs="Times New Roman"/>
        <w:spacing w:val="9"/>
        <w:w w:val="102"/>
        <w:sz w:val="18"/>
        <w:szCs w:val="18"/>
      </w:rPr>
      <w:t xml:space="preserve"> </w:t>
    </w:r>
    <w:r>
      <w:rPr>
        <w:rFonts w:ascii="宋体" w:hAnsi="宋体" w:eastAsia="宋体" w:cs="宋体"/>
        <w:spacing w:val="-8"/>
        <w:sz w:val="18"/>
        <w:szCs w:val="18"/>
      </w:rPr>
      <w:t>室。</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46" w:after="52" w:line="240" w:lineRule="auto"/>
      <w:ind w:firstLine="2994"/>
      <w:rPr>
        <w:rFonts w:ascii="宋体" w:hAnsi="宋体" w:eastAsia="宋体" w:cs="宋体"/>
        <w:sz w:val="18"/>
        <w:szCs w:val="18"/>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20</w:t>
                    </w:r>
                    <w:r>
                      <w:fldChar w:fldCharType="end"/>
                    </w:r>
                  </w:p>
                </w:txbxContent>
              </v:textbox>
            </v:shape>
          </w:pict>
        </mc:Fallback>
      </mc:AlternateContent>
    </w:r>
    <w:r>
      <w:drawing>
        <wp:anchor distT="0" distB="0" distL="0" distR="0" simplePos="0" relativeHeight="251660288" behindDoc="0" locked="0" layoutInCell="0" allowOverlap="1">
          <wp:simplePos x="0" y="0"/>
          <wp:positionH relativeFrom="page">
            <wp:posOffset>1007110</wp:posOffset>
          </wp:positionH>
          <wp:positionV relativeFrom="page">
            <wp:posOffset>9752965</wp:posOffset>
          </wp:positionV>
          <wp:extent cx="5544185" cy="6350"/>
          <wp:effectExtent l="0" t="0" r="0" b="0"/>
          <wp:wrapNone/>
          <wp:docPr id="3" name="IM 10"/>
          <wp:cNvGraphicFramePr/>
          <a:graphic xmlns:a="http://schemas.openxmlformats.org/drawingml/2006/main">
            <a:graphicData uri="http://schemas.openxmlformats.org/drawingml/2006/picture">
              <pic:pic xmlns:pic="http://schemas.openxmlformats.org/drawingml/2006/picture">
                <pic:nvPicPr>
                  <pic:cNvPr id="3" name="IM 10"/>
                  <pic:cNvPicPr/>
                </pic:nvPicPr>
                <pic:blipFill>
                  <a:blip r:embed="rId1"/>
                  <a:stretch>
                    <a:fillRect/>
                  </a:stretch>
                </pic:blipFill>
                <pic:spPr>
                  <a:xfrm>
                    <a:off x="0" y="0"/>
                    <a:ext cx="5544184" cy="6350"/>
                  </a:xfrm>
                  <a:prstGeom prst="rect">
                    <a:avLst/>
                  </a:prstGeom>
                </pic:spPr>
              </pic:pic>
            </a:graphicData>
          </a:graphic>
        </wp:anchor>
      </w:drawing>
    </w:r>
    <w:r>
      <w:rPr>
        <w:rFonts w:ascii="宋体" w:hAnsi="宋体" w:eastAsia="宋体" w:cs="宋体"/>
        <w:spacing w:val="-1"/>
        <w:sz w:val="18"/>
        <w:szCs w:val="18"/>
      </w:rPr>
      <w:t>辽宁永信会计师事务所有限责任公司</w:t>
    </w:r>
  </w:p>
  <w:p>
    <w:pPr>
      <w:spacing w:line="240" w:lineRule="auto"/>
      <w:ind w:firstLine="1630"/>
      <w:rPr>
        <w:rFonts w:ascii="宋体" w:hAnsi="宋体" w:eastAsia="宋体" w:cs="宋体"/>
        <w:sz w:val="18"/>
        <w:szCs w:val="18"/>
      </w:rPr>
    </w:pPr>
    <w:r>
      <w:rPr>
        <w:rFonts w:ascii="宋体" w:hAnsi="宋体" w:eastAsia="宋体" w:cs="宋体"/>
        <w:spacing w:val="-8"/>
        <w:sz w:val="18"/>
        <w:szCs w:val="18"/>
      </w:rPr>
      <w:t>联系电话：</w:t>
    </w:r>
    <w:r>
      <w:rPr>
        <w:rFonts w:ascii="宋体" w:hAnsi="宋体" w:eastAsia="宋体" w:cs="宋体"/>
        <w:spacing w:val="53"/>
        <w:sz w:val="18"/>
        <w:szCs w:val="18"/>
      </w:rPr>
      <w:t xml:space="preserve"> </w:t>
    </w:r>
    <w:r>
      <w:rPr>
        <w:rFonts w:ascii="Times New Roman" w:hAnsi="Times New Roman" w:eastAsia="Times New Roman" w:cs="Times New Roman"/>
        <w:spacing w:val="-8"/>
        <w:sz w:val="18"/>
        <w:szCs w:val="18"/>
      </w:rPr>
      <w:t>024-22518366</w:t>
    </w:r>
    <w:r>
      <w:rPr>
        <w:rFonts w:ascii="Times New Roman" w:hAnsi="Times New Roman" w:eastAsia="Times New Roman" w:cs="Times New Roman"/>
        <w:w w:val="101"/>
        <w:sz w:val="18"/>
        <w:szCs w:val="18"/>
      </w:rPr>
      <w:t xml:space="preserve">        </w:t>
    </w:r>
    <w:r>
      <w:rPr>
        <w:rFonts w:ascii="宋体" w:hAnsi="宋体" w:eastAsia="宋体" w:cs="宋体"/>
        <w:spacing w:val="-8"/>
        <w:sz w:val="18"/>
        <w:szCs w:val="18"/>
      </w:rPr>
      <w:t>地址：</w:t>
    </w:r>
    <w:r>
      <w:rPr>
        <w:rFonts w:ascii="宋体" w:hAnsi="宋体" w:eastAsia="宋体" w:cs="宋体"/>
        <w:spacing w:val="48"/>
        <w:sz w:val="18"/>
        <w:szCs w:val="18"/>
      </w:rPr>
      <w:t xml:space="preserve"> </w:t>
    </w:r>
    <w:r>
      <w:rPr>
        <w:rFonts w:ascii="宋体" w:hAnsi="宋体" w:eastAsia="宋体" w:cs="宋体"/>
        <w:spacing w:val="-8"/>
        <w:sz w:val="18"/>
        <w:szCs w:val="18"/>
      </w:rPr>
      <w:t>辽宁省沈阳市和平区文化路</w:t>
    </w:r>
    <w:r>
      <w:rPr>
        <w:rFonts w:ascii="宋体" w:hAnsi="宋体" w:eastAsia="宋体" w:cs="宋体"/>
        <w:spacing w:val="-44"/>
        <w:sz w:val="18"/>
        <w:szCs w:val="18"/>
      </w:rPr>
      <w:t xml:space="preserve"> </w:t>
    </w:r>
    <w:r>
      <w:rPr>
        <w:rFonts w:ascii="Times New Roman" w:hAnsi="Times New Roman" w:eastAsia="Times New Roman" w:cs="Times New Roman"/>
        <w:spacing w:val="-8"/>
        <w:sz w:val="18"/>
        <w:szCs w:val="18"/>
      </w:rPr>
      <w:t>45</w:t>
    </w:r>
    <w:r>
      <w:rPr>
        <w:rFonts w:ascii="Times New Roman" w:hAnsi="Times New Roman" w:eastAsia="Times New Roman" w:cs="Times New Roman"/>
        <w:spacing w:val="11"/>
        <w:w w:val="101"/>
        <w:sz w:val="18"/>
        <w:szCs w:val="18"/>
      </w:rPr>
      <w:t xml:space="preserve"> </w:t>
    </w:r>
    <w:r>
      <w:rPr>
        <w:rFonts w:ascii="宋体" w:hAnsi="宋体" w:eastAsia="宋体" w:cs="宋体"/>
        <w:spacing w:val="-8"/>
        <w:sz w:val="18"/>
        <w:szCs w:val="18"/>
      </w:rPr>
      <w:t>号</w:t>
    </w:r>
    <w:r>
      <w:rPr>
        <w:rFonts w:ascii="宋体" w:hAnsi="宋体" w:eastAsia="宋体" w:cs="宋体"/>
        <w:spacing w:val="-42"/>
        <w:sz w:val="18"/>
        <w:szCs w:val="18"/>
      </w:rPr>
      <w:t xml:space="preserve"> </w:t>
    </w:r>
    <w:r>
      <w:rPr>
        <w:rFonts w:ascii="Times New Roman" w:hAnsi="Times New Roman" w:eastAsia="Times New Roman" w:cs="Times New Roman"/>
        <w:spacing w:val="-8"/>
        <w:sz w:val="18"/>
        <w:szCs w:val="18"/>
      </w:rPr>
      <w:t>401</w:t>
    </w:r>
    <w:r>
      <w:rPr>
        <w:rFonts w:ascii="Times New Roman" w:hAnsi="Times New Roman" w:eastAsia="Times New Roman" w:cs="Times New Roman"/>
        <w:spacing w:val="9"/>
        <w:w w:val="102"/>
        <w:sz w:val="18"/>
        <w:szCs w:val="18"/>
      </w:rPr>
      <w:t xml:space="preserve"> </w:t>
    </w:r>
    <w:r>
      <w:rPr>
        <w:rFonts w:ascii="宋体" w:hAnsi="宋体" w:eastAsia="宋体" w:cs="宋体"/>
        <w:spacing w:val="-8"/>
        <w:sz w:val="18"/>
        <w:szCs w:val="18"/>
      </w:rPr>
      <w:t>室。</w:t>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defaultTabStop w:val="501"/>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19B16ED"/>
    <w:rsid w:val="46FC37FA"/>
    <w:rsid w:val="69FC1BE0"/>
    <w:rsid w:val="7B56102F"/>
    <w:rsid w:val="7BE049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rPr>
      <w:szCs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center"/>
      <w:outlineLvl w:val="9"/>
    </w:pPr>
    <w:rPr>
      <w:sz w:val="18"/>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8431</Words>
  <Characters>9152</Characters>
  <Lines>0</Lines>
  <Paragraphs>0</Paragraphs>
  <TotalTime>13</TotalTime>
  <ScaleCrop>false</ScaleCrop>
  <LinksUpToDate>false</LinksUpToDate>
  <CharactersWithSpaces>9239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2021-11-24T13:56:00Z</dcterms:created>
  <dc:creator>Administrator</dc:creator>
  <cp:lastModifiedBy>云出无心鸟倦知返</cp:lastModifiedBy>
  <dcterms:modified xsi:type="dcterms:W3CDTF">2022-01-06T03:08:54Z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2021-12-11T10:37:00Z</vt:filetime>
  </property>
  <property fmtid="{D5CDD505-2E9C-101B-9397-08002B2CF9AE}" pid="4" name="KSOProductBuildVer">
    <vt:lpwstr>2052-11.1.0.11194</vt:lpwstr>
  </property>
  <property fmtid="{D5CDD505-2E9C-101B-9397-08002B2CF9AE}" pid="5" name="ICV">
    <vt:lpwstr>7345A050A7574D5D84058F63B592A610</vt:lpwstr>
  </property>
</Properties>
</file>