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53" w:rsidRDefault="000A0A17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/>
          <w:b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Times New Roman" w:hint="eastAsia"/>
          <w:b/>
          <w:sz w:val="44"/>
          <w:szCs w:val="44"/>
          <w:shd w:val="clear" w:color="auto" w:fill="FFFFFF"/>
        </w:rPr>
        <w:t>甘泉镇</w:t>
      </w:r>
      <w:r w:rsidR="00CB298C">
        <w:rPr>
          <w:rFonts w:ascii="方正小标宋简体" w:eastAsia="方正小标宋简体" w:hAnsi="Times New Roman" w:hint="eastAsia"/>
          <w:b/>
          <w:sz w:val="44"/>
          <w:szCs w:val="44"/>
          <w:shd w:val="clear" w:color="auto" w:fill="FFFFFF"/>
        </w:rPr>
        <w:t>2022年</w:t>
      </w:r>
      <w:r>
        <w:rPr>
          <w:rFonts w:ascii="方正小标宋简体" w:eastAsia="方正小标宋简体" w:hAnsi="Times New Roman" w:hint="eastAsia"/>
          <w:b/>
          <w:sz w:val="44"/>
          <w:szCs w:val="44"/>
          <w:shd w:val="clear" w:color="auto" w:fill="FFFFFF"/>
        </w:rPr>
        <w:t>政府信息公开</w:t>
      </w:r>
    </w:p>
    <w:p w:rsidR="009B3553" w:rsidRDefault="000A0A17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/>
          <w:b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Times New Roman" w:hint="eastAsia"/>
          <w:b/>
          <w:sz w:val="44"/>
          <w:szCs w:val="44"/>
          <w:shd w:val="clear" w:color="auto" w:fill="FFFFFF"/>
        </w:rPr>
        <w:t>工作年度报告</w:t>
      </w:r>
    </w:p>
    <w:p w:rsidR="009B3553" w:rsidRPr="005E3494" w:rsidRDefault="003A5644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" w:eastAsia="仿宋" w:hAnsi="仿宋"/>
          <w:color w:val="282828"/>
          <w:sz w:val="32"/>
          <w:szCs w:val="32"/>
          <w:shd w:val="clear" w:color="auto" w:fill="FFFFFF"/>
        </w:rPr>
      </w:pPr>
      <w:r w:rsidRPr="003A564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根据《中华人民共和国政府信息公开条例》及《中华人民共和国政府信息公开工作年度报告格式》（国办公开办函〔</w:t>
      </w:r>
      <w:r w:rsidRPr="003A564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>2021〕30号）相关要求，现公开</w:t>
      </w:r>
      <w:r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甘泉镇</w:t>
      </w:r>
      <w:r w:rsidRPr="003A564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>2022年政府信息公开工作年度报告。</w:t>
      </w:r>
    </w:p>
    <w:p w:rsidR="00CB298C" w:rsidRPr="005E3494" w:rsidRDefault="005E3494" w:rsidP="002E1CE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/>
          <w:b/>
          <w:color w:val="282828"/>
          <w:sz w:val="32"/>
          <w:szCs w:val="32"/>
          <w:shd w:val="clear" w:color="auto" w:fill="FFFFFF"/>
        </w:rPr>
      </w:pPr>
      <w:r w:rsidRPr="005E349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一、</w:t>
      </w:r>
      <w:r w:rsidR="000A0A17" w:rsidRPr="005E349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总体情况</w:t>
      </w:r>
    </w:p>
    <w:p w:rsidR="00CB298C" w:rsidRPr="005E3494" w:rsidRDefault="00CB298C" w:rsidP="002E1CED">
      <w:pPr>
        <w:ind w:firstLineChars="200" w:firstLine="640"/>
        <w:rPr>
          <w:rFonts w:ascii="仿宋" w:eastAsia="仿宋" w:hAnsi="仿宋"/>
          <w:color w:val="282828"/>
          <w:sz w:val="32"/>
          <w:szCs w:val="32"/>
          <w:shd w:val="clear" w:color="auto" w:fill="FFFFFF"/>
        </w:rPr>
      </w:pPr>
      <w:r w:rsidRPr="005E349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>2022年，我镇认真贯彻国家和省、市、</w:t>
      </w:r>
      <w:r w:rsidR="00203F72"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区</w:t>
      </w:r>
      <w:r w:rsidRPr="005E349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>关于政务公开和政府信息公开的有关要求，继续执行《条例》和《规定》，坚持依法行政，深化信息公开，不断增强工作透明度，充分发挥基层人民政府作为国家重要桥头堡作用，保障人民群众的知情权、参与权和监督权。</w:t>
      </w:r>
    </w:p>
    <w:p w:rsidR="00CB298C" w:rsidRPr="005E3494" w:rsidRDefault="00CB298C" w:rsidP="005E3494">
      <w:pPr>
        <w:ind w:firstLineChars="150" w:firstLine="482"/>
        <w:rPr>
          <w:rFonts w:ascii="仿宋" w:eastAsia="仿宋" w:hAnsi="仿宋"/>
          <w:color w:val="282828"/>
          <w:sz w:val="32"/>
          <w:szCs w:val="32"/>
          <w:shd w:val="clear" w:color="auto" w:fill="FFFFFF"/>
        </w:rPr>
      </w:pPr>
      <w:r w:rsidRPr="005E349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（一）主动公开</w:t>
      </w:r>
      <w:r w:rsidR="003A564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政府信息</w:t>
      </w:r>
      <w:r w:rsidRPr="005E349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情况。</w:t>
      </w:r>
      <w:r w:rsidR="005E3494"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根据《条例》和政府信息公开工作的有关规定和要求，秉承以公开为常态，不公开为例外的原则，做到应公开尽公开，</w:t>
      </w:r>
      <w:r w:rsidR="005E3494" w:rsidRPr="005E349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 xml:space="preserve"> </w:t>
      </w:r>
      <w:r w:rsidRPr="005E349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>2022年主动公开信息内容</w:t>
      </w:r>
      <w:r w:rsidR="005E3494"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30余条。</w:t>
      </w:r>
    </w:p>
    <w:p w:rsidR="00CB298C" w:rsidRPr="005E3494" w:rsidRDefault="00CB298C" w:rsidP="005E3494">
      <w:pPr>
        <w:ind w:firstLineChars="150" w:firstLine="482"/>
        <w:rPr>
          <w:rFonts w:ascii="仿宋" w:eastAsia="仿宋" w:hAnsi="仿宋"/>
          <w:color w:val="282828"/>
          <w:sz w:val="32"/>
          <w:szCs w:val="32"/>
          <w:shd w:val="clear" w:color="auto" w:fill="FFFFFF"/>
        </w:rPr>
      </w:pPr>
      <w:r w:rsidRPr="005E349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（二）依申请公开</w:t>
      </w:r>
      <w:r w:rsidR="003A564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政府信息</w:t>
      </w:r>
      <w:r w:rsidRPr="005E349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情况。</w:t>
      </w:r>
      <w:r w:rsidRPr="005E349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>2022年</w:t>
      </w:r>
      <w:r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甘泉镇</w:t>
      </w:r>
      <w:r w:rsidRPr="005E349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>暂无依申请公开的政务信息。</w:t>
      </w:r>
    </w:p>
    <w:p w:rsidR="00CB298C" w:rsidRPr="005E3494" w:rsidRDefault="00CB298C" w:rsidP="005E3494">
      <w:pPr>
        <w:ind w:firstLineChars="150" w:firstLine="482"/>
        <w:rPr>
          <w:rFonts w:ascii="仿宋" w:eastAsia="仿宋" w:hAnsi="仿宋"/>
          <w:color w:val="282828"/>
          <w:sz w:val="32"/>
          <w:szCs w:val="32"/>
          <w:shd w:val="clear" w:color="auto" w:fill="FFFFFF"/>
        </w:rPr>
      </w:pPr>
      <w:r w:rsidRPr="005E349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（三）政务信息管理</w:t>
      </w:r>
      <w:r w:rsidR="003A564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方面</w:t>
      </w:r>
      <w:r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。我镇严格按照“格式规范、内容全面、数据准确”的要求，根据我镇的实际，突出重点，创新形式，通过公示栏、电子显示屏等多种渠道将政府信息公开向基层群众延伸，为公众就近获取政府信息提供便利，不断提高政府信息公开质量。</w:t>
      </w:r>
    </w:p>
    <w:p w:rsidR="002E1CED" w:rsidRDefault="00CB298C" w:rsidP="002E1CED">
      <w:pPr>
        <w:ind w:firstLineChars="100" w:firstLine="321"/>
        <w:rPr>
          <w:rFonts w:ascii="仿宋" w:eastAsia="仿宋" w:hAnsi="仿宋"/>
          <w:color w:val="282828"/>
          <w:sz w:val="32"/>
          <w:szCs w:val="32"/>
          <w:shd w:val="clear" w:color="auto" w:fill="FFFFFF"/>
        </w:rPr>
      </w:pPr>
      <w:r w:rsidRPr="002E1CED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lastRenderedPageBreak/>
        <w:t>（四）政府信息公开平台建设</w:t>
      </w:r>
      <w:r w:rsidR="003A564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方面</w:t>
      </w:r>
      <w:r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。</w:t>
      </w:r>
      <w:r w:rsidR="005E3494"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加强网站信息公开内容保障，严格落实政府网站信息发布审核制度，按照“谁发布、谁审核”“谁审核、谁负责”的原则发布各类政务信息，确保网站发布权威、公开及时和信息安全。</w:t>
      </w:r>
    </w:p>
    <w:p w:rsidR="005E3494" w:rsidRPr="005E3494" w:rsidRDefault="00CB298C" w:rsidP="002E1CED">
      <w:pPr>
        <w:ind w:firstLineChars="150" w:firstLine="482"/>
        <w:rPr>
          <w:rFonts w:ascii="仿宋" w:eastAsia="仿宋" w:hAnsi="仿宋"/>
          <w:color w:val="282828"/>
          <w:sz w:val="32"/>
          <w:szCs w:val="32"/>
          <w:shd w:val="clear" w:color="auto" w:fill="FFFFFF"/>
        </w:rPr>
      </w:pPr>
      <w:r w:rsidRPr="002E1CED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（五）监督保障</w:t>
      </w:r>
      <w:r w:rsidR="003A564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方面</w:t>
      </w:r>
      <w:r w:rsidRPr="002E1CED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。</w:t>
      </w:r>
      <w:r w:rsidR="005E3494"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深入学习《条例》等有关文件精神，制定职责明确、规范有序的政务公开工作机制</w:t>
      </w:r>
      <w:r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建立起主要领导负总责、分管领导主抓，有关部门配合，责任落到科室、落实到具体人员的工作机制。进一步完善政务公开各项制度，确保政府信息公开工作持续良好开展。我镇坚持考核评估，强化监督，健全完善监督机制，使我镇政务信息公开工作进一步规范化、制度化。</w:t>
      </w:r>
    </w:p>
    <w:p w:rsidR="009B3553" w:rsidRPr="005E3494" w:rsidRDefault="000A0A17">
      <w:pPr>
        <w:pStyle w:val="a6"/>
        <w:shd w:val="clear" w:color="auto" w:fill="FFFFFF"/>
        <w:spacing w:before="0" w:beforeAutospacing="0" w:after="240" w:afterAutospacing="0" w:line="560" w:lineRule="exact"/>
        <w:ind w:firstLineChars="196" w:firstLine="630"/>
        <w:jc w:val="both"/>
        <w:rPr>
          <w:rFonts w:ascii="仿宋" w:eastAsia="仿宋" w:hAnsi="仿宋"/>
          <w:sz w:val="32"/>
          <w:szCs w:val="32"/>
        </w:rPr>
      </w:pPr>
      <w:r w:rsidRPr="005E3494">
        <w:rPr>
          <w:rFonts w:ascii="仿宋" w:eastAsia="仿宋" w:hAnsi="仿宋"/>
          <w:b/>
          <w:sz w:val="32"/>
          <w:szCs w:val="32"/>
          <w:shd w:val="clear" w:color="auto" w:fill="FFFFFF"/>
        </w:rPr>
        <w:t>二、主动公开政府信息情况</w:t>
      </w: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35"/>
        <w:gridCol w:w="2435"/>
        <w:gridCol w:w="2435"/>
        <w:gridCol w:w="2435"/>
      </w:tblGrid>
      <w:tr w:rsidR="009B3553" w:rsidRPr="005E3494">
        <w:trPr>
          <w:trHeight w:val="567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第二十条第（一）项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本年</w:t>
            </w: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现行有效件</w:t>
            </w: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数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第二十条第（五）项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本年处理决定数量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第二十条第（六）项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本年处理决定数量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第二十条第（八）项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本年收费金额（单位：万元）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</w:t>
            </w:r>
          </w:p>
        </w:tc>
      </w:tr>
    </w:tbl>
    <w:p w:rsidR="009B3553" w:rsidRPr="005E3494" w:rsidRDefault="000A0A17">
      <w:pPr>
        <w:pStyle w:val="a6"/>
        <w:shd w:val="clear" w:color="auto" w:fill="FFFFFF"/>
        <w:spacing w:before="0" w:beforeAutospacing="0" w:after="240" w:afterAutospacing="0" w:line="560" w:lineRule="exact"/>
        <w:ind w:firstLineChars="196" w:firstLine="630"/>
        <w:jc w:val="both"/>
        <w:rPr>
          <w:rFonts w:ascii="仿宋" w:eastAsia="仿宋" w:hAnsi="仿宋" w:cs="宋体"/>
          <w:bCs/>
          <w:color w:val="FF0000"/>
          <w:sz w:val="32"/>
          <w:szCs w:val="32"/>
        </w:rPr>
      </w:pPr>
      <w:r w:rsidRPr="005E3494">
        <w:rPr>
          <w:rFonts w:ascii="仿宋" w:eastAsia="仿宋" w:hAnsi="仿宋"/>
          <w:b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42"/>
        <w:gridCol w:w="1223"/>
        <w:gridCol w:w="2308"/>
        <w:gridCol w:w="490"/>
        <w:gridCol w:w="536"/>
        <w:gridCol w:w="536"/>
        <w:gridCol w:w="632"/>
        <w:gridCol w:w="632"/>
        <w:gridCol w:w="536"/>
        <w:gridCol w:w="536"/>
      </w:tblGrid>
      <w:tr w:rsidR="009B3553" w:rsidRPr="005E3494" w:rsidTr="00C61DC9">
        <w:trPr>
          <w:jc w:val="center"/>
        </w:trPr>
        <w:tc>
          <w:tcPr>
            <w:tcW w:w="276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楷体"/>
                <w:color w:val="282828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223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申请人情况</w:t>
            </w:r>
          </w:p>
        </w:tc>
      </w:tr>
      <w:tr w:rsidR="009B3553" w:rsidRPr="005E3494" w:rsidTr="00C61DC9">
        <w:trPr>
          <w:jc w:val="center"/>
        </w:trPr>
        <w:tc>
          <w:tcPr>
            <w:tcW w:w="276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311" w:type="pct"/>
            <w:vMerge w:val="restar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自然人</w:t>
            </w:r>
          </w:p>
        </w:tc>
        <w:tc>
          <w:tcPr>
            <w:tcW w:w="1640" w:type="pct"/>
            <w:gridSpan w:val="5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法人或其他组织</w:t>
            </w:r>
          </w:p>
        </w:tc>
        <w:tc>
          <w:tcPr>
            <w:tcW w:w="284" w:type="pct"/>
            <w:vMerge w:val="restart"/>
            <w:tcBorders>
              <w:top w:val="single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总计</w:t>
            </w:r>
          </w:p>
        </w:tc>
      </w:tr>
      <w:tr w:rsidR="009B3553" w:rsidRPr="005E3494" w:rsidTr="00C61DC9">
        <w:trPr>
          <w:jc w:val="center"/>
        </w:trPr>
        <w:tc>
          <w:tcPr>
            <w:tcW w:w="276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311" w:type="pct"/>
            <w:vMerge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商业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企业</w:t>
            </w:r>
          </w:p>
        </w:tc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科研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机构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社会公益组织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法律服务机构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其他</w:t>
            </w: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276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 w:rsidP="00C61DC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276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 w:rsidP="00C61DC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 w:val="restart"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三、本年度办理结果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（一）予以公开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（二）部分公开</w:t>
            </w:r>
            <w:r w:rsidRPr="005E3494">
              <w:rPr>
                <w:rFonts w:ascii="仿宋" w:eastAsia="仿宋" w:hAnsi="仿宋" w:cs="楷体" w:hint="eastAsia"/>
                <w:color w:val="282828"/>
                <w:sz w:val="32"/>
                <w:szCs w:val="32"/>
              </w:rPr>
              <w:t>（区分处理的，只计这一情形，不计其他情形）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 w:rsidP="00CB298C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（三）不予公</w:t>
            </w: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lastRenderedPageBreak/>
              <w:t>开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lastRenderedPageBreak/>
              <w:t>1.属于国家秘密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2.其他法律行政法规禁止公开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3.危及“三安全一稳定”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4.保护第三方合法权益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5.属于三类内部事务信息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6.属于四类过程性信息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7.属于行政执法案卷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8.属于行政查询事项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（四）无法提供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1.本机关不掌握相关政府信息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2.没有现成信息需要另行制作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3.补正后申请内容仍不明确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（五）</w:t>
            </w: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lastRenderedPageBreak/>
              <w:t>不予处理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lastRenderedPageBreak/>
              <w:t>1.信访举报投</w:t>
            </w: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lastRenderedPageBreak/>
              <w:t>诉类申请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lastRenderedPageBreak/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2.重复申请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3.要求提供公开出版物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4.无正当理由大量反复申请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311" w:type="pc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 w:val="restart"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（六）其他处理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 w:rsidP="00C61DC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 w:rsidP="00C61DC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 w:rsidP="00C61DC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 w:rsidP="00C61DC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 w:rsidP="00C61DC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 w:rsidP="00C61DC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 w:rsidP="00C61DC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3.其他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（七）总计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5E349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5E349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jc w:val="center"/>
        </w:trPr>
        <w:tc>
          <w:tcPr>
            <w:tcW w:w="2765" w:type="pct"/>
            <w:gridSpan w:val="3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lastRenderedPageBreak/>
              <w:t>四、结转下年度继续办理</w:t>
            </w:r>
          </w:p>
        </w:tc>
        <w:tc>
          <w:tcPr>
            <w:tcW w:w="311" w:type="pc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</w:tbl>
    <w:p w:rsidR="009B3553" w:rsidRPr="002E1CED" w:rsidRDefault="000A0A17" w:rsidP="002E1CED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" w:eastAsia="仿宋" w:hAnsi="仿宋"/>
          <w:b/>
          <w:sz w:val="32"/>
          <w:szCs w:val="32"/>
          <w:shd w:val="clear" w:color="auto" w:fill="FFFFFF"/>
        </w:rPr>
      </w:pPr>
      <w:r w:rsidRPr="002E1CED">
        <w:rPr>
          <w:rFonts w:ascii="仿宋" w:eastAsia="仿宋" w:hAnsi="仿宋"/>
          <w:b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9B3553" w:rsidRPr="005E3494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行政诉讼</w:t>
            </w:r>
          </w:p>
        </w:tc>
      </w:tr>
      <w:tr w:rsidR="009B3553" w:rsidRPr="005E3494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结果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其他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尚未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复议后起诉</w:t>
            </w:r>
          </w:p>
        </w:tc>
      </w:tr>
      <w:tr w:rsidR="009B3553" w:rsidRPr="005E3494"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sz w:val="32"/>
                <w:szCs w:val="3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sz w:val="32"/>
                <w:szCs w:val="32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sz w:val="32"/>
                <w:szCs w:val="32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sz w:val="32"/>
                <w:szCs w:val="32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结果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结果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其他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尚未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结果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结果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其他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尚未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总计</w:t>
            </w:r>
          </w:p>
        </w:tc>
      </w:tr>
      <w:tr w:rsidR="009B3553" w:rsidRPr="005E3494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 w:rsidP="00C61DC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  <w:r w:rsidRPr="005E3494">
              <w:rPr>
                <w:rFonts w:ascii="仿宋" w:eastAsia="仿宋" w:hAnsi="仿宋" w:cs="微软雅黑" w:hint="eastAsia"/>
                <w:color w:val="282828"/>
                <w:sz w:val="32"/>
                <w:szCs w:val="32"/>
              </w:rPr>
              <w:t>0</w:t>
            </w:r>
          </w:p>
        </w:tc>
      </w:tr>
    </w:tbl>
    <w:p w:rsidR="002E1CED" w:rsidRPr="002E1CED" w:rsidRDefault="000A0A17" w:rsidP="002E1CED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" w:eastAsia="仿宋" w:hAnsi="仿宋"/>
          <w:b/>
          <w:sz w:val="32"/>
          <w:szCs w:val="32"/>
          <w:shd w:val="clear" w:color="auto" w:fill="FFFFFF"/>
        </w:rPr>
      </w:pPr>
      <w:r w:rsidRPr="002E1CED">
        <w:rPr>
          <w:rFonts w:ascii="仿宋" w:eastAsia="仿宋" w:hAnsi="仿宋"/>
          <w:b/>
          <w:sz w:val="32"/>
          <w:szCs w:val="32"/>
          <w:shd w:val="clear" w:color="auto" w:fill="FFFFFF"/>
        </w:rPr>
        <w:t>五、存在的主要问题及改进情况</w:t>
      </w:r>
    </w:p>
    <w:p w:rsidR="002E1CED" w:rsidRDefault="005E3494" w:rsidP="002E1CED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" w:eastAsia="仿宋" w:hAnsi="仿宋"/>
          <w:sz w:val="32"/>
          <w:szCs w:val="32"/>
          <w:shd w:val="clear" w:color="auto" w:fill="FFFFFF"/>
        </w:rPr>
      </w:pPr>
      <w:r w:rsidRPr="005E349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>2022年度，我</w:t>
      </w:r>
      <w:r w:rsidR="002E1CED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镇</w:t>
      </w:r>
      <w:r w:rsidRPr="005E349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>的政府信息公开工作取得了一定的成绩，但也还存在着政府信息公开更新不及时、政策解读形式单一等问题。为此，我</w:t>
      </w:r>
      <w:r w:rsidR="002E1CED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镇</w:t>
      </w:r>
      <w:r w:rsidRPr="005E349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>将在下一年度采取更切实有效的措施认真加以改进，积极做好以下几个方面：</w:t>
      </w:r>
    </w:p>
    <w:p w:rsidR="002E1CED" w:rsidRDefault="005E3494" w:rsidP="002E1CED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" w:eastAsia="仿宋" w:hAnsi="仿宋"/>
          <w:color w:val="282828"/>
          <w:sz w:val="32"/>
          <w:szCs w:val="32"/>
          <w:shd w:val="clear" w:color="auto" w:fill="FFFFFF"/>
        </w:rPr>
      </w:pPr>
      <w:r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（一）进一步提升公开质量。进一步完善政府信息公开内容审查、发布、更新维护等，确保信息发布及时准确。进一步做好决策预公开，及时回应公众关切，不断提升公开质量。</w:t>
      </w:r>
      <w:r w:rsidR="002E1CED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</w:t>
      </w:r>
    </w:p>
    <w:p w:rsidR="005E3494" w:rsidRPr="002E1CED" w:rsidRDefault="002E1CED" w:rsidP="002E1CED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（</w:t>
      </w:r>
      <w:r w:rsidR="005E3494"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二）进一步提升透明度。做到非涉密的政府信息及时公开，重大项目全程公开，进一步拓宽政府信息公开方式，拓展政府信息公开的深度。</w:t>
      </w:r>
    </w:p>
    <w:p w:rsidR="009B3553" w:rsidRPr="005E3494" w:rsidRDefault="005E3494" w:rsidP="005E3494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282828"/>
          <w:sz w:val="32"/>
          <w:szCs w:val="32"/>
          <w:shd w:val="clear" w:color="auto" w:fill="FFFFFF"/>
        </w:rPr>
      </w:pPr>
      <w:r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（三）进一步提升业务水平。加强对政府信息公开工作知识的学习和培训，着力建好机制、建强队伍，不断提升机关干部对政府信息公开工作的认识和行动自觉，提高政府信息公开工作水平。</w:t>
      </w:r>
    </w:p>
    <w:p w:rsidR="009B3553" w:rsidRPr="002E1CED" w:rsidRDefault="000A0A17" w:rsidP="002E1CE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/>
          <w:b/>
          <w:color w:val="282828"/>
          <w:sz w:val="32"/>
          <w:szCs w:val="32"/>
          <w:shd w:val="clear" w:color="auto" w:fill="FFFFFF"/>
        </w:rPr>
      </w:pPr>
      <w:r w:rsidRPr="002E1CED">
        <w:rPr>
          <w:rFonts w:ascii="仿宋" w:eastAsia="仿宋" w:hAnsi="仿宋"/>
          <w:b/>
          <w:color w:val="282828"/>
          <w:sz w:val="32"/>
          <w:szCs w:val="32"/>
          <w:shd w:val="clear" w:color="auto" w:fill="FFFFFF"/>
        </w:rPr>
        <w:lastRenderedPageBreak/>
        <w:t>六、其他需要报告的事项</w:t>
      </w:r>
    </w:p>
    <w:p w:rsidR="000A0A17" w:rsidRPr="005E3494" w:rsidRDefault="00EF27F1" w:rsidP="00EF27F1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20"/>
        <w:jc w:val="both"/>
        <w:rPr>
          <w:rFonts w:ascii="仿宋" w:eastAsia="仿宋" w:hAnsi="仿宋"/>
          <w:color w:val="282828"/>
          <w:sz w:val="32"/>
          <w:szCs w:val="32"/>
          <w:shd w:val="clear" w:color="auto" w:fill="FFFFFF"/>
        </w:rPr>
      </w:pPr>
      <w:r w:rsidRPr="00173F55">
        <w:rPr>
          <w:rFonts w:ascii="仿宋_GB2312" w:eastAsia="仿宋_GB2312" w:hAnsi="微软雅黑" w:cs="仿宋_GB2312" w:hint="eastAsia"/>
          <w:color w:val="333333"/>
          <w:sz w:val="31"/>
          <w:szCs w:val="31"/>
          <w:shd w:val="clear" w:color="auto" w:fill="FFFFFF"/>
        </w:rPr>
        <w:t>2022年，</w:t>
      </w:r>
      <w:r>
        <w:rPr>
          <w:rFonts w:ascii="仿宋_GB2312" w:eastAsia="仿宋_GB2312" w:hAnsi="微软雅黑" w:cs="仿宋_GB2312" w:hint="eastAsia"/>
          <w:color w:val="333333"/>
          <w:sz w:val="31"/>
          <w:szCs w:val="31"/>
          <w:shd w:val="clear" w:color="auto" w:fill="FFFFFF"/>
        </w:rPr>
        <w:t>无依申请公开信息处理费。</w:t>
      </w:r>
    </w:p>
    <w:sectPr w:rsidR="000A0A17" w:rsidRPr="005E3494" w:rsidSect="009B35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DB3" w:rsidRDefault="00A92DB3" w:rsidP="00EF27F1">
      <w:r>
        <w:separator/>
      </w:r>
    </w:p>
  </w:endnote>
  <w:endnote w:type="continuationSeparator" w:id="1">
    <w:p w:rsidR="00A92DB3" w:rsidRDefault="00A92DB3" w:rsidP="00EF2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DB3" w:rsidRDefault="00A92DB3" w:rsidP="00EF27F1">
      <w:r>
        <w:separator/>
      </w:r>
    </w:p>
  </w:footnote>
  <w:footnote w:type="continuationSeparator" w:id="1">
    <w:p w:rsidR="00A92DB3" w:rsidRDefault="00A92DB3" w:rsidP="00EF2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56E1"/>
    <w:multiLevelType w:val="hybridMultilevel"/>
    <w:tmpl w:val="7BB2C8EA"/>
    <w:lvl w:ilvl="0" w:tplc="D54EB0B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B6B"/>
    <w:rsid w:val="000A0A17"/>
    <w:rsid w:val="000B10BC"/>
    <w:rsid w:val="001020DF"/>
    <w:rsid w:val="001B2B6B"/>
    <w:rsid w:val="00203F72"/>
    <w:rsid w:val="0025042F"/>
    <w:rsid w:val="002E1CED"/>
    <w:rsid w:val="0038528B"/>
    <w:rsid w:val="003A5644"/>
    <w:rsid w:val="00431E83"/>
    <w:rsid w:val="005E3494"/>
    <w:rsid w:val="007B0734"/>
    <w:rsid w:val="008A60E5"/>
    <w:rsid w:val="00941255"/>
    <w:rsid w:val="009A5B48"/>
    <w:rsid w:val="009B3553"/>
    <w:rsid w:val="00A92DB3"/>
    <w:rsid w:val="00AA63C9"/>
    <w:rsid w:val="00B04EF5"/>
    <w:rsid w:val="00B4447D"/>
    <w:rsid w:val="00B945C8"/>
    <w:rsid w:val="00C61DC9"/>
    <w:rsid w:val="00CB298C"/>
    <w:rsid w:val="00CC3D22"/>
    <w:rsid w:val="00CD4086"/>
    <w:rsid w:val="00EF27F1"/>
    <w:rsid w:val="00EF49DE"/>
    <w:rsid w:val="00F0214D"/>
    <w:rsid w:val="011361A8"/>
    <w:rsid w:val="01F31093"/>
    <w:rsid w:val="02D908C6"/>
    <w:rsid w:val="03107DF8"/>
    <w:rsid w:val="04807163"/>
    <w:rsid w:val="050F3B47"/>
    <w:rsid w:val="052925A6"/>
    <w:rsid w:val="052F433E"/>
    <w:rsid w:val="05D73825"/>
    <w:rsid w:val="07E71384"/>
    <w:rsid w:val="088832C4"/>
    <w:rsid w:val="08904C94"/>
    <w:rsid w:val="08D9350B"/>
    <w:rsid w:val="096302FD"/>
    <w:rsid w:val="0BF94705"/>
    <w:rsid w:val="0C9478DC"/>
    <w:rsid w:val="11252D1B"/>
    <w:rsid w:val="112F545F"/>
    <w:rsid w:val="13553818"/>
    <w:rsid w:val="13DA1797"/>
    <w:rsid w:val="149020EF"/>
    <w:rsid w:val="14DE170E"/>
    <w:rsid w:val="16C320F9"/>
    <w:rsid w:val="19700F21"/>
    <w:rsid w:val="1B2B4F7C"/>
    <w:rsid w:val="1DF116ED"/>
    <w:rsid w:val="1DF945B7"/>
    <w:rsid w:val="21B4271C"/>
    <w:rsid w:val="244C5FEE"/>
    <w:rsid w:val="24792B2A"/>
    <w:rsid w:val="257F61E2"/>
    <w:rsid w:val="271118BF"/>
    <w:rsid w:val="27FE3C46"/>
    <w:rsid w:val="28C37697"/>
    <w:rsid w:val="2A840ED4"/>
    <w:rsid w:val="2C591B63"/>
    <w:rsid w:val="2C595C80"/>
    <w:rsid w:val="2FEC2FDE"/>
    <w:rsid w:val="30844C93"/>
    <w:rsid w:val="31A77395"/>
    <w:rsid w:val="31B8137C"/>
    <w:rsid w:val="31E11014"/>
    <w:rsid w:val="32AE3CB4"/>
    <w:rsid w:val="32D61E1C"/>
    <w:rsid w:val="334B5B09"/>
    <w:rsid w:val="336D125A"/>
    <w:rsid w:val="33E61B3D"/>
    <w:rsid w:val="341B39F2"/>
    <w:rsid w:val="3482782C"/>
    <w:rsid w:val="361162D8"/>
    <w:rsid w:val="38E86618"/>
    <w:rsid w:val="39182E9F"/>
    <w:rsid w:val="406862B9"/>
    <w:rsid w:val="4097636F"/>
    <w:rsid w:val="43AF306F"/>
    <w:rsid w:val="44375FA8"/>
    <w:rsid w:val="444F2722"/>
    <w:rsid w:val="45440493"/>
    <w:rsid w:val="473F46E6"/>
    <w:rsid w:val="492B3EBC"/>
    <w:rsid w:val="49806A3B"/>
    <w:rsid w:val="4BDF6067"/>
    <w:rsid w:val="4D465199"/>
    <w:rsid w:val="4E066A49"/>
    <w:rsid w:val="501C7BA2"/>
    <w:rsid w:val="53E54321"/>
    <w:rsid w:val="53E83E09"/>
    <w:rsid w:val="547800C8"/>
    <w:rsid w:val="57A85436"/>
    <w:rsid w:val="599A0A45"/>
    <w:rsid w:val="5A414DE6"/>
    <w:rsid w:val="5AE56ACC"/>
    <w:rsid w:val="5B2F5166"/>
    <w:rsid w:val="5DBD6FD3"/>
    <w:rsid w:val="5DBF1992"/>
    <w:rsid w:val="5DC91962"/>
    <w:rsid w:val="600A75E0"/>
    <w:rsid w:val="615A1BFF"/>
    <w:rsid w:val="61F536C9"/>
    <w:rsid w:val="629B6180"/>
    <w:rsid w:val="6303215E"/>
    <w:rsid w:val="64350767"/>
    <w:rsid w:val="646E688D"/>
    <w:rsid w:val="647038CD"/>
    <w:rsid w:val="648349FB"/>
    <w:rsid w:val="669A4573"/>
    <w:rsid w:val="672F048F"/>
    <w:rsid w:val="672F63E9"/>
    <w:rsid w:val="67670423"/>
    <w:rsid w:val="67805C7F"/>
    <w:rsid w:val="69FB36DC"/>
    <w:rsid w:val="6A10779F"/>
    <w:rsid w:val="6AA60986"/>
    <w:rsid w:val="6B0206D9"/>
    <w:rsid w:val="6C522381"/>
    <w:rsid w:val="6CEF4242"/>
    <w:rsid w:val="6EC65A82"/>
    <w:rsid w:val="6ED96400"/>
    <w:rsid w:val="6F662703"/>
    <w:rsid w:val="7020448A"/>
    <w:rsid w:val="718B080C"/>
    <w:rsid w:val="72033C0F"/>
    <w:rsid w:val="729F7EF0"/>
    <w:rsid w:val="73070805"/>
    <w:rsid w:val="744A0CAF"/>
    <w:rsid w:val="75B06C4A"/>
    <w:rsid w:val="765833E7"/>
    <w:rsid w:val="76EB210E"/>
    <w:rsid w:val="77B50E81"/>
    <w:rsid w:val="791E55BB"/>
    <w:rsid w:val="7C3C4E07"/>
    <w:rsid w:val="7C952E84"/>
    <w:rsid w:val="7D0F2194"/>
    <w:rsid w:val="7DB07477"/>
    <w:rsid w:val="7DEB351C"/>
    <w:rsid w:val="7EAF72F7"/>
    <w:rsid w:val="7EE12602"/>
    <w:rsid w:val="7EF2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553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B3553"/>
    <w:rPr>
      <w:sz w:val="18"/>
      <w:szCs w:val="18"/>
    </w:rPr>
  </w:style>
  <w:style w:type="character" w:customStyle="1" w:styleId="Char">
    <w:name w:val="批注框文本 Char"/>
    <w:link w:val="a3"/>
    <w:rsid w:val="009B355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B35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rsid w:val="009B3553"/>
    <w:rPr>
      <w:rFonts w:ascii="宋体" w:hAnsi="宋体" w:cs="宋体"/>
      <w:sz w:val="18"/>
      <w:szCs w:val="18"/>
    </w:rPr>
  </w:style>
  <w:style w:type="paragraph" w:styleId="a5">
    <w:name w:val="header"/>
    <w:basedOn w:val="a"/>
    <w:link w:val="Char1"/>
    <w:rsid w:val="009B3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sid w:val="009B3553"/>
    <w:rPr>
      <w:rFonts w:ascii="宋体" w:hAnsi="宋体" w:cs="宋体"/>
      <w:sz w:val="18"/>
      <w:szCs w:val="18"/>
    </w:rPr>
  </w:style>
  <w:style w:type="paragraph" w:styleId="a6">
    <w:name w:val="Normal (Web)"/>
    <w:basedOn w:val="a"/>
    <w:rsid w:val="009B3553"/>
    <w:pPr>
      <w:spacing w:before="100" w:beforeAutospacing="1" w:after="100" w:afterAutospacing="1"/>
    </w:pPr>
    <w:rPr>
      <w:rFonts w:cs="Times New Roman"/>
    </w:rPr>
  </w:style>
  <w:style w:type="character" w:styleId="a7">
    <w:name w:val="Strong"/>
    <w:qFormat/>
    <w:rsid w:val="009B3553"/>
    <w:rPr>
      <w:b/>
    </w:rPr>
  </w:style>
  <w:style w:type="character" w:styleId="a8">
    <w:name w:val="FollowedHyperlink"/>
    <w:rsid w:val="009B3553"/>
    <w:rPr>
      <w:color w:val="333333"/>
      <w:u w:val="none"/>
    </w:rPr>
  </w:style>
  <w:style w:type="character" w:styleId="HTML">
    <w:name w:val="HTML Definition"/>
    <w:rsid w:val="009B3553"/>
    <w:rPr>
      <w:i/>
    </w:rPr>
  </w:style>
  <w:style w:type="character" w:styleId="HTML0">
    <w:name w:val="HTML Acronym"/>
    <w:basedOn w:val="a0"/>
    <w:rsid w:val="009B3553"/>
  </w:style>
  <w:style w:type="character" w:styleId="a9">
    <w:name w:val="Hyperlink"/>
    <w:rsid w:val="009B3553"/>
    <w:rPr>
      <w:color w:val="333333"/>
      <w:u w:val="none"/>
    </w:rPr>
  </w:style>
  <w:style w:type="character" w:styleId="HTML1">
    <w:name w:val="HTML Code"/>
    <w:rsid w:val="009B3553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Keyboard"/>
    <w:rsid w:val="009B3553"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rsid w:val="009B3553"/>
    <w:rPr>
      <w:rFonts w:ascii="monospace" w:eastAsia="monospace" w:hAnsi="monospace" w:cs="monospace"/>
      <w:sz w:val="21"/>
      <w:szCs w:val="21"/>
    </w:rPr>
  </w:style>
  <w:style w:type="character" w:customStyle="1" w:styleId="buvis1">
    <w:name w:val="buvis1"/>
    <w:rsid w:val="009B3553"/>
    <w:rPr>
      <w:color w:val="CC0000"/>
    </w:rPr>
  </w:style>
  <w:style w:type="character" w:customStyle="1" w:styleId="buvis">
    <w:name w:val="buvis"/>
    <w:rsid w:val="009B3553"/>
    <w:rPr>
      <w:color w:val="999999"/>
    </w:rPr>
  </w:style>
  <w:style w:type="character" w:customStyle="1" w:styleId="datetime">
    <w:name w:val="datetime"/>
    <w:rsid w:val="009B3553"/>
    <w:rPr>
      <w:rFonts w:ascii="Arial" w:hAnsi="Arial" w:cs="Arial" w:hint="default"/>
      <w:color w:val="999999"/>
      <w:sz w:val="21"/>
      <w:szCs w:val="21"/>
    </w:rPr>
  </w:style>
  <w:style w:type="character" w:customStyle="1" w:styleId="calendar-headnext-month-btn">
    <w:name w:val="calendar-head__next-month-btn"/>
    <w:basedOn w:val="a0"/>
    <w:rsid w:val="009B3553"/>
  </w:style>
  <w:style w:type="character" w:customStyle="1" w:styleId="calendar-headnext-range-btn">
    <w:name w:val="calendar-head__next-range-btn"/>
    <w:basedOn w:val="a0"/>
    <w:rsid w:val="009B3553"/>
    <w:rPr>
      <w:vanish/>
    </w:rPr>
  </w:style>
  <w:style w:type="character" w:customStyle="1" w:styleId="calendar-headtext-display">
    <w:name w:val="calendar-head__text-display"/>
    <w:basedOn w:val="a0"/>
    <w:rsid w:val="009B3553"/>
    <w:rPr>
      <w:vanish/>
    </w:rPr>
  </w:style>
  <w:style w:type="character" w:customStyle="1" w:styleId="hover">
    <w:name w:val="hover"/>
    <w:basedOn w:val="a0"/>
    <w:rsid w:val="009B3553"/>
    <w:rPr>
      <w:color w:val="2F6EA2"/>
    </w:rPr>
  </w:style>
  <w:style w:type="character" w:customStyle="1" w:styleId="calendar-headnext-year-btn">
    <w:name w:val="calendar-head__next-year-btn"/>
    <w:basedOn w:val="a0"/>
    <w:rsid w:val="009B3553"/>
  </w:style>
  <w:style w:type="character" w:customStyle="1" w:styleId="calendar-headprev-range-btn">
    <w:name w:val="calendar-head__prev-range-btn"/>
    <w:basedOn w:val="a0"/>
    <w:rsid w:val="009B3553"/>
    <w:rPr>
      <w:vanish/>
    </w:rPr>
  </w:style>
  <w:style w:type="character" w:customStyle="1" w:styleId="calendar-headyear-range">
    <w:name w:val="calendar-head__year-range"/>
    <w:basedOn w:val="a0"/>
    <w:rsid w:val="009B3553"/>
    <w:rPr>
      <w:vanish/>
    </w:rPr>
  </w:style>
  <w:style w:type="paragraph" w:styleId="aa">
    <w:name w:val="List Paragraph"/>
    <w:basedOn w:val="a"/>
    <w:uiPriority w:val="99"/>
    <w:qFormat/>
    <w:rsid w:val="00CB29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363</Words>
  <Characters>2072</Characters>
  <Application>Microsoft Office Word</Application>
  <DocSecurity>0</DocSecurity>
  <Lines>17</Lines>
  <Paragraphs>4</Paragraphs>
  <ScaleCrop>false</ScaleCrop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Microsoft</cp:lastModifiedBy>
  <cp:revision>7</cp:revision>
  <cp:lastPrinted>2022-01-10T00:23:00Z</cp:lastPrinted>
  <dcterms:created xsi:type="dcterms:W3CDTF">2023-01-30T01:11:00Z</dcterms:created>
  <dcterms:modified xsi:type="dcterms:W3CDTF">2023-02-28T10:58:00Z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DA1701C321BF4059B84B3111BDA243C9</vt:lpwstr>
  </property>
</Properties>
</file>