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50" w:afterLines="50"/>
        <w:jc w:val="center"/>
        <w:rPr>
          <w:rFonts w:ascii="Times New Roman" w:hAnsi="Times New Roman" w:eastAsia="黑体"/>
          <w:sz w:val="44"/>
          <w:szCs w:val="44"/>
        </w:rPr>
      </w:pPr>
    </w:p>
    <w:p>
      <w:pPr>
        <w:spacing w:beforeLines="50" w:afterLines="50"/>
        <w:jc w:val="center"/>
        <w:rPr>
          <w:rFonts w:ascii="Times New Roman" w:hAnsi="Times New Roman" w:eastAsia="黑体"/>
          <w:sz w:val="44"/>
          <w:szCs w:val="44"/>
        </w:rPr>
      </w:pPr>
    </w:p>
    <w:p>
      <w:pPr>
        <w:spacing w:beforeLines="50" w:afterLines="50"/>
        <w:jc w:val="center"/>
        <w:rPr>
          <w:rFonts w:cs="仿宋" w:asciiTheme="minorEastAsia" w:hAnsiTheme="minorEastAsia" w:eastAsiaTheme="minorEastAsia"/>
          <w:b/>
          <w:bCs/>
          <w:sz w:val="36"/>
          <w:szCs w:val="36"/>
        </w:rPr>
      </w:pPr>
      <w:r>
        <w:rPr>
          <w:rFonts w:hint="eastAsia" w:cs="仿宋" w:asciiTheme="minorEastAsia" w:hAnsiTheme="minorEastAsia" w:eastAsiaTheme="minorEastAsia"/>
          <w:b/>
          <w:bCs/>
          <w:sz w:val="36"/>
          <w:szCs w:val="36"/>
        </w:rPr>
        <w:t>鞍山市千山区2020年河湖管理范围划定项目</w:t>
      </w:r>
    </w:p>
    <w:p>
      <w:pPr>
        <w:spacing w:beforeLines="50" w:afterLines="50"/>
        <w:jc w:val="center"/>
        <w:rPr>
          <w:rFonts w:cs="仿宋" w:asciiTheme="minorEastAsia" w:hAnsiTheme="minorEastAsia" w:eastAsiaTheme="minorEastAsia"/>
          <w:b/>
          <w:bCs/>
          <w:sz w:val="36"/>
          <w:szCs w:val="36"/>
        </w:rPr>
      </w:pPr>
      <w:r>
        <w:rPr>
          <w:rFonts w:hint="eastAsia" w:cs="仿宋" w:asciiTheme="minorEastAsia" w:hAnsiTheme="minorEastAsia" w:eastAsiaTheme="minorEastAsia"/>
          <w:b/>
          <w:bCs/>
          <w:sz w:val="36"/>
          <w:szCs w:val="36"/>
        </w:rPr>
        <w:t>太平沟水库划界工作实施方案</w:t>
      </w:r>
    </w:p>
    <w:p>
      <w:pPr>
        <w:spacing w:beforeLines="50" w:afterLines="50"/>
        <w:jc w:val="center"/>
        <w:rPr>
          <w:rFonts w:cs="仿宋" w:asciiTheme="minorEastAsia" w:hAnsiTheme="minorEastAsia" w:eastAsiaTheme="minorEastAsia"/>
          <w:b/>
          <w:bCs/>
          <w:sz w:val="36"/>
          <w:szCs w:val="36"/>
        </w:rPr>
      </w:pPr>
    </w:p>
    <w:p>
      <w:pPr>
        <w:spacing w:beforeLines="50" w:afterLines="50"/>
        <w:jc w:val="center"/>
        <w:rPr>
          <w:rFonts w:cs="仿宋" w:asciiTheme="minorEastAsia" w:hAnsiTheme="minorEastAsia" w:eastAsiaTheme="minorEastAsia"/>
          <w:b/>
          <w:bCs/>
          <w:sz w:val="36"/>
          <w:szCs w:val="36"/>
        </w:rPr>
      </w:pPr>
    </w:p>
    <w:p>
      <w:pPr>
        <w:spacing w:beforeLines="50" w:afterLines="50"/>
        <w:jc w:val="center"/>
        <w:rPr>
          <w:rFonts w:cs="仿宋" w:asciiTheme="minorEastAsia" w:hAnsiTheme="minorEastAsia" w:eastAsiaTheme="minorEastAsia"/>
          <w:b/>
          <w:bCs/>
          <w:sz w:val="36"/>
          <w:szCs w:val="36"/>
        </w:rPr>
      </w:pPr>
    </w:p>
    <w:p>
      <w:pPr>
        <w:spacing w:beforeLines="50" w:afterLines="50"/>
        <w:jc w:val="center"/>
        <w:rPr>
          <w:rFonts w:cs="仿宋" w:asciiTheme="minorEastAsia" w:hAnsiTheme="minorEastAsia" w:eastAsiaTheme="minorEastAsia"/>
          <w:b/>
          <w:bCs/>
          <w:sz w:val="36"/>
          <w:szCs w:val="36"/>
        </w:rPr>
      </w:pPr>
    </w:p>
    <w:p>
      <w:pPr>
        <w:spacing w:beforeLines="50" w:afterLines="50"/>
        <w:jc w:val="center"/>
        <w:rPr>
          <w:rFonts w:cs="仿宋" w:asciiTheme="minorEastAsia" w:hAnsiTheme="minorEastAsia" w:eastAsiaTheme="minorEastAsia"/>
          <w:b/>
          <w:bCs/>
          <w:sz w:val="36"/>
          <w:szCs w:val="36"/>
        </w:rPr>
      </w:pPr>
    </w:p>
    <w:p>
      <w:pPr>
        <w:spacing w:beforeLines="50" w:afterLines="50"/>
        <w:jc w:val="center"/>
        <w:rPr>
          <w:rFonts w:cs="仿宋" w:asciiTheme="minorEastAsia" w:hAnsiTheme="minorEastAsia" w:eastAsiaTheme="minorEastAsia"/>
          <w:b/>
          <w:bCs/>
          <w:sz w:val="36"/>
          <w:szCs w:val="36"/>
        </w:rPr>
      </w:pPr>
    </w:p>
    <w:p>
      <w:pPr>
        <w:spacing w:beforeLines="50" w:afterLines="50"/>
        <w:jc w:val="center"/>
        <w:rPr>
          <w:rFonts w:cs="仿宋" w:asciiTheme="minorEastAsia" w:hAnsiTheme="minorEastAsia" w:eastAsiaTheme="minorEastAsia"/>
          <w:b/>
          <w:bCs/>
          <w:sz w:val="36"/>
          <w:szCs w:val="36"/>
        </w:rPr>
      </w:pPr>
    </w:p>
    <w:p>
      <w:pPr>
        <w:spacing w:beforeLines="50" w:afterLines="50"/>
        <w:jc w:val="center"/>
        <w:rPr>
          <w:rFonts w:cs="仿宋" w:asciiTheme="minorEastAsia" w:hAnsiTheme="minorEastAsia" w:eastAsiaTheme="minorEastAsia"/>
          <w:b/>
          <w:bCs/>
          <w:sz w:val="36"/>
          <w:szCs w:val="36"/>
        </w:rPr>
      </w:pPr>
    </w:p>
    <w:p>
      <w:pPr>
        <w:spacing w:beforeLines="50" w:afterLines="50"/>
        <w:jc w:val="center"/>
        <w:rPr>
          <w:rFonts w:cs="仿宋" w:asciiTheme="minorEastAsia" w:hAnsiTheme="minorEastAsia" w:eastAsiaTheme="minorEastAsia"/>
          <w:b/>
          <w:bCs/>
          <w:sz w:val="36"/>
          <w:szCs w:val="36"/>
        </w:rPr>
      </w:pPr>
    </w:p>
    <w:p>
      <w:pPr>
        <w:spacing w:beforeLines="50" w:afterLines="50"/>
        <w:jc w:val="center"/>
        <w:rPr>
          <w:rFonts w:cs="仿宋" w:asciiTheme="minorEastAsia" w:hAnsiTheme="minorEastAsia" w:eastAsiaTheme="minorEastAsia"/>
          <w:b/>
          <w:bCs/>
          <w:sz w:val="36"/>
          <w:szCs w:val="36"/>
        </w:rPr>
      </w:pPr>
    </w:p>
    <w:p>
      <w:pPr>
        <w:spacing w:beforeLines="50" w:afterLines="50"/>
        <w:jc w:val="center"/>
        <w:rPr>
          <w:rFonts w:ascii="Times New Roman" w:hAnsi="Times New Roman" w:eastAsiaTheme="minorEastAsia"/>
          <w:b/>
          <w:bCs/>
          <w:sz w:val="32"/>
          <w:szCs w:val="32"/>
        </w:rPr>
      </w:pPr>
      <w:r>
        <w:rPr>
          <w:rFonts w:ascii="Times New Roman" w:hAnsi="Times New Roman" w:eastAsiaTheme="minorEastAsia"/>
          <w:b/>
          <w:bCs/>
          <w:sz w:val="32"/>
          <w:szCs w:val="32"/>
        </w:rPr>
        <w:t>沈阳四方达建设工程有限公司</w:t>
      </w:r>
    </w:p>
    <w:p>
      <w:pPr>
        <w:spacing w:beforeLines="50" w:afterLines="50"/>
        <w:jc w:val="center"/>
        <w:rPr>
          <w:rFonts w:ascii="Times New Roman" w:hAnsi="Times New Roman" w:eastAsiaTheme="minorEastAsia"/>
          <w:b/>
          <w:bCs/>
          <w:sz w:val="32"/>
          <w:szCs w:val="32"/>
        </w:rPr>
      </w:pPr>
      <w:r>
        <w:rPr>
          <w:rFonts w:ascii="Times New Roman" w:hAnsi="Times New Roman" w:eastAsiaTheme="minorEastAsia"/>
          <w:b/>
          <w:bCs/>
          <w:sz w:val="32"/>
          <w:szCs w:val="32"/>
        </w:rPr>
        <w:t>2020年</w:t>
      </w:r>
      <w:r>
        <w:rPr>
          <w:rFonts w:hint="eastAsia" w:ascii="Times New Roman" w:hAnsi="Times New Roman" w:eastAsiaTheme="minorEastAsia"/>
          <w:b/>
          <w:bCs/>
          <w:sz w:val="32"/>
          <w:szCs w:val="32"/>
        </w:rPr>
        <w:t>12</w:t>
      </w:r>
      <w:r>
        <w:rPr>
          <w:rFonts w:ascii="Times New Roman" w:hAnsi="Times New Roman" w:eastAsiaTheme="minorEastAsia"/>
          <w:b/>
          <w:bCs/>
          <w:sz w:val="32"/>
          <w:szCs w:val="32"/>
        </w:rPr>
        <w:t>月</w:t>
      </w:r>
    </w:p>
    <w:p>
      <w:pPr>
        <w:spacing w:beforeLines="50" w:afterLines="50"/>
        <w:jc w:val="center"/>
        <w:rPr>
          <w:rFonts w:ascii="仿宋" w:hAnsi="仿宋" w:eastAsia="仿宋" w:cs="仿宋"/>
          <w:b/>
          <w:bCs/>
          <w:sz w:val="44"/>
          <w:szCs w:val="44"/>
        </w:rPr>
        <w:sectPr>
          <w:footerReference r:id="rId3" w:type="default"/>
          <w:pgSz w:w="11906" w:h="16838"/>
          <w:pgMar w:top="1440" w:right="1800" w:bottom="1440" w:left="1800" w:header="851" w:footer="992" w:gutter="0"/>
          <w:cols w:space="425" w:num="1"/>
          <w:docGrid w:type="lines" w:linePitch="312" w:charSpace="0"/>
        </w:sectPr>
      </w:pPr>
    </w:p>
    <w:sdt>
      <w:sdtPr>
        <w:rPr>
          <w:rFonts w:ascii="Calibri" w:hAnsi="Calibri" w:eastAsia="宋体" w:cs="Times New Roman"/>
          <w:b w:val="0"/>
          <w:bCs w:val="0"/>
          <w:color w:val="auto"/>
          <w:kern w:val="2"/>
          <w:sz w:val="21"/>
          <w:szCs w:val="24"/>
          <w:lang w:val="zh-CN"/>
        </w:rPr>
        <w:id w:val="27176946"/>
        <w:docPartObj>
          <w:docPartGallery w:val="Table of Contents"/>
          <w:docPartUnique/>
        </w:docPartObj>
      </w:sdtPr>
      <w:sdtEndPr>
        <w:rPr>
          <w:rFonts w:ascii="Calibri" w:hAnsi="Calibri" w:eastAsia="宋体" w:cs="Times New Roman"/>
          <w:b w:val="0"/>
          <w:bCs w:val="0"/>
          <w:color w:val="auto"/>
          <w:kern w:val="2"/>
          <w:sz w:val="21"/>
          <w:szCs w:val="24"/>
          <w:lang w:val="en-US"/>
        </w:rPr>
      </w:sdtEndPr>
      <w:sdtContent>
        <w:p>
          <w:pPr>
            <w:pStyle w:val="38"/>
            <w:jc w:val="center"/>
            <w:rPr>
              <w:color w:val="auto"/>
            </w:rPr>
          </w:pPr>
          <w:r>
            <w:rPr>
              <w:color w:val="auto"/>
              <w:lang w:val="zh-CN"/>
            </w:rPr>
            <w:t>目</w:t>
          </w:r>
          <w:r>
            <w:rPr>
              <w:rFonts w:hint="eastAsia"/>
              <w:color w:val="auto"/>
              <w:lang w:val="zh-CN"/>
            </w:rPr>
            <w:t xml:space="preserve"> </w:t>
          </w:r>
          <w:r>
            <w:rPr>
              <w:color w:val="auto"/>
              <w:lang w:val="zh-CN"/>
            </w:rPr>
            <w:t>录</w:t>
          </w:r>
        </w:p>
        <w:p>
          <w:pPr>
            <w:pStyle w:val="12"/>
            <w:tabs>
              <w:tab w:val="right" w:leader="dot" w:pos="8296"/>
            </w:tabs>
            <w:spacing w:line="440" w:lineRule="exact"/>
            <w:rPr>
              <w:rFonts w:ascii="仿宋" w:hAnsi="仿宋" w:eastAsia="仿宋"/>
              <w:sz w:val="24"/>
            </w:rPr>
          </w:pPr>
          <w:r>
            <w:rPr>
              <w:rFonts w:ascii="仿宋" w:hAnsi="仿宋" w:eastAsia="仿宋"/>
              <w:sz w:val="24"/>
            </w:rPr>
            <w:fldChar w:fldCharType="begin"/>
          </w:r>
          <w:r>
            <w:rPr>
              <w:rFonts w:ascii="仿宋" w:hAnsi="仿宋" w:eastAsia="仿宋"/>
              <w:sz w:val="24"/>
            </w:rPr>
            <w:instrText xml:space="preserve"> TOC \o "1-3" \h \z \u </w:instrText>
          </w:r>
          <w:r>
            <w:rPr>
              <w:rFonts w:ascii="仿宋" w:hAnsi="仿宋" w:eastAsia="仿宋"/>
              <w:sz w:val="24"/>
            </w:rPr>
            <w:fldChar w:fldCharType="separate"/>
          </w:r>
          <w:r>
            <w:fldChar w:fldCharType="begin"/>
          </w:r>
          <w:r>
            <w:instrText xml:space="preserve"> HYPERLINK \l "_Toc63201856" </w:instrText>
          </w:r>
          <w:r>
            <w:fldChar w:fldCharType="separate"/>
          </w:r>
          <w:r>
            <w:rPr>
              <w:rStyle w:val="19"/>
              <w:rFonts w:hint="eastAsia" w:ascii="仿宋" w:hAnsi="仿宋" w:eastAsia="仿宋" w:cs="仿宋"/>
              <w:b/>
              <w:bCs/>
              <w:color w:val="auto"/>
              <w:sz w:val="24"/>
            </w:rPr>
            <w:t>一、 基本情况</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_Toc63201856 \h </w:instrText>
          </w:r>
          <w:r>
            <w:rPr>
              <w:rFonts w:ascii="仿宋" w:hAnsi="仿宋" w:eastAsia="仿宋"/>
              <w:sz w:val="24"/>
            </w:rPr>
            <w:fldChar w:fldCharType="separate"/>
          </w:r>
          <w:r>
            <w:rPr>
              <w:rFonts w:ascii="仿宋" w:hAnsi="仿宋" w:eastAsia="仿宋"/>
              <w:sz w:val="24"/>
            </w:rPr>
            <w:t>1</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"_Toc63201857" </w:instrText>
          </w:r>
          <w:r>
            <w:fldChar w:fldCharType="separate"/>
          </w:r>
          <w:r>
            <w:rPr>
              <w:rStyle w:val="19"/>
              <w:rFonts w:ascii="仿宋" w:hAnsi="仿宋" w:eastAsia="仿宋" w:cs="仿宋"/>
              <w:color w:val="auto"/>
              <w:sz w:val="24"/>
            </w:rPr>
            <w:t>1.1</w:t>
          </w:r>
          <w:r>
            <w:rPr>
              <w:rStyle w:val="19"/>
              <w:rFonts w:hint="eastAsia" w:ascii="仿宋" w:hAnsi="仿宋" w:eastAsia="仿宋" w:cs="仿宋"/>
              <w:color w:val="auto"/>
              <w:sz w:val="24"/>
            </w:rPr>
            <w:t>水库和水利工程概况</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_Toc63201857 \h </w:instrText>
          </w:r>
          <w:r>
            <w:rPr>
              <w:rFonts w:ascii="仿宋" w:hAnsi="仿宋" w:eastAsia="仿宋"/>
              <w:sz w:val="24"/>
            </w:rPr>
            <w:fldChar w:fldCharType="separate"/>
          </w:r>
          <w:r>
            <w:rPr>
              <w:rFonts w:ascii="仿宋" w:hAnsi="仿宋" w:eastAsia="仿宋"/>
              <w:sz w:val="24"/>
            </w:rPr>
            <w:t>1</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"_Toc63201858" </w:instrText>
          </w:r>
          <w:r>
            <w:fldChar w:fldCharType="separate"/>
          </w:r>
          <w:r>
            <w:rPr>
              <w:rStyle w:val="19"/>
              <w:rFonts w:ascii="仿宋" w:hAnsi="仿宋" w:eastAsia="仿宋" w:cs="仿宋"/>
              <w:color w:val="auto"/>
              <w:sz w:val="24"/>
            </w:rPr>
            <w:t>1.3</w:t>
          </w:r>
          <w:r>
            <w:rPr>
              <w:rStyle w:val="19"/>
              <w:rFonts w:hint="eastAsia" w:ascii="仿宋" w:hAnsi="仿宋" w:eastAsia="仿宋" w:cs="仿宋"/>
              <w:color w:val="auto"/>
              <w:sz w:val="24"/>
            </w:rPr>
            <w:t>划界的必要性</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_Toc63201858 \h </w:instrText>
          </w:r>
          <w:r>
            <w:rPr>
              <w:rFonts w:ascii="仿宋" w:hAnsi="仿宋" w:eastAsia="仿宋"/>
              <w:sz w:val="24"/>
            </w:rPr>
            <w:fldChar w:fldCharType="separate"/>
          </w:r>
          <w:r>
            <w:rPr>
              <w:rFonts w:ascii="仿宋" w:hAnsi="仿宋" w:eastAsia="仿宋"/>
              <w:sz w:val="24"/>
            </w:rPr>
            <w:t>4</w:t>
          </w:r>
          <w:r>
            <w:rPr>
              <w:rFonts w:ascii="仿宋" w:hAnsi="仿宋" w:eastAsia="仿宋"/>
              <w:sz w:val="24"/>
            </w:rPr>
            <w:fldChar w:fldCharType="end"/>
          </w:r>
          <w:r>
            <w:rPr>
              <w:rFonts w:ascii="仿宋" w:hAnsi="仿宋" w:eastAsia="仿宋"/>
              <w:sz w:val="24"/>
            </w:rPr>
            <w:fldChar w:fldCharType="end"/>
          </w:r>
        </w:p>
        <w:p>
          <w:pPr>
            <w:pStyle w:val="12"/>
            <w:tabs>
              <w:tab w:val="right" w:leader="dot" w:pos="8296"/>
            </w:tabs>
            <w:spacing w:line="440" w:lineRule="exact"/>
            <w:rPr>
              <w:rFonts w:ascii="仿宋" w:hAnsi="仿宋" w:eastAsia="仿宋"/>
              <w:sz w:val="24"/>
            </w:rPr>
          </w:pPr>
          <w:r>
            <w:fldChar w:fldCharType="begin"/>
          </w:r>
          <w:r>
            <w:instrText xml:space="preserve"> HYPERLINK \l "_Toc63201859" </w:instrText>
          </w:r>
          <w:r>
            <w:fldChar w:fldCharType="separate"/>
          </w:r>
          <w:r>
            <w:rPr>
              <w:rStyle w:val="19"/>
              <w:rFonts w:hint="eastAsia" w:ascii="仿宋" w:hAnsi="仿宋" w:eastAsia="仿宋" w:cs="仿宋"/>
              <w:b/>
              <w:bCs/>
              <w:color w:val="auto"/>
              <w:sz w:val="24"/>
            </w:rPr>
            <w:t>二、 指导思想和基本原则</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_Toc63201859 \h </w:instrText>
          </w:r>
          <w:r>
            <w:rPr>
              <w:rFonts w:ascii="仿宋" w:hAnsi="仿宋" w:eastAsia="仿宋"/>
              <w:sz w:val="24"/>
            </w:rPr>
            <w:fldChar w:fldCharType="separate"/>
          </w:r>
          <w:r>
            <w:rPr>
              <w:rFonts w:ascii="仿宋" w:hAnsi="仿宋" w:eastAsia="仿宋"/>
              <w:sz w:val="24"/>
            </w:rPr>
            <w:t>7</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"_Toc63201860" </w:instrText>
          </w:r>
          <w:r>
            <w:fldChar w:fldCharType="separate"/>
          </w:r>
          <w:r>
            <w:rPr>
              <w:rStyle w:val="19"/>
              <w:rFonts w:ascii="仿宋" w:hAnsi="仿宋" w:eastAsia="仿宋" w:cs="仿宋"/>
              <w:color w:val="auto"/>
              <w:sz w:val="24"/>
            </w:rPr>
            <w:t>2.1</w:t>
          </w:r>
          <w:r>
            <w:rPr>
              <w:rStyle w:val="19"/>
              <w:rFonts w:hint="eastAsia" w:ascii="仿宋" w:hAnsi="仿宋" w:eastAsia="仿宋" w:cs="仿宋"/>
              <w:color w:val="auto"/>
              <w:sz w:val="24"/>
            </w:rPr>
            <w:t>指导思想</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_Toc63201860 \h </w:instrText>
          </w:r>
          <w:r>
            <w:rPr>
              <w:rFonts w:ascii="仿宋" w:hAnsi="仿宋" w:eastAsia="仿宋"/>
              <w:sz w:val="24"/>
            </w:rPr>
            <w:fldChar w:fldCharType="separate"/>
          </w:r>
          <w:r>
            <w:rPr>
              <w:rFonts w:ascii="仿宋" w:hAnsi="仿宋" w:eastAsia="仿宋"/>
              <w:sz w:val="24"/>
            </w:rPr>
            <w:t>7</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"_Toc63201861" </w:instrText>
          </w:r>
          <w:r>
            <w:fldChar w:fldCharType="separate"/>
          </w:r>
          <w:r>
            <w:rPr>
              <w:rStyle w:val="19"/>
              <w:rFonts w:ascii="仿宋" w:hAnsi="仿宋" w:eastAsia="仿宋" w:cs="仿宋"/>
              <w:color w:val="auto"/>
              <w:sz w:val="24"/>
            </w:rPr>
            <w:t>2.2</w:t>
          </w:r>
          <w:r>
            <w:rPr>
              <w:rStyle w:val="19"/>
              <w:rFonts w:hint="eastAsia" w:ascii="仿宋" w:hAnsi="仿宋" w:eastAsia="仿宋" w:cs="仿宋"/>
              <w:color w:val="auto"/>
              <w:sz w:val="24"/>
            </w:rPr>
            <w:t>基本原则</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_Toc63201861 \h </w:instrText>
          </w:r>
          <w:r>
            <w:rPr>
              <w:rFonts w:ascii="仿宋" w:hAnsi="仿宋" w:eastAsia="仿宋"/>
              <w:sz w:val="24"/>
            </w:rPr>
            <w:fldChar w:fldCharType="separate"/>
          </w:r>
          <w:r>
            <w:rPr>
              <w:rFonts w:ascii="仿宋" w:hAnsi="仿宋" w:eastAsia="仿宋"/>
              <w:sz w:val="24"/>
            </w:rPr>
            <w:t>7</w:t>
          </w:r>
          <w:r>
            <w:rPr>
              <w:rFonts w:ascii="仿宋" w:hAnsi="仿宋" w:eastAsia="仿宋"/>
              <w:sz w:val="24"/>
            </w:rPr>
            <w:fldChar w:fldCharType="end"/>
          </w:r>
          <w:r>
            <w:rPr>
              <w:rFonts w:ascii="仿宋" w:hAnsi="仿宋" w:eastAsia="仿宋"/>
              <w:sz w:val="24"/>
            </w:rPr>
            <w:fldChar w:fldCharType="end"/>
          </w:r>
        </w:p>
        <w:p>
          <w:pPr>
            <w:pStyle w:val="12"/>
            <w:tabs>
              <w:tab w:val="right" w:leader="dot" w:pos="8296"/>
            </w:tabs>
            <w:spacing w:line="440" w:lineRule="exact"/>
            <w:rPr>
              <w:rFonts w:ascii="仿宋" w:hAnsi="仿宋" w:eastAsia="仿宋"/>
              <w:sz w:val="24"/>
            </w:rPr>
          </w:pPr>
          <w:r>
            <w:fldChar w:fldCharType="begin"/>
          </w:r>
          <w:r>
            <w:instrText xml:space="preserve"> HYPERLINK \l "_Toc63201862" </w:instrText>
          </w:r>
          <w:r>
            <w:fldChar w:fldCharType="separate"/>
          </w:r>
          <w:r>
            <w:rPr>
              <w:rStyle w:val="19"/>
              <w:rFonts w:hint="eastAsia" w:ascii="仿宋" w:hAnsi="仿宋" w:eastAsia="仿宋" w:cs="仿宋"/>
              <w:b/>
              <w:bCs/>
              <w:color w:val="auto"/>
              <w:sz w:val="24"/>
            </w:rPr>
            <w:t>三、 目标和任务要求</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_Toc63201862 \h </w:instrText>
          </w:r>
          <w:r>
            <w:rPr>
              <w:rFonts w:ascii="仿宋" w:hAnsi="仿宋" w:eastAsia="仿宋"/>
              <w:sz w:val="24"/>
            </w:rPr>
            <w:fldChar w:fldCharType="separate"/>
          </w:r>
          <w:r>
            <w:rPr>
              <w:rFonts w:ascii="仿宋" w:hAnsi="仿宋" w:eastAsia="仿宋"/>
              <w:sz w:val="24"/>
            </w:rPr>
            <w:t>9</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"_Toc63201863" </w:instrText>
          </w:r>
          <w:r>
            <w:fldChar w:fldCharType="separate"/>
          </w:r>
          <w:r>
            <w:rPr>
              <w:rStyle w:val="19"/>
              <w:rFonts w:ascii="仿宋" w:hAnsi="仿宋" w:eastAsia="仿宋" w:cs="仿宋"/>
              <w:color w:val="auto"/>
              <w:sz w:val="24"/>
            </w:rPr>
            <w:t>3.1</w:t>
          </w:r>
          <w:r>
            <w:rPr>
              <w:rStyle w:val="19"/>
              <w:rFonts w:hint="eastAsia" w:ascii="仿宋" w:hAnsi="仿宋" w:eastAsia="仿宋" w:cs="仿宋"/>
              <w:color w:val="auto"/>
              <w:sz w:val="24"/>
            </w:rPr>
            <w:t>划界范围</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_Toc63201863 \h </w:instrText>
          </w:r>
          <w:r>
            <w:rPr>
              <w:rFonts w:ascii="仿宋" w:hAnsi="仿宋" w:eastAsia="仿宋"/>
              <w:sz w:val="24"/>
            </w:rPr>
            <w:fldChar w:fldCharType="separate"/>
          </w:r>
          <w:r>
            <w:rPr>
              <w:rFonts w:ascii="仿宋" w:hAnsi="仿宋" w:eastAsia="仿宋"/>
              <w:sz w:val="24"/>
            </w:rPr>
            <w:t>9</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"_Toc63201864" </w:instrText>
          </w:r>
          <w:r>
            <w:fldChar w:fldCharType="separate"/>
          </w:r>
          <w:r>
            <w:rPr>
              <w:rStyle w:val="19"/>
              <w:rFonts w:ascii="仿宋" w:hAnsi="仿宋" w:eastAsia="仿宋" w:cs="仿宋"/>
              <w:color w:val="auto"/>
              <w:sz w:val="24"/>
            </w:rPr>
            <w:t>3.2</w:t>
          </w:r>
          <w:r>
            <w:rPr>
              <w:rStyle w:val="19"/>
              <w:rFonts w:hint="eastAsia" w:ascii="仿宋" w:hAnsi="仿宋" w:eastAsia="仿宋" w:cs="仿宋"/>
              <w:color w:val="auto"/>
              <w:sz w:val="24"/>
            </w:rPr>
            <w:t>目标和任务要求</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_Toc63201864 \h </w:instrText>
          </w:r>
          <w:r>
            <w:rPr>
              <w:rFonts w:ascii="仿宋" w:hAnsi="仿宋" w:eastAsia="仿宋"/>
              <w:sz w:val="24"/>
            </w:rPr>
            <w:fldChar w:fldCharType="separate"/>
          </w:r>
          <w:r>
            <w:rPr>
              <w:rFonts w:ascii="仿宋" w:hAnsi="仿宋" w:eastAsia="仿宋"/>
              <w:sz w:val="24"/>
            </w:rPr>
            <w:t>9</w:t>
          </w:r>
          <w:r>
            <w:rPr>
              <w:rFonts w:ascii="仿宋" w:hAnsi="仿宋" w:eastAsia="仿宋"/>
              <w:sz w:val="24"/>
            </w:rPr>
            <w:fldChar w:fldCharType="end"/>
          </w:r>
          <w:r>
            <w:rPr>
              <w:rFonts w:ascii="仿宋" w:hAnsi="仿宋" w:eastAsia="仿宋"/>
              <w:sz w:val="24"/>
            </w:rPr>
            <w:fldChar w:fldCharType="end"/>
          </w:r>
        </w:p>
        <w:p>
          <w:pPr>
            <w:pStyle w:val="12"/>
            <w:tabs>
              <w:tab w:val="right" w:leader="dot" w:pos="8296"/>
            </w:tabs>
            <w:spacing w:line="440" w:lineRule="exact"/>
            <w:rPr>
              <w:rFonts w:ascii="仿宋" w:hAnsi="仿宋" w:eastAsia="仿宋"/>
              <w:sz w:val="24"/>
            </w:rPr>
          </w:pPr>
          <w:r>
            <w:fldChar w:fldCharType="begin"/>
          </w:r>
          <w:r>
            <w:instrText xml:space="preserve"> HYPERLINK \l "_Toc63201865" </w:instrText>
          </w:r>
          <w:r>
            <w:fldChar w:fldCharType="separate"/>
          </w:r>
          <w:r>
            <w:rPr>
              <w:rStyle w:val="19"/>
              <w:rFonts w:hint="eastAsia" w:ascii="仿宋" w:hAnsi="仿宋" w:eastAsia="仿宋" w:cs="仿宋"/>
              <w:b/>
              <w:bCs/>
              <w:color w:val="auto"/>
              <w:sz w:val="24"/>
            </w:rPr>
            <w:t>四、 划界依据</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_Toc63201865 \h </w:instrText>
          </w:r>
          <w:r>
            <w:rPr>
              <w:rFonts w:ascii="仿宋" w:hAnsi="仿宋" w:eastAsia="仿宋"/>
              <w:sz w:val="24"/>
            </w:rPr>
            <w:fldChar w:fldCharType="separate"/>
          </w:r>
          <w:r>
            <w:rPr>
              <w:rFonts w:ascii="仿宋" w:hAnsi="仿宋" w:eastAsia="仿宋"/>
              <w:sz w:val="24"/>
            </w:rPr>
            <w:t>11</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"_Toc63201866" </w:instrText>
          </w:r>
          <w:r>
            <w:fldChar w:fldCharType="separate"/>
          </w:r>
          <w:r>
            <w:rPr>
              <w:rStyle w:val="19"/>
              <w:rFonts w:ascii="仿宋" w:hAnsi="仿宋" w:eastAsia="仿宋" w:cs="仿宋"/>
              <w:color w:val="auto"/>
              <w:sz w:val="24"/>
            </w:rPr>
            <w:t>4.1</w:t>
          </w:r>
          <w:r>
            <w:rPr>
              <w:rStyle w:val="19"/>
              <w:rFonts w:hint="eastAsia" w:ascii="仿宋" w:hAnsi="仿宋" w:eastAsia="仿宋" w:cs="仿宋"/>
              <w:color w:val="auto"/>
              <w:sz w:val="24"/>
            </w:rPr>
            <w:t>法律法规</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_Toc63201866 \h </w:instrText>
          </w:r>
          <w:r>
            <w:rPr>
              <w:rFonts w:ascii="仿宋" w:hAnsi="仿宋" w:eastAsia="仿宋"/>
              <w:sz w:val="24"/>
            </w:rPr>
            <w:fldChar w:fldCharType="separate"/>
          </w:r>
          <w:r>
            <w:rPr>
              <w:rFonts w:ascii="仿宋" w:hAnsi="仿宋" w:eastAsia="仿宋"/>
              <w:sz w:val="24"/>
            </w:rPr>
            <w:t>11</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"_Toc63201867" </w:instrText>
          </w:r>
          <w:r>
            <w:fldChar w:fldCharType="separate"/>
          </w:r>
          <w:r>
            <w:rPr>
              <w:rStyle w:val="19"/>
              <w:rFonts w:ascii="仿宋" w:hAnsi="仿宋" w:eastAsia="仿宋" w:cs="仿宋"/>
              <w:color w:val="auto"/>
              <w:sz w:val="24"/>
            </w:rPr>
            <w:t>4.2</w:t>
          </w:r>
          <w:r>
            <w:rPr>
              <w:rStyle w:val="19"/>
              <w:rFonts w:hint="eastAsia" w:ascii="仿宋" w:hAnsi="仿宋" w:eastAsia="仿宋" w:cs="仿宋"/>
              <w:color w:val="auto"/>
              <w:sz w:val="24"/>
            </w:rPr>
            <w:t>政策文件</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_Toc63201867 \h </w:instrText>
          </w:r>
          <w:r>
            <w:rPr>
              <w:rFonts w:ascii="仿宋" w:hAnsi="仿宋" w:eastAsia="仿宋"/>
              <w:sz w:val="24"/>
            </w:rPr>
            <w:fldChar w:fldCharType="separate"/>
          </w:r>
          <w:r>
            <w:rPr>
              <w:rFonts w:ascii="仿宋" w:hAnsi="仿宋" w:eastAsia="仿宋"/>
              <w:sz w:val="24"/>
            </w:rPr>
            <w:t>13</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"_Toc63201868" </w:instrText>
          </w:r>
          <w:r>
            <w:fldChar w:fldCharType="separate"/>
          </w:r>
          <w:r>
            <w:rPr>
              <w:rStyle w:val="19"/>
              <w:rFonts w:ascii="仿宋" w:hAnsi="仿宋" w:eastAsia="仿宋" w:cs="仿宋"/>
              <w:color w:val="auto"/>
              <w:sz w:val="24"/>
            </w:rPr>
            <w:t>4.3</w:t>
          </w:r>
          <w:r>
            <w:rPr>
              <w:rStyle w:val="19"/>
              <w:rFonts w:hint="eastAsia" w:ascii="仿宋" w:hAnsi="仿宋" w:eastAsia="仿宋" w:cs="仿宋"/>
              <w:color w:val="auto"/>
              <w:sz w:val="24"/>
            </w:rPr>
            <w:t>技术标准</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_Toc63201868 \h </w:instrText>
          </w:r>
          <w:r>
            <w:rPr>
              <w:rFonts w:ascii="仿宋" w:hAnsi="仿宋" w:eastAsia="仿宋"/>
              <w:sz w:val="24"/>
            </w:rPr>
            <w:fldChar w:fldCharType="separate"/>
          </w:r>
          <w:r>
            <w:rPr>
              <w:rFonts w:ascii="仿宋" w:hAnsi="仿宋" w:eastAsia="仿宋"/>
              <w:sz w:val="24"/>
            </w:rPr>
            <w:t>14</w:t>
          </w:r>
          <w:r>
            <w:rPr>
              <w:rFonts w:ascii="仿宋" w:hAnsi="仿宋" w:eastAsia="仿宋"/>
              <w:sz w:val="24"/>
            </w:rPr>
            <w:fldChar w:fldCharType="end"/>
          </w:r>
          <w:r>
            <w:rPr>
              <w:rFonts w:ascii="仿宋" w:hAnsi="仿宋" w:eastAsia="仿宋"/>
              <w:sz w:val="24"/>
            </w:rPr>
            <w:fldChar w:fldCharType="end"/>
          </w:r>
        </w:p>
        <w:p>
          <w:pPr>
            <w:pStyle w:val="12"/>
            <w:tabs>
              <w:tab w:val="right" w:leader="dot" w:pos="8296"/>
            </w:tabs>
            <w:spacing w:line="440" w:lineRule="exact"/>
            <w:rPr>
              <w:rFonts w:ascii="仿宋" w:hAnsi="仿宋" w:eastAsia="仿宋"/>
              <w:sz w:val="24"/>
            </w:rPr>
          </w:pPr>
          <w:r>
            <w:fldChar w:fldCharType="begin"/>
          </w:r>
          <w:r>
            <w:instrText xml:space="preserve"> HYPERLINK \l "_Toc63201869" </w:instrText>
          </w:r>
          <w:r>
            <w:fldChar w:fldCharType="separate"/>
          </w:r>
          <w:r>
            <w:rPr>
              <w:rStyle w:val="19"/>
              <w:rFonts w:hint="eastAsia" w:ascii="仿宋" w:hAnsi="仿宋" w:eastAsia="仿宋" w:cs="仿宋"/>
              <w:b/>
              <w:bCs/>
              <w:color w:val="auto"/>
              <w:sz w:val="24"/>
            </w:rPr>
            <w:t>五、 主要任务</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_Toc63201869 \h </w:instrText>
          </w:r>
          <w:r>
            <w:rPr>
              <w:rFonts w:ascii="仿宋" w:hAnsi="仿宋" w:eastAsia="仿宋"/>
              <w:sz w:val="24"/>
            </w:rPr>
            <w:fldChar w:fldCharType="separate"/>
          </w:r>
          <w:r>
            <w:rPr>
              <w:rFonts w:ascii="仿宋" w:hAnsi="仿宋" w:eastAsia="仿宋"/>
              <w:sz w:val="24"/>
            </w:rPr>
            <w:t>15</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"_Toc63201870" </w:instrText>
          </w:r>
          <w:r>
            <w:fldChar w:fldCharType="separate"/>
          </w:r>
          <w:r>
            <w:rPr>
              <w:rStyle w:val="19"/>
              <w:rFonts w:ascii="仿宋" w:hAnsi="仿宋" w:eastAsia="仿宋" w:cs="仿宋"/>
              <w:color w:val="auto"/>
              <w:sz w:val="24"/>
            </w:rPr>
            <w:t>5.1</w:t>
          </w:r>
          <w:r>
            <w:rPr>
              <w:rStyle w:val="19"/>
              <w:rFonts w:hint="eastAsia" w:ascii="仿宋" w:hAnsi="仿宋" w:eastAsia="仿宋" w:cs="仿宋"/>
              <w:color w:val="auto"/>
              <w:sz w:val="24"/>
            </w:rPr>
            <w:t>划界流程</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_Toc63201870 \h </w:instrText>
          </w:r>
          <w:r>
            <w:rPr>
              <w:rFonts w:ascii="仿宋" w:hAnsi="仿宋" w:eastAsia="仿宋"/>
              <w:sz w:val="24"/>
            </w:rPr>
            <w:fldChar w:fldCharType="separate"/>
          </w:r>
          <w:r>
            <w:rPr>
              <w:rFonts w:ascii="仿宋" w:hAnsi="仿宋" w:eastAsia="仿宋"/>
              <w:sz w:val="24"/>
            </w:rPr>
            <w:t>15</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"_Toc63201876" </w:instrText>
          </w:r>
          <w:r>
            <w:fldChar w:fldCharType="separate"/>
          </w:r>
          <w:r>
            <w:rPr>
              <w:rStyle w:val="19"/>
              <w:rFonts w:ascii="仿宋" w:hAnsi="仿宋" w:eastAsia="仿宋" w:cs="仿宋"/>
              <w:color w:val="auto"/>
              <w:sz w:val="24"/>
            </w:rPr>
            <w:t xml:space="preserve">5.2 </w:t>
          </w:r>
          <w:r>
            <w:rPr>
              <w:rStyle w:val="19"/>
              <w:rFonts w:hint="eastAsia" w:ascii="仿宋" w:hAnsi="仿宋" w:eastAsia="仿宋" w:cs="仿宋"/>
              <w:color w:val="auto"/>
              <w:sz w:val="24"/>
            </w:rPr>
            <w:t>划界标准</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_Toc63201876 \h </w:instrText>
          </w:r>
          <w:r>
            <w:rPr>
              <w:rFonts w:ascii="仿宋" w:hAnsi="仿宋" w:eastAsia="仿宋"/>
              <w:sz w:val="24"/>
            </w:rPr>
            <w:fldChar w:fldCharType="separate"/>
          </w:r>
          <w:r>
            <w:rPr>
              <w:rFonts w:ascii="仿宋" w:hAnsi="仿宋" w:eastAsia="仿宋"/>
              <w:sz w:val="24"/>
            </w:rPr>
            <w:t>16</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"_Toc63201878" </w:instrText>
          </w:r>
          <w:r>
            <w:fldChar w:fldCharType="separate"/>
          </w:r>
          <w:r>
            <w:rPr>
              <w:rStyle w:val="19"/>
              <w:rFonts w:ascii="仿宋" w:hAnsi="仿宋" w:eastAsia="仿宋" w:cs="仿宋"/>
              <w:color w:val="auto"/>
              <w:sz w:val="24"/>
            </w:rPr>
            <w:t xml:space="preserve">5.3 </w:t>
          </w:r>
          <w:r>
            <w:rPr>
              <w:rStyle w:val="19"/>
              <w:rFonts w:hint="eastAsia" w:ascii="仿宋" w:hAnsi="仿宋" w:eastAsia="仿宋" w:cs="仿宋"/>
              <w:color w:val="auto"/>
              <w:sz w:val="24"/>
            </w:rPr>
            <w:t>外业测绘</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_Toc63201878 \h </w:instrText>
          </w:r>
          <w:r>
            <w:rPr>
              <w:rFonts w:ascii="仿宋" w:hAnsi="仿宋" w:eastAsia="仿宋"/>
              <w:sz w:val="24"/>
            </w:rPr>
            <w:fldChar w:fldCharType="separate"/>
          </w:r>
          <w:r>
            <w:rPr>
              <w:rFonts w:ascii="仿宋" w:hAnsi="仿宋" w:eastAsia="仿宋"/>
              <w:sz w:val="24"/>
            </w:rPr>
            <w:t>18</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"_Toc63201879" </w:instrText>
          </w:r>
          <w:r>
            <w:fldChar w:fldCharType="separate"/>
          </w:r>
          <w:r>
            <w:rPr>
              <w:rStyle w:val="19"/>
              <w:rFonts w:ascii="仿宋" w:hAnsi="仿宋" w:eastAsia="仿宋" w:cs="仿宋"/>
              <w:color w:val="auto"/>
              <w:sz w:val="24"/>
            </w:rPr>
            <w:t xml:space="preserve">5.4 </w:t>
          </w:r>
          <w:r>
            <w:rPr>
              <w:rStyle w:val="19"/>
              <w:rFonts w:hint="eastAsia" w:ascii="仿宋" w:hAnsi="仿宋" w:eastAsia="仿宋" w:cs="仿宋"/>
              <w:color w:val="auto"/>
              <w:sz w:val="24"/>
            </w:rPr>
            <w:t>勘界定桩</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_Toc63201879 \h </w:instrText>
          </w:r>
          <w:r>
            <w:rPr>
              <w:rFonts w:ascii="仿宋" w:hAnsi="仿宋" w:eastAsia="仿宋"/>
              <w:sz w:val="24"/>
            </w:rPr>
            <w:fldChar w:fldCharType="separate"/>
          </w:r>
          <w:r>
            <w:rPr>
              <w:rFonts w:ascii="仿宋" w:hAnsi="仿宋" w:eastAsia="仿宋"/>
              <w:sz w:val="24"/>
            </w:rPr>
            <w:t>19</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"_Toc63201882" </w:instrText>
          </w:r>
          <w:r>
            <w:fldChar w:fldCharType="separate"/>
          </w:r>
          <w:r>
            <w:rPr>
              <w:rStyle w:val="19"/>
              <w:rFonts w:ascii="仿宋" w:hAnsi="仿宋" w:eastAsia="仿宋" w:cs="仿宋"/>
              <w:color w:val="auto"/>
              <w:sz w:val="24"/>
            </w:rPr>
            <w:t xml:space="preserve">5.5 </w:t>
          </w:r>
          <w:r>
            <w:rPr>
              <w:rStyle w:val="19"/>
              <w:rFonts w:hint="eastAsia" w:ascii="仿宋" w:hAnsi="仿宋" w:eastAsia="仿宋" w:cs="仿宋"/>
              <w:color w:val="auto"/>
              <w:sz w:val="24"/>
            </w:rPr>
            <w:t>成果验收</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_Toc63201882 \h </w:instrText>
          </w:r>
          <w:r>
            <w:rPr>
              <w:rFonts w:ascii="仿宋" w:hAnsi="仿宋" w:eastAsia="仿宋"/>
              <w:sz w:val="24"/>
            </w:rPr>
            <w:fldChar w:fldCharType="separate"/>
          </w:r>
          <w:r>
            <w:rPr>
              <w:rFonts w:ascii="仿宋" w:hAnsi="仿宋" w:eastAsia="仿宋"/>
              <w:sz w:val="24"/>
            </w:rPr>
            <w:t>24</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"_Toc63201888" </w:instrText>
          </w:r>
          <w:r>
            <w:fldChar w:fldCharType="separate"/>
          </w:r>
          <w:r>
            <w:rPr>
              <w:rStyle w:val="19"/>
              <w:rFonts w:ascii="仿宋" w:hAnsi="仿宋" w:eastAsia="仿宋" w:cs="仿宋"/>
              <w:color w:val="auto"/>
              <w:sz w:val="24"/>
            </w:rPr>
            <w:t xml:space="preserve">5.6 </w:t>
          </w:r>
          <w:r>
            <w:rPr>
              <w:rStyle w:val="19"/>
              <w:rFonts w:hint="eastAsia" w:ascii="仿宋" w:hAnsi="仿宋" w:eastAsia="仿宋" w:cs="仿宋"/>
              <w:color w:val="auto"/>
              <w:sz w:val="24"/>
            </w:rPr>
            <w:t>工程量</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_Toc63201888 \h </w:instrText>
          </w:r>
          <w:r>
            <w:rPr>
              <w:rFonts w:ascii="仿宋" w:hAnsi="仿宋" w:eastAsia="仿宋"/>
              <w:sz w:val="24"/>
            </w:rPr>
            <w:fldChar w:fldCharType="separate"/>
          </w:r>
          <w:r>
            <w:rPr>
              <w:rFonts w:ascii="仿宋" w:hAnsi="仿宋" w:eastAsia="仿宋"/>
              <w:sz w:val="24"/>
            </w:rPr>
            <w:t>25</w:t>
          </w:r>
          <w:r>
            <w:rPr>
              <w:rFonts w:ascii="仿宋" w:hAnsi="仿宋" w:eastAsia="仿宋"/>
              <w:sz w:val="24"/>
            </w:rPr>
            <w:fldChar w:fldCharType="end"/>
          </w:r>
          <w:r>
            <w:rPr>
              <w:rFonts w:ascii="仿宋" w:hAnsi="仿宋" w:eastAsia="仿宋"/>
              <w:sz w:val="24"/>
            </w:rPr>
            <w:fldChar w:fldCharType="end"/>
          </w:r>
        </w:p>
        <w:p>
          <w:pPr>
            <w:pStyle w:val="12"/>
            <w:tabs>
              <w:tab w:val="right" w:leader="dot" w:pos="8296"/>
            </w:tabs>
            <w:spacing w:line="440" w:lineRule="exact"/>
            <w:rPr>
              <w:rFonts w:ascii="仿宋" w:hAnsi="仿宋" w:eastAsia="仿宋"/>
              <w:sz w:val="24"/>
            </w:rPr>
          </w:pPr>
          <w:r>
            <w:fldChar w:fldCharType="begin"/>
          </w:r>
          <w:r>
            <w:instrText xml:space="preserve"> HYPERLINK \l "_Toc63201891" </w:instrText>
          </w:r>
          <w:r>
            <w:fldChar w:fldCharType="separate"/>
          </w:r>
          <w:r>
            <w:rPr>
              <w:rStyle w:val="19"/>
              <w:rFonts w:hint="eastAsia" w:ascii="仿宋" w:hAnsi="仿宋" w:eastAsia="仿宋" w:cs="仿宋"/>
              <w:color w:val="auto"/>
              <w:sz w:val="24"/>
            </w:rPr>
            <w:t>六、 经费测算</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_Toc63201891 \h </w:instrText>
          </w:r>
          <w:r>
            <w:rPr>
              <w:rFonts w:ascii="仿宋" w:hAnsi="仿宋" w:eastAsia="仿宋"/>
              <w:sz w:val="24"/>
            </w:rPr>
            <w:fldChar w:fldCharType="separate"/>
          </w:r>
          <w:r>
            <w:rPr>
              <w:rFonts w:ascii="仿宋" w:hAnsi="仿宋" w:eastAsia="仿宋"/>
              <w:sz w:val="24"/>
            </w:rPr>
            <w:t>26</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"_Toc63201892" </w:instrText>
          </w:r>
          <w:r>
            <w:fldChar w:fldCharType="separate"/>
          </w:r>
          <w:r>
            <w:rPr>
              <w:rStyle w:val="19"/>
              <w:rFonts w:ascii="仿宋" w:hAnsi="仿宋" w:eastAsia="仿宋" w:cs="仿宋"/>
              <w:color w:val="auto"/>
              <w:sz w:val="24"/>
            </w:rPr>
            <w:t>6.1</w:t>
          </w:r>
          <w:r>
            <w:rPr>
              <w:rStyle w:val="19"/>
              <w:rFonts w:hint="eastAsia" w:ascii="仿宋" w:hAnsi="仿宋" w:eastAsia="仿宋" w:cs="仿宋"/>
              <w:color w:val="auto"/>
              <w:sz w:val="24"/>
            </w:rPr>
            <w:t>经费测算编制依据</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_Toc63201892 \h </w:instrText>
          </w:r>
          <w:r>
            <w:rPr>
              <w:rFonts w:ascii="仿宋" w:hAnsi="仿宋" w:eastAsia="仿宋"/>
              <w:sz w:val="24"/>
            </w:rPr>
            <w:fldChar w:fldCharType="separate"/>
          </w:r>
          <w:r>
            <w:rPr>
              <w:rFonts w:ascii="仿宋" w:hAnsi="仿宋" w:eastAsia="仿宋"/>
              <w:sz w:val="24"/>
            </w:rPr>
            <w:t>26</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"_Toc63201893" </w:instrText>
          </w:r>
          <w:r>
            <w:fldChar w:fldCharType="separate"/>
          </w:r>
          <w:r>
            <w:rPr>
              <w:rStyle w:val="19"/>
              <w:rFonts w:ascii="仿宋" w:hAnsi="仿宋" w:eastAsia="仿宋" w:cs="仿宋"/>
              <w:color w:val="auto"/>
              <w:sz w:val="24"/>
            </w:rPr>
            <w:t>6.2</w:t>
          </w:r>
          <w:r>
            <w:rPr>
              <w:rStyle w:val="19"/>
              <w:rFonts w:hint="eastAsia" w:ascii="仿宋" w:hAnsi="仿宋" w:eastAsia="仿宋" w:cs="仿宋"/>
              <w:color w:val="auto"/>
              <w:sz w:val="24"/>
            </w:rPr>
            <w:t>经费测算构成及单价</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_Toc63201893 \h </w:instrText>
          </w:r>
          <w:r>
            <w:rPr>
              <w:rFonts w:ascii="仿宋" w:hAnsi="仿宋" w:eastAsia="仿宋"/>
              <w:sz w:val="24"/>
            </w:rPr>
            <w:fldChar w:fldCharType="separate"/>
          </w:r>
          <w:r>
            <w:rPr>
              <w:rFonts w:ascii="仿宋" w:hAnsi="仿宋" w:eastAsia="仿宋"/>
              <w:sz w:val="24"/>
            </w:rPr>
            <w:t>26</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"_Toc63201894" </w:instrText>
          </w:r>
          <w:r>
            <w:fldChar w:fldCharType="separate"/>
          </w:r>
          <w:r>
            <w:rPr>
              <w:rStyle w:val="19"/>
              <w:rFonts w:ascii="仿宋" w:hAnsi="仿宋" w:eastAsia="仿宋" w:cs="仿宋"/>
              <w:color w:val="auto"/>
              <w:sz w:val="24"/>
            </w:rPr>
            <w:t>6.3</w:t>
          </w:r>
          <w:r>
            <w:rPr>
              <w:rStyle w:val="19"/>
              <w:rFonts w:hint="eastAsia" w:ascii="仿宋" w:hAnsi="仿宋" w:eastAsia="仿宋" w:cs="仿宋"/>
              <w:color w:val="auto"/>
              <w:sz w:val="24"/>
            </w:rPr>
            <w:t>费用估算</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_Toc63201894 \h </w:instrText>
          </w:r>
          <w:r>
            <w:rPr>
              <w:rFonts w:ascii="仿宋" w:hAnsi="仿宋" w:eastAsia="仿宋"/>
              <w:sz w:val="24"/>
            </w:rPr>
            <w:fldChar w:fldCharType="separate"/>
          </w:r>
          <w:r>
            <w:rPr>
              <w:rFonts w:ascii="仿宋" w:hAnsi="仿宋" w:eastAsia="仿宋"/>
              <w:sz w:val="24"/>
            </w:rPr>
            <w:t>28</w:t>
          </w:r>
          <w:r>
            <w:rPr>
              <w:rFonts w:ascii="仿宋" w:hAnsi="仿宋" w:eastAsia="仿宋"/>
              <w:sz w:val="24"/>
            </w:rPr>
            <w:fldChar w:fldCharType="end"/>
          </w:r>
          <w:r>
            <w:rPr>
              <w:rFonts w:ascii="仿宋" w:hAnsi="仿宋" w:eastAsia="仿宋"/>
              <w:sz w:val="24"/>
            </w:rPr>
            <w:fldChar w:fldCharType="end"/>
          </w:r>
        </w:p>
        <w:p>
          <w:pPr>
            <w:pStyle w:val="12"/>
            <w:tabs>
              <w:tab w:val="right" w:leader="dot" w:pos="8296"/>
            </w:tabs>
            <w:spacing w:line="440" w:lineRule="exact"/>
            <w:rPr>
              <w:rFonts w:ascii="仿宋" w:hAnsi="仿宋" w:eastAsia="仿宋"/>
              <w:sz w:val="24"/>
            </w:rPr>
          </w:pPr>
          <w:r>
            <w:fldChar w:fldCharType="begin"/>
          </w:r>
          <w:r>
            <w:instrText xml:space="preserve"> HYPERLINK \l "_Toc63201895" </w:instrText>
          </w:r>
          <w:r>
            <w:fldChar w:fldCharType="separate"/>
          </w:r>
          <w:r>
            <w:rPr>
              <w:rStyle w:val="19"/>
              <w:rFonts w:hint="eastAsia" w:ascii="仿宋" w:hAnsi="仿宋" w:eastAsia="仿宋" w:cs="仿宋"/>
              <w:color w:val="auto"/>
              <w:sz w:val="24"/>
            </w:rPr>
            <w:t>七、 责任分工</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_Toc63201895 \h </w:instrText>
          </w:r>
          <w:r>
            <w:rPr>
              <w:rFonts w:ascii="仿宋" w:hAnsi="仿宋" w:eastAsia="仿宋"/>
              <w:sz w:val="24"/>
            </w:rPr>
            <w:fldChar w:fldCharType="separate"/>
          </w:r>
          <w:r>
            <w:rPr>
              <w:rFonts w:ascii="仿宋" w:hAnsi="仿宋" w:eastAsia="仿宋"/>
              <w:sz w:val="24"/>
            </w:rPr>
            <w:t>29</w:t>
          </w:r>
          <w:r>
            <w:rPr>
              <w:rFonts w:ascii="仿宋" w:hAnsi="仿宋" w:eastAsia="仿宋"/>
              <w:sz w:val="24"/>
            </w:rPr>
            <w:fldChar w:fldCharType="end"/>
          </w:r>
          <w:r>
            <w:rPr>
              <w:rFonts w:ascii="仿宋" w:hAnsi="仿宋" w:eastAsia="仿宋"/>
              <w:sz w:val="24"/>
            </w:rPr>
            <w:fldChar w:fldCharType="end"/>
          </w:r>
        </w:p>
        <w:p>
          <w:pPr>
            <w:pStyle w:val="12"/>
            <w:tabs>
              <w:tab w:val="right" w:leader="dot" w:pos="8296"/>
            </w:tabs>
            <w:spacing w:line="440" w:lineRule="exact"/>
            <w:rPr>
              <w:rFonts w:ascii="仿宋" w:hAnsi="仿宋" w:eastAsia="仿宋"/>
              <w:sz w:val="24"/>
            </w:rPr>
          </w:pPr>
          <w:r>
            <w:fldChar w:fldCharType="begin"/>
          </w:r>
          <w:r>
            <w:instrText xml:space="preserve"> HYPERLINK \l "_Toc63201896" </w:instrText>
          </w:r>
          <w:r>
            <w:fldChar w:fldCharType="separate"/>
          </w:r>
          <w:r>
            <w:rPr>
              <w:rStyle w:val="19"/>
              <w:rFonts w:hint="eastAsia" w:ascii="仿宋" w:hAnsi="仿宋" w:eastAsia="仿宋" w:cs="仿宋"/>
              <w:color w:val="auto"/>
              <w:sz w:val="24"/>
            </w:rPr>
            <w:t>八、 保障措施</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_Toc63201896 \h </w:instrText>
          </w:r>
          <w:r>
            <w:rPr>
              <w:rFonts w:ascii="仿宋" w:hAnsi="仿宋" w:eastAsia="仿宋"/>
              <w:sz w:val="24"/>
            </w:rPr>
            <w:fldChar w:fldCharType="separate"/>
          </w:r>
          <w:r>
            <w:rPr>
              <w:rFonts w:ascii="仿宋" w:hAnsi="仿宋" w:eastAsia="仿宋"/>
              <w:sz w:val="24"/>
            </w:rPr>
            <w:t>30</w:t>
          </w:r>
          <w:r>
            <w:rPr>
              <w:rFonts w:ascii="仿宋" w:hAnsi="仿宋" w:eastAsia="仿宋"/>
              <w:sz w:val="24"/>
            </w:rPr>
            <w:fldChar w:fldCharType="end"/>
          </w:r>
          <w:r>
            <w:rPr>
              <w:rFonts w:ascii="仿宋" w:hAnsi="仿宋" w:eastAsia="仿宋"/>
              <w:sz w:val="24"/>
            </w:rPr>
            <w:fldChar w:fldCharType="end"/>
          </w:r>
        </w:p>
        <w:p>
          <w:pPr>
            <w:pStyle w:val="12"/>
            <w:tabs>
              <w:tab w:val="right" w:leader="dot" w:pos="8296"/>
            </w:tabs>
            <w:spacing w:line="440" w:lineRule="exact"/>
            <w:rPr>
              <w:rFonts w:ascii="仿宋" w:hAnsi="仿宋" w:eastAsia="仿宋"/>
              <w:sz w:val="24"/>
            </w:rPr>
          </w:pPr>
          <w:r>
            <w:fldChar w:fldCharType="begin"/>
          </w:r>
          <w:r>
            <w:instrText xml:space="preserve"> HYPERLINK \l "_Toc63201897" </w:instrText>
          </w:r>
          <w:r>
            <w:fldChar w:fldCharType="separate"/>
          </w:r>
          <w:r>
            <w:rPr>
              <w:rStyle w:val="19"/>
              <w:rFonts w:hint="eastAsia" w:ascii="仿宋" w:hAnsi="仿宋" w:eastAsia="仿宋" w:cs="仿宋"/>
              <w:color w:val="auto"/>
              <w:sz w:val="24"/>
            </w:rPr>
            <w:t>九、 预期成果</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_Toc63201897 \h </w:instrText>
          </w:r>
          <w:r>
            <w:rPr>
              <w:rFonts w:ascii="仿宋" w:hAnsi="仿宋" w:eastAsia="仿宋"/>
              <w:sz w:val="24"/>
            </w:rPr>
            <w:fldChar w:fldCharType="separate"/>
          </w:r>
          <w:r>
            <w:rPr>
              <w:rFonts w:ascii="仿宋" w:hAnsi="仿宋" w:eastAsia="仿宋"/>
              <w:sz w:val="24"/>
            </w:rPr>
            <w:t>32</w:t>
          </w:r>
          <w:r>
            <w:rPr>
              <w:rFonts w:ascii="仿宋" w:hAnsi="仿宋" w:eastAsia="仿宋"/>
              <w:sz w:val="24"/>
            </w:rPr>
            <w:fldChar w:fldCharType="end"/>
          </w:r>
          <w:r>
            <w:rPr>
              <w:rFonts w:ascii="仿宋" w:hAnsi="仿宋" w:eastAsia="仿宋"/>
              <w:sz w:val="24"/>
            </w:rPr>
            <w:fldChar w:fldCharType="end"/>
          </w:r>
        </w:p>
        <w:p>
          <w:pPr>
            <w:spacing w:line="440" w:lineRule="exact"/>
          </w:pPr>
          <w:r>
            <w:rPr>
              <w:rFonts w:ascii="仿宋" w:hAnsi="仿宋" w:eastAsia="仿宋"/>
              <w:sz w:val="24"/>
            </w:rPr>
            <w:fldChar w:fldCharType="end"/>
          </w:r>
          <w:r>
            <w:rPr>
              <w:rFonts w:hint="eastAsia" w:ascii="仿宋" w:hAnsi="仿宋" w:eastAsia="仿宋"/>
              <w:sz w:val="24"/>
            </w:rPr>
            <w:t>附件</w:t>
          </w:r>
        </w:p>
      </w:sdtContent>
    </w:sdt>
    <w:p>
      <w:pPr>
        <w:spacing w:beforeLines="50" w:afterLines="50"/>
        <w:jc w:val="center"/>
        <w:rPr>
          <w:rFonts w:ascii="Times New Roman" w:hAnsi="Times New Roman" w:eastAsia="黑体"/>
          <w:sz w:val="44"/>
          <w:szCs w:val="44"/>
        </w:rPr>
        <w:sectPr>
          <w:pgSz w:w="11906" w:h="16838"/>
          <w:pgMar w:top="1440" w:right="1800" w:bottom="1440" w:left="1800" w:header="851" w:footer="992" w:gutter="0"/>
          <w:cols w:space="425" w:num="1"/>
          <w:docGrid w:type="lines" w:linePitch="312" w:charSpace="0"/>
        </w:sectPr>
      </w:pPr>
    </w:p>
    <w:p>
      <w:pPr>
        <w:numPr>
          <w:ilvl w:val="0"/>
          <w:numId w:val="1"/>
        </w:numPr>
        <w:spacing w:beforeLines="50" w:afterLines="50"/>
        <w:jc w:val="center"/>
        <w:outlineLvl w:val="0"/>
        <w:rPr>
          <w:rFonts w:ascii="仿宋" w:hAnsi="仿宋" w:eastAsia="仿宋" w:cs="仿宋"/>
          <w:b/>
          <w:bCs/>
          <w:sz w:val="28"/>
          <w:szCs w:val="28"/>
        </w:rPr>
      </w:pPr>
      <w:bookmarkStart w:id="0" w:name="_Toc6322"/>
      <w:bookmarkStart w:id="1" w:name="_Toc63201856"/>
      <w:bookmarkStart w:id="2" w:name="_Toc15480_WPSOffice_Level1"/>
      <w:r>
        <w:rPr>
          <w:rFonts w:hint="eastAsia" w:ascii="仿宋" w:hAnsi="仿宋" w:eastAsia="仿宋" w:cs="仿宋"/>
          <w:b/>
          <w:bCs/>
          <w:sz w:val="28"/>
          <w:szCs w:val="28"/>
        </w:rPr>
        <w:t>基本情况</w:t>
      </w:r>
      <w:bookmarkEnd w:id="0"/>
      <w:bookmarkEnd w:id="1"/>
      <w:bookmarkEnd w:id="2"/>
    </w:p>
    <w:p>
      <w:pPr>
        <w:outlineLvl w:val="1"/>
        <w:rPr>
          <w:rFonts w:ascii="仿宋" w:hAnsi="仿宋" w:eastAsia="仿宋" w:cs="仿宋"/>
          <w:sz w:val="28"/>
          <w:szCs w:val="28"/>
        </w:rPr>
      </w:pPr>
      <w:bookmarkStart w:id="3" w:name="_Toc26827"/>
      <w:bookmarkStart w:id="4" w:name="_Toc63201857"/>
      <w:bookmarkStart w:id="5" w:name="_Toc6440_WPSOffice_Level2"/>
      <w:r>
        <w:rPr>
          <w:rFonts w:hint="eastAsia" w:ascii="仿宋" w:hAnsi="仿宋" w:eastAsia="仿宋" w:cs="仿宋"/>
          <w:sz w:val="28"/>
          <w:szCs w:val="28"/>
        </w:rPr>
        <w:t>1.1水库和水利工程概况</w:t>
      </w:r>
      <w:bookmarkEnd w:id="3"/>
      <w:bookmarkEnd w:id="4"/>
      <w:bookmarkEnd w:id="5"/>
    </w:p>
    <w:p>
      <w:pPr>
        <w:ind w:firstLine="544" w:firstLineChars="200"/>
        <w:rPr>
          <w:rFonts w:ascii="仿宋" w:hAnsi="仿宋" w:eastAsia="仿宋" w:cs="仿宋"/>
          <w:snapToGrid w:val="0"/>
          <w:spacing w:val="-4"/>
          <w:kern w:val="24"/>
          <w:sz w:val="28"/>
          <w:szCs w:val="28"/>
        </w:rPr>
      </w:pPr>
      <w:r>
        <w:rPr>
          <w:rFonts w:ascii="仿宋" w:hAnsi="仿宋" w:eastAsia="仿宋" w:cs="仿宋"/>
          <w:snapToGrid w:val="0"/>
          <w:spacing w:val="-4"/>
          <w:kern w:val="24"/>
          <w:sz w:val="28"/>
          <w:szCs w:val="28"/>
        </w:rPr>
        <w:t>千山区位于</w:t>
      </w:r>
      <w:r>
        <w:fldChar w:fldCharType="begin"/>
      </w:r>
      <w:r>
        <w:instrText xml:space="preserve"> HYPERLINK "https://baike.so.com/doc/5950354-6163294.html" \t "_blank" </w:instrText>
      </w:r>
      <w:r>
        <w:fldChar w:fldCharType="separate"/>
      </w:r>
      <w:r>
        <w:rPr>
          <w:rFonts w:ascii="仿宋" w:hAnsi="仿宋" w:eastAsia="仿宋" w:cs="仿宋"/>
          <w:snapToGrid w:val="0"/>
          <w:spacing w:val="-4"/>
          <w:kern w:val="24"/>
          <w:sz w:val="28"/>
          <w:szCs w:val="28"/>
        </w:rPr>
        <w:t>辽东半岛</w:t>
      </w:r>
      <w:r>
        <w:rPr>
          <w:rFonts w:ascii="仿宋" w:hAnsi="仿宋" w:eastAsia="仿宋" w:cs="仿宋"/>
          <w:snapToGrid w:val="0"/>
          <w:spacing w:val="-4"/>
          <w:kern w:val="24"/>
          <w:sz w:val="28"/>
          <w:szCs w:val="28"/>
        </w:rPr>
        <w:fldChar w:fldCharType="end"/>
      </w:r>
      <w:r>
        <w:rPr>
          <w:rFonts w:ascii="仿宋" w:hAnsi="仿宋" w:eastAsia="仿宋" w:cs="仿宋"/>
          <w:snapToGrid w:val="0"/>
          <w:spacing w:val="-4"/>
          <w:kern w:val="24"/>
          <w:sz w:val="28"/>
          <w:szCs w:val="28"/>
        </w:rPr>
        <w:t>北端，辽宁省的中南部，</w:t>
      </w:r>
      <w:r>
        <w:fldChar w:fldCharType="begin"/>
      </w:r>
      <w:r>
        <w:instrText xml:space="preserve"> HYPERLINK "https://baike.so.com/doc/654176-692467.html" \t "_blank" </w:instrText>
      </w:r>
      <w:r>
        <w:fldChar w:fldCharType="separate"/>
      </w:r>
      <w:r>
        <w:rPr>
          <w:rFonts w:ascii="仿宋" w:hAnsi="仿宋" w:eastAsia="仿宋" w:cs="仿宋"/>
          <w:snapToGrid w:val="0"/>
          <w:spacing w:val="-4"/>
          <w:kern w:val="24"/>
          <w:sz w:val="28"/>
          <w:szCs w:val="28"/>
        </w:rPr>
        <w:t>辽河平原</w:t>
      </w:r>
      <w:r>
        <w:rPr>
          <w:rFonts w:ascii="仿宋" w:hAnsi="仿宋" w:eastAsia="仿宋" w:cs="仿宋"/>
          <w:snapToGrid w:val="0"/>
          <w:spacing w:val="-4"/>
          <w:kern w:val="24"/>
          <w:sz w:val="28"/>
          <w:szCs w:val="28"/>
        </w:rPr>
        <w:fldChar w:fldCharType="end"/>
      </w:r>
      <w:r>
        <w:rPr>
          <w:rFonts w:ascii="仿宋" w:hAnsi="仿宋" w:eastAsia="仿宋" w:cs="仿宋"/>
          <w:snapToGrid w:val="0"/>
          <w:spacing w:val="-4"/>
          <w:kern w:val="24"/>
          <w:sz w:val="28"/>
          <w:szCs w:val="28"/>
        </w:rPr>
        <w:t>的中下游，总面积370平方千米。地处</w:t>
      </w:r>
      <w:r>
        <w:fldChar w:fldCharType="begin"/>
      </w:r>
      <w:r>
        <w:instrText xml:space="preserve"> HYPERLINK "https://baike.so.com/doc/6608280-6822068.html" \t "_blank" </w:instrText>
      </w:r>
      <w:r>
        <w:fldChar w:fldCharType="separate"/>
      </w:r>
      <w:r>
        <w:rPr>
          <w:rFonts w:ascii="仿宋" w:hAnsi="仿宋" w:eastAsia="仿宋" w:cs="仿宋"/>
          <w:snapToGrid w:val="0"/>
          <w:spacing w:val="-4"/>
          <w:kern w:val="24"/>
          <w:sz w:val="28"/>
          <w:szCs w:val="28"/>
        </w:rPr>
        <w:t>东经</w:t>
      </w:r>
      <w:r>
        <w:rPr>
          <w:rFonts w:ascii="仿宋" w:hAnsi="仿宋" w:eastAsia="仿宋" w:cs="仿宋"/>
          <w:snapToGrid w:val="0"/>
          <w:spacing w:val="-4"/>
          <w:kern w:val="24"/>
          <w:sz w:val="28"/>
          <w:szCs w:val="28"/>
        </w:rPr>
        <w:fldChar w:fldCharType="end"/>
      </w:r>
      <w:r>
        <w:rPr>
          <w:rFonts w:ascii="仿宋" w:hAnsi="仿宋" w:eastAsia="仿宋" w:cs="仿宋"/>
          <w:snapToGrid w:val="0"/>
          <w:spacing w:val="-4"/>
          <w:kern w:val="24"/>
          <w:sz w:val="28"/>
          <w:szCs w:val="28"/>
        </w:rPr>
        <w:t>122°49′~123°14′，</w:t>
      </w:r>
      <w:r>
        <w:fldChar w:fldCharType="begin"/>
      </w:r>
      <w:r>
        <w:instrText xml:space="preserve"> HYPERLINK "https://baike.so.com/doc/6147425-6360610.html" \t "_blank" </w:instrText>
      </w:r>
      <w:r>
        <w:fldChar w:fldCharType="separate"/>
      </w:r>
      <w:r>
        <w:rPr>
          <w:rFonts w:ascii="仿宋" w:hAnsi="仿宋" w:eastAsia="仿宋" w:cs="仿宋"/>
          <w:snapToGrid w:val="0"/>
          <w:spacing w:val="-4"/>
          <w:kern w:val="24"/>
          <w:sz w:val="28"/>
          <w:szCs w:val="28"/>
        </w:rPr>
        <w:t>北纬</w:t>
      </w:r>
      <w:r>
        <w:rPr>
          <w:rFonts w:ascii="仿宋" w:hAnsi="仿宋" w:eastAsia="仿宋" w:cs="仿宋"/>
          <w:snapToGrid w:val="0"/>
          <w:spacing w:val="-4"/>
          <w:kern w:val="24"/>
          <w:sz w:val="28"/>
          <w:szCs w:val="28"/>
        </w:rPr>
        <w:fldChar w:fldCharType="end"/>
      </w:r>
      <w:r>
        <w:rPr>
          <w:rFonts w:ascii="仿宋" w:hAnsi="仿宋" w:eastAsia="仿宋" w:cs="仿宋"/>
          <w:snapToGrid w:val="0"/>
          <w:spacing w:val="-4"/>
          <w:kern w:val="24"/>
          <w:sz w:val="28"/>
          <w:szCs w:val="28"/>
        </w:rPr>
        <w:t>40°55′~41°12′。南、西南与海城市毗邻，东、北、西与辽阳县接壤，区划调整后仅含鞍山市区南部。千山区东南部是低山</w:t>
      </w:r>
      <w:r>
        <w:fldChar w:fldCharType="begin"/>
      </w:r>
      <w:r>
        <w:instrText xml:space="preserve"> HYPERLINK "https://baike.so.com/doc/6411632-7570483.html" \t "_blank" </w:instrText>
      </w:r>
      <w:r>
        <w:fldChar w:fldCharType="separate"/>
      </w:r>
      <w:r>
        <w:rPr>
          <w:rFonts w:ascii="仿宋" w:hAnsi="仿宋" w:eastAsia="仿宋" w:cs="仿宋"/>
          <w:snapToGrid w:val="0"/>
          <w:spacing w:val="-4"/>
          <w:kern w:val="24"/>
          <w:sz w:val="28"/>
          <w:szCs w:val="28"/>
        </w:rPr>
        <w:t>丘陵</w:t>
      </w:r>
      <w:r>
        <w:rPr>
          <w:rFonts w:ascii="仿宋" w:hAnsi="仿宋" w:eastAsia="仿宋" w:cs="仿宋"/>
          <w:snapToGrid w:val="0"/>
          <w:spacing w:val="-4"/>
          <w:kern w:val="24"/>
          <w:sz w:val="28"/>
          <w:szCs w:val="28"/>
        </w:rPr>
        <w:fldChar w:fldCharType="end"/>
      </w:r>
      <w:r>
        <w:rPr>
          <w:rFonts w:ascii="仿宋" w:hAnsi="仿宋" w:eastAsia="仿宋" w:cs="仿宋"/>
          <w:snapToGrid w:val="0"/>
          <w:spacing w:val="-4"/>
          <w:kern w:val="24"/>
          <w:sz w:val="28"/>
          <w:szCs w:val="28"/>
        </w:rPr>
        <w:t>，中部、西北部是</w:t>
      </w:r>
      <w:r>
        <w:fldChar w:fldCharType="begin"/>
      </w:r>
      <w:r>
        <w:instrText xml:space="preserve"> HYPERLINK "https://baike.so.com/doc/6456104-6669791.html" \t "_blank" </w:instrText>
      </w:r>
      <w:r>
        <w:fldChar w:fldCharType="separate"/>
      </w:r>
      <w:r>
        <w:rPr>
          <w:rFonts w:ascii="仿宋" w:hAnsi="仿宋" w:eastAsia="仿宋" w:cs="仿宋"/>
          <w:snapToGrid w:val="0"/>
          <w:spacing w:val="-4"/>
          <w:kern w:val="24"/>
          <w:sz w:val="28"/>
          <w:szCs w:val="28"/>
        </w:rPr>
        <w:t>冲积平原</w:t>
      </w:r>
      <w:r>
        <w:rPr>
          <w:rFonts w:ascii="仿宋" w:hAnsi="仿宋" w:eastAsia="仿宋" w:cs="仿宋"/>
          <w:snapToGrid w:val="0"/>
          <w:spacing w:val="-4"/>
          <w:kern w:val="24"/>
          <w:sz w:val="28"/>
          <w:szCs w:val="28"/>
        </w:rPr>
        <w:fldChar w:fldCharType="end"/>
      </w:r>
      <w:r>
        <w:rPr>
          <w:rFonts w:ascii="仿宋" w:hAnsi="仿宋" w:eastAsia="仿宋" w:cs="仿宋"/>
          <w:snapToGrid w:val="0"/>
          <w:spacing w:val="-4"/>
          <w:kern w:val="24"/>
          <w:sz w:val="28"/>
          <w:szCs w:val="28"/>
        </w:rPr>
        <w:t>。千山区属</w:t>
      </w:r>
      <w:r>
        <w:fldChar w:fldCharType="begin"/>
      </w:r>
      <w:r>
        <w:instrText xml:space="preserve"> HYPERLINK "https://baike.so.com/doc/6534588-6748326.html" \t "_blank" </w:instrText>
      </w:r>
      <w:r>
        <w:fldChar w:fldCharType="separate"/>
      </w:r>
      <w:r>
        <w:rPr>
          <w:rFonts w:ascii="仿宋" w:hAnsi="仿宋" w:eastAsia="仿宋" w:cs="仿宋"/>
          <w:snapToGrid w:val="0"/>
          <w:spacing w:val="-4"/>
          <w:kern w:val="24"/>
          <w:sz w:val="28"/>
          <w:szCs w:val="28"/>
        </w:rPr>
        <w:t>北温带</w:t>
      </w:r>
      <w:r>
        <w:rPr>
          <w:rFonts w:ascii="仿宋" w:hAnsi="仿宋" w:eastAsia="仿宋" w:cs="仿宋"/>
          <w:snapToGrid w:val="0"/>
          <w:spacing w:val="-4"/>
          <w:kern w:val="24"/>
          <w:sz w:val="28"/>
          <w:szCs w:val="28"/>
        </w:rPr>
        <w:fldChar w:fldCharType="end"/>
      </w:r>
      <w:r>
        <w:rPr>
          <w:rFonts w:ascii="仿宋" w:hAnsi="仿宋" w:eastAsia="仿宋" w:cs="仿宋"/>
          <w:snapToGrid w:val="0"/>
          <w:spacing w:val="-4"/>
          <w:kern w:val="24"/>
          <w:sz w:val="28"/>
          <w:szCs w:val="28"/>
        </w:rPr>
        <w:t>大陆性半湿润季风气候，其主要气候特点是四季分明、夏热冬寒、春暖秋爽、</w:t>
      </w:r>
      <w:r>
        <w:fldChar w:fldCharType="begin"/>
      </w:r>
      <w:r>
        <w:instrText xml:space="preserve"> HYPERLINK "https://baike.so.com/doc/2380106-2516596.html" \t "_blank" </w:instrText>
      </w:r>
      <w:r>
        <w:fldChar w:fldCharType="separate"/>
      </w:r>
      <w:r>
        <w:rPr>
          <w:rFonts w:ascii="仿宋" w:hAnsi="仿宋" w:eastAsia="仿宋" w:cs="仿宋"/>
          <w:snapToGrid w:val="0"/>
          <w:spacing w:val="-4"/>
          <w:kern w:val="24"/>
          <w:sz w:val="28"/>
          <w:szCs w:val="28"/>
        </w:rPr>
        <w:t>雨热同期</w:t>
      </w:r>
      <w:r>
        <w:rPr>
          <w:rFonts w:ascii="仿宋" w:hAnsi="仿宋" w:eastAsia="仿宋" w:cs="仿宋"/>
          <w:snapToGrid w:val="0"/>
          <w:spacing w:val="-4"/>
          <w:kern w:val="24"/>
          <w:sz w:val="28"/>
          <w:szCs w:val="28"/>
        </w:rPr>
        <w:fldChar w:fldCharType="end"/>
      </w:r>
      <w:r>
        <w:rPr>
          <w:rFonts w:ascii="仿宋" w:hAnsi="仿宋" w:eastAsia="仿宋" w:cs="仿宋"/>
          <w:snapToGrid w:val="0"/>
          <w:spacing w:val="-4"/>
          <w:kern w:val="24"/>
          <w:sz w:val="28"/>
          <w:szCs w:val="28"/>
        </w:rPr>
        <w:t>、干冷同季、降水充沛、温度适宜、光照丰富，年平均气温9.7度。千山区位于</w:t>
      </w:r>
      <w:r>
        <w:fldChar w:fldCharType="begin"/>
      </w:r>
      <w:r>
        <w:instrText xml:space="preserve"> HYPERLINK "https://baike.so.com/doc/654176-692467.html" \t "_blank" </w:instrText>
      </w:r>
      <w:r>
        <w:fldChar w:fldCharType="separate"/>
      </w:r>
      <w:r>
        <w:rPr>
          <w:rFonts w:ascii="仿宋" w:hAnsi="仿宋" w:eastAsia="仿宋" w:cs="仿宋"/>
          <w:snapToGrid w:val="0"/>
          <w:spacing w:val="-4"/>
          <w:kern w:val="24"/>
          <w:sz w:val="28"/>
          <w:szCs w:val="28"/>
        </w:rPr>
        <w:t>辽河平原</w:t>
      </w:r>
      <w:r>
        <w:rPr>
          <w:rFonts w:ascii="仿宋" w:hAnsi="仿宋" w:eastAsia="仿宋" w:cs="仿宋"/>
          <w:snapToGrid w:val="0"/>
          <w:spacing w:val="-4"/>
          <w:kern w:val="24"/>
          <w:sz w:val="28"/>
          <w:szCs w:val="28"/>
        </w:rPr>
        <w:fldChar w:fldCharType="end"/>
      </w:r>
      <w:r>
        <w:rPr>
          <w:rFonts w:ascii="仿宋" w:hAnsi="仿宋" w:eastAsia="仿宋" w:cs="仿宋"/>
          <w:snapToGrid w:val="0"/>
          <w:spacing w:val="-4"/>
          <w:kern w:val="24"/>
          <w:sz w:val="28"/>
          <w:szCs w:val="28"/>
        </w:rPr>
        <w:t>中下游。主要河流有三条，分别是南沙河、运粮河、杨柳河。千山区的有地热、</w:t>
      </w:r>
      <w:r>
        <w:fldChar w:fldCharType="begin"/>
      </w:r>
      <w:r>
        <w:instrText xml:space="preserve"> HYPERLINK "https://baike.so.com/doc/5754203-5966964.html" \t "_blank" </w:instrText>
      </w:r>
      <w:r>
        <w:fldChar w:fldCharType="separate"/>
      </w:r>
      <w:r>
        <w:rPr>
          <w:rFonts w:ascii="仿宋" w:hAnsi="仿宋" w:eastAsia="仿宋" w:cs="仿宋"/>
          <w:snapToGrid w:val="0"/>
          <w:spacing w:val="-4"/>
          <w:kern w:val="24"/>
          <w:sz w:val="28"/>
          <w:szCs w:val="28"/>
        </w:rPr>
        <w:t>矿泉</w:t>
      </w:r>
      <w:r>
        <w:rPr>
          <w:rFonts w:ascii="仿宋" w:hAnsi="仿宋" w:eastAsia="仿宋" w:cs="仿宋"/>
          <w:snapToGrid w:val="0"/>
          <w:spacing w:val="-4"/>
          <w:kern w:val="24"/>
          <w:sz w:val="28"/>
          <w:szCs w:val="28"/>
        </w:rPr>
        <w:fldChar w:fldCharType="end"/>
      </w:r>
      <w:r>
        <w:rPr>
          <w:rFonts w:ascii="仿宋" w:hAnsi="仿宋" w:eastAsia="仿宋" w:cs="仿宋"/>
          <w:snapToGrid w:val="0"/>
          <w:spacing w:val="-4"/>
          <w:kern w:val="24"/>
          <w:sz w:val="28"/>
          <w:szCs w:val="28"/>
        </w:rPr>
        <w:t>资源，汤岗子、倪家台地下热水含有钾、</w:t>
      </w:r>
      <w:r>
        <w:fldChar w:fldCharType="begin"/>
      </w:r>
      <w:r>
        <w:instrText xml:space="preserve"> HYPERLINK "https://baike.so.com/doc/5184946-5416248.html" \t "_blank" </w:instrText>
      </w:r>
      <w:r>
        <w:fldChar w:fldCharType="separate"/>
      </w:r>
      <w:r>
        <w:rPr>
          <w:rFonts w:ascii="仿宋" w:hAnsi="仿宋" w:eastAsia="仿宋" w:cs="仿宋"/>
          <w:snapToGrid w:val="0"/>
          <w:spacing w:val="-4"/>
          <w:kern w:val="24"/>
          <w:sz w:val="28"/>
          <w:szCs w:val="28"/>
        </w:rPr>
        <w:t>镁</w:t>
      </w:r>
      <w:r>
        <w:rPr>
          <w:rFonts w:ascii="仿宋" w:hAnsi="仿宋" w:eastAsia="仿宋" w:cs="仿宋"/>
          <w:snapToGrid w:val="0"/>
          <w:spacing w:val="-4"/>
          <w:kern w:val="24"/>
          <w:sz w:val="28"/>
          <w:szCs w:val="28"/>
        </w:rPr>
        <w:fldChar w:fldCharType="end"/>
      </w:r>
      <w:r>
        <w:rPr>
          <w:rFonts w:ascii="仿宋" w:hAnsi="仿宋" w:eastAsia="仿宋" w:cs="仿宋"/>
          <w:snapToGrid w:val="0"/>
          <w:spacing w:val="-4"/>
          <w:kern w:val="24"/>
          <w:sz w:val="28"/>
          <w:szCs w:val="28"/>
        </w:rPr>
        <w:t>、</w:t>
      </w:r>
      <w:r>
        <w:fldChar w:fldCharType="begin"/>
      </w:r>
      <w:r>
        <w:instrText xml:space="preserve"> HYPERLINK "https://baike.so.com/doc/5086838.html" \t "_blank" </w:instrText>
      </w:r>
      <w:r>
        <w:fldChar w:fldCharType="separate"/>
      </w:r>
      <w:r>
        <w:rPr>
          <w:rFonts w:ascii="仿宋" w:hAnsi="仿宋" w:eastAsia="仿宋" w:cs="仿宋"/>
          <w:snapToGrid w:val="0"/>
          <w:spacing w:val="-4"/>
          <w:kern w:val="24"/>
          <w:sz w:val="28"/>
          <w:szCs w:val="28"/>
        </w:rPr>
        <w:t>钠</w:t>
      </w:r>
      <w:r>
        <w:rPr>
          <w:rFonts w:ascii="仿宋" w:hAnsi="仿宋" w:eastAsia="仿宋" w:cs="仿宋"/>
          <w:snapToGrid w:val="0"/>
          <w:spacing w:val="-4"/>
          <w:kern w:val="24"/>
          <w:sz w:val="28"/>
          <w:szCs w:val="28"/>
        </w:rPr>
        <w:fldChar w:fldCharType="end"/>
      </w:r>
      <w:r>
        <w:rPr>
          <w:rFonts w:ascii="仿宋" w:hAnsi="仿宋" w:eastAsia="仿宋" w:cs="仿宋"/>
          <w:snapToGrid w:val="0"/>
          <w:spacing w:val="-4"/>
          <w:kern w:val="24"/>
          <w:sz w:val="28"/>
          <w:szCs w:val="28"/>
        </w:rPr>
        <w:t>、</w:t>
      </w:r>
      <w:r>
        <w:fldChar w:fldCharType="begin"/>
      </w:r>
      <w:r>
        <w:instrText xml:space="preserve"> HYPERLINK "https://baike.so.com/doc/4235803-4437754.html" \t "_blank" </w:instrText>
      </w:r>
      <w:r>
        <w:fldChar w:fldCharType="separate"/>
      </w:r>
      <w:r>
        <w:rPr>
          <w:rFonts w:ascii="仿宋" w:hAnsi="仿宋" w:eastAsia="仿宋" w:cs="仿宋"/>
          <w:snapToGrid w:val="0"/>
          <w:spacing w:val="-4"/>
          <w:kern w:val="24"/>
          <w:sz w:val="28"/>
          <w:szCs w:val="28"/>
        </w:rPr>
        <w:t>硫</w:t>
      </w:r>
      <w:r>
        <w:rPr>
          <w:rFonts w:ascii="仿宋" w:hAnsi="仿宋" w:eastAsia="仿宋" w:cs="仿宋"/>
          <w:snapToGrid w:val="0"/>
          <w:spacing w:val="-4"/>
          <w:kern w:val="24"/>
          <w:sz w:val="28"/>
          <w:szCs w:val="28"/>
        </w:rPr>
        <w:fldChar w:fldCharType="end"/>
      </w:r>
      <w:r>
        <w:rPr>
          <w:rFonts w:ascii="仿宋" w:hAnsi="仿宋" w:eastAsia="仿宋" w:cs="仿宋"/>
          <w:snapToGrid w:val="0"/>
          <w:spacing w:val="-4"/>
          <w:kern w:val="24"/>
          <w:sz w:val="28"/>
          <w:szCs w:val="28"/>
        </w:rPr>
        <w:t>等多种</w:t>
      </w:r>
      <w:r>
        <w:fldChar w:fldCharType="begin"/>
      </w:r>
      <w:r>
        <w:instrText xml:space="preserve"> HYPERLINK "https://baike.so.com/doc/10040680.html" \t "_blank" </w:instrText>
      </w:r>
      <w:r>
        <w:fldChar w:fldCharType="separate"/>
      </w:r>
      <w:r>
        <w:rPr>
          <w:rFonts w:ascii="仿宋" w:hAnsi="仿宋" w:eastAsia="仿宋" w:cs="仿宋"/>
          <w:snapToGrid w:val="0"/>
          <w:spacing w:val="-4"/>
          <w:kern w:val="24"/>
          <w:sz w:val="28"/>
          <w:szCs w:val="28"/>
        </w:rPr>
        <w:t>矿物质</w:t>
      </w:r>
      <w:r>
        <w:rPr>
          <w:rFonts w:ascii="仿宋" w:hAnsi="仿宋" w:eastAsia="仿宋" w:cs="仿宋"/>
          <w:snapToGrid w:val="0"/>
          <w:spacing w:val="-4"/>
          <w:kern w:val="24"/>
          <w:sz w:val="28"/>
          <w:szCs w:val="28"/>
        </w:rPr>
        <w:fldChar w:fldCharType="end"/>
      </w:r>
      <w:r>
        <w:rPr>
          <w:rFonts w:ascii="仿宋" w:hAnsi="仿宋" w:eastAsia="仿宋" w:cs="仿宋"/>
          <w:snapToGrid w:val="0"/>
          <w:spacing w:val="-4"/>
          <w:kern w:val="24"/>
          <w:sz w:val="28"/>
          <w:szCs w:val="28"/>
        </w:rPr>
        <w:t>，</w:t>
      </w:r>
      <w:r>
        <w:fldChar w:fldCharType="begin"/>
      </w:r>
      <w:r>
        <w:instrText xml:space="preserve"> HYPERLINK "https://baike.so.com/doc/5367706-5603474.html" \t "_blank" </w:instrText>
      </w:r>
      <w:r>
        <w:fldChar w:fldCharType="separate"/>
      </w:r>
      <w:r>
        <w:rPr>
          <w:rFonts w:ascii="仿宋" w:hAnsi="仿宋" w:eastAsia="仿宋" w:cs="仿宋"/>
          <w:snapToGrid w:val="0"/>
          <w:spacing w:val="-4"/>
          <w:kern w:val="24"/>
          <w:sz w:val="28"/>
          <w:szCs w:val="28"/>
        </w:rPr>
        <w:t>汤岗子温泉</w:t>
      </w:r>
      <w:r>
        <w:rPr>
          <w:rFonts w:ascii="仿宋" w:hAnsi="仿宋" w:eastAsia="仿宋" w:cs="仿宋"/>
          <w:snapToGrid w:val="0"/>
          <w:spacing w:val="-4"/>
          <w:kern w:val="24"/>
          <w:sz w:val="28"/>
          <w:szCs w:val="28"/>
        </w:rPr>
        <w:fldChar w:fldCharType="end"/>
      </w:r>
      <w:r>
        <w:rPr>
          <w:rFonts w:ascii="仿宋" w:hAnsi="仿宋" w:eastAsia="仿宋" w:cs="仿宋"/>
          <w:snapToGrid w:val="0"/>
          <w:spacing w:val="-4"/>
          <w:kern w:val="24"/>
          <w:sz w:val="28"/>
          <w:szCs w:val="28"/>
        </w:rPr>
        <w:t>理疗医院坐落在千山区南部的小镇上。汤岗子地下热水资源，早在1920年就被开发利用，建成汤岗子温泉疗养院。千山地下热水资源，1942年被开发利用，地下冷矿泉水早在20世纪80年代就被开发利用。</w:t>
      </w:r>
    </w:p>
    <w:p>
      <w:pPr>
        <w:ind w:firstLine="544" w:firstLineChars="200"/>
        <w:rPr>
          <w:rFonts w:ascii="仿宋" w:hAnsi="仿宋" w:eastAsia="仿宋" w:cs="仿宋"/>
          <w:snapToGrid w:val="0"/>
          <w:spacing w:val="-4"/>
          <w:kern w:val="24"/>
          <w:sz w:val="28"/>
          <w:szCs w:val="28"/>
        </w:rPr>
      </w:pPr>
      <w:r>
        <w:rPr>
          <w:rFonts w:ascii="仿宋" w:hAnsi="仿宋" w:eastAsia="仿宋" w:cs="仿宋"/>
          <w:snapToGrid w:val="0"/>
          <w:spacing w:val="-4"/>
          <w:kern w:val="24"/>
          <w:sz w:val="28"/>
          <w:szCs w:val="28"/>
        </w:rPr>
        <w:t>20</w:t>
      </w:r>
      <w:r>
        <w:rPr>
          <w:rFonts w:hint="eastAsia" w:ascii="仿宋" w:hAnsi="仿宋" w:eastAsia="仿宋" w:cs="仿宋"/>
          <w:snapToGrid w:val="0"/>
          <w:spacing w:val="-4"/>
          <w:kern w:val="24"/>
          <w:sz w:val="28"/>
          <w:szCs w:val="28"/>
        </w:rPr>
        <w:t>19</w:t>
      </w:r>
      <w:r>
        <w:rPr>
          <w:rFonts w:ascii="仿宋" w:hAnsi="仿宋" w:eastAsia="仿宋" w:cs="仿宋"/>
          <w:snapToGrid w:val="0"/>
          <w:spacing w:val="-4"/>
          <w:kern w:val="24"/>
          <w:sz w:val="28"/>
          <w:szCs w:val="28"/>
        </w:rPr>
        <w:t>年，千山区</w:t>
      </w:r>
      <w:r>
        <w:rPr>
          <w:rFonts w:hint="eastAsia" w:ascii="仿宋" w:hAnsi="仿宋" w:eastAsia="仿宋" w:cs="仿宋"/>
          <w:snapToGrid w:val="0"/>
          <w:spacing w:val="-4"/>
          <w:kern w:val="24"/>
          <w:sz w:val="28"/>
          <w:szCs w:val="28"/>
        </w:rPr>
        <w:t>国内生产总值99.1万元，同比增长6.1%；城镇新增就业1352万人；调查失业率在5.3%以下，居民消费价格上涨2.9%；国际收支基本平衡。社会消费品零售总额超过40万亿元，消费持续发挥重要拉动作用；先进自造业、现代服务业较快增长；粮食产量保持在1.3万亿斤以上；常住人口城镇化率首次超过60%，重大区域战略深入实施。</w:t>
      </w:r>
    </w:p>
    <w:p>
      <w:pPr>
        <w:ind w:firstLine="544" w:firstLineChars="200"/>
        <w:rPr>
          <w:rFonts w:ascii="仿宋" w:hAnsi="仿宋" w:eastAsia="仿宋" w:cs="仿宋"/>
          <w:snapToGrid w:val="0"/>
          <w:spacing w:val="-4"/>
          <w:kern w:val="24"/>
          <w:sz w:val="28"/>
          <w:szCs w:val="28"/>
        </w:rPr>
      </w:pPr>
      <w:r>
        <w:rPr>
          <w:rFonts w:ascii="仿宋" w:hAnsi="仿宋" w:eastAsia="仿宋" w:cs="仿宋"/>
          <w:snapToGrid w:val="0"/>
          <w:spacing w:val="-4"/>
          <w:kern w:val="24"/>
          <w:sz w:val="28"/>
          <w:szCs w:val="28"/>
        </w:rPr>
        <w:t>太平沟水库于19</w:t>
      </w:r>
      <w:r>
        <w:rPr>
          <w:rFonts w:hint="eastAsia" w:ascii="仿宋" w:hAnsi="仿宋" w:eastAsia="仿宋" w:cs="仿宋"/>
          <w:snapToGrid w:val="0"/>
          <w:spacing w:val="-4"/>
          <w:kern w:val="24"/>
          <w:sz w:val="28"/>
          <w:szCs w:val="28"/>
        </w:rPr>
        <w:t>59</w:t>
      </w:r>
      <w:r>
        <w:rPr>
          <w:rFonts w:ascii="仿宋" w:hAnsi="仿宋" w:eastAsia="仿宋" w:cs="仿宋"/>
          <w:snapToGrid w:val="0"/>
          <w:spacing w:val="-4"/>
          <w:kern w:val="24"/>
          <w:sz w:val="28"/>
          <w:szCs w:val="28"/>
        </w:rPr>
        <w:t>年</w:t>
      </w:r>
      <w:r>
        <w:rPr>
          <w:rFonts w:hint="eastAsia" w:ascii="仿宋" w:hAnsi="仿宋" w:eastAsia="仿宋" w:cs="仿宋"/>
          <w:snapToGrid w:val="0"/>
          <w:spacing w:val="-4"/>
          <w:kern w:val="24"/>
          <w:sz w:val="28"/>
          <w:szCs w:val="28"/>
        </w:rPr>
        <w:t>6</w:t>
      </w:r>
      <w:r>
        <w:rPr>
          <w:rFonts w:ascii="仿宋" w:hAnsi="仿宋" w:eastAsia="仿宋" w:cs="仿宋"/>
          <w:snapToGrid w:val="0"/>
          <w:spacing w:val="-4"/>
          <w:kern w:val="24"/>
          <w:sz w:val="28"/>
          <w:szCs w:val="28"/>
        </w:rPr>
        <w:t>月</w:t>
      </w:r>
      <w:r>
        <w:rPr>
          <w:rFonts w:hint="eastAsia" w:ascii="仿宋" w:hAnsi="仿宋" w:eastAsia="仿宋" w:cs="仿宋"/>
          <w:snapToGrid w:val="0"/>
          <w:spacing w:val="-4"/>
          <w:kern w:val="24"/>
          <w:sz w:val="28"/>
          <w:szCs w:val="28"/>
        </w:rPr>
        <w:t>竣工，属镇政府管理的小Ⅱ型水库。水库复核后设计洪水标准为二十年一遇，校核洪水标准为二百年一遇。大坝为均质土坝，坝长185m，最大坝高17.1m，坝顶高程199.5m，坝顶宽度6.0m，迎水坡为干砌石护坡，</w:t>
      </w:r>
      <w:r>
        <w:rPr>
          <w:rFonts w:ascii="仿宋" w:hAnsi="仿宋" w:eastAsia="仿宋" w:cs="仿宋"/>
          <w:snapToGrid w:val="0"/>
          <w:spacing w:val="-4"/>
          <w:kern w:val="24"/>
          <w:sz w:val="28"/>
          <w:szCs w:val="28"/>
        </w:rPr>
        <w:t>坡比1:3.5，</w:t>
      </w:r>
      <w:r>
        <w:rPr>
          <w:rFonts w:hint="eastAsia" w:ascii="仿宋" w:hAnsi="仿宋" w:eastAsia="仿宋" w:cs="仿宋"/>
          <w:snapToGrid w:val="0"/>
          <w:spacing w:val="-4"/>
          <w:kern w:val="24"/>
          <w:sz w:val="28"/>
          <w:szCs w:val="28"/>
        </w:rPr>
        <w:t>背水坡为天然草皮护坡</w:t>
      </w:r>
      <w:r>
        <w:rPr>
          <w:rFonts w:ascii="仿宋" w:hAnsi="仿宋" w:eastAsia="仿宋" w:cs="仿宋"/>
          <w:snapToGrid w:val="0"/>
          <w:spacing w:val="-4"/>
          <w:kern w:val="24"/>
          <w:sz w:val="28"/>
          <w:szCs w:val="28"/>
        </w:rPr>
        <w:t>，坡比1:2.5。</w:t>
      </w:r>
      <w:r>
        <w:rPr>
          <w:rFonts w:hint="eastAsia" w:ascii="仿宋" w:hAnsi="仿宋" w:eastAsia="仿宋" w:cs="仿宋"/>
          <w:snapToGrid w:val="0"/>
          <w:spacing w:val="-4"/>
          <w:kern w:val="24"/>
          <w:sz w:val="28"/>
          <w:szCs w:val="28"/>
        </w:rPr>
        <w:t>输水洞为坝下埋设Φ0.45m铸铁管，最大泄流量0.79</w:t>
      </w:r>
      <w:r>
        <w:rPr>
          <w:rFonts w:ascii="仿宋" w:hAnsi="仿宋" w:eastAsia="仿宋" w:cs="仿宋"/>
          <w:snapToGrid w:val="0"/>
          <w:spacing w:val="-4"/>
          <w:kern w:val="24"/>
          <w:sz w:val="28"/>
          <w:szCs w:val="28"/>
        </w:rPr>
        <w:t xml:space="preserve"> m</w:t>
      </w:r>
      <w:r>
        <w:rPr>
          <w:rFonts w:ascii="仿宋" w:hAnsi="仿宋" w:eastAsia="仿宋" w:cs="仿宋"/>
          <w:snapToGrid w:val="0"/>
          <w:spacing w:val="-4"/>
          <w:kern w:val="24"/>
          <w:sz w:val="28"/>
          <w:szCs w:val="28"/>
          <w:vertAlign w:val="superscript"/>
        </w:rPr>
        <w:t>3</w:t>
      </w:r>
      <w:r>
        <w:rPr>
          <w:rFonts w:ascii="仿宋" w:hAnsi="仿宋" w:eastAsia="仿宋" w:cs="仿宋"/>
          <w:snapToGrid w:val="0"/>
          <w:spacing w:val="-4"/>
          <w:kern w:val="24"/>
          <w:sz w:val="28"/>
          <w:szCs w:val="28"/>
        </w:rPr>
        <w:t>/s</w:t>
      </w:r>
      <w:r>
        <w:rPr>
          <w:rFonts w:hint="eastAsia" w:ascii="仿宋" w:hAnsi="仿宋" w:eastAsia="仿宋" w:cs="仿宋"/>
          <w:snapToGrid w:val="0"/>
          <w:spacing w:val="-4"/>
          <w:kern w:val="24"/>
          <w:sz w:val="28"/>
          <w:szCs w:val="28"/>
        </w:rPr>
        <w:t>。溢洪道为开敞式宽顶堰，堰顶高程196.30m，堰顶净宽17m,翼墙高度3.2m，最大泄量133</w:t>
      </w:r>
      <w:r>
        <w:rPr>
          <w:rFonts w:ascii="仿宋" w:hAnsi="仿宋" w:eastAsia="仿宋" w:cs="仿宋"/>
          <w:snapToGrid w:val="0"/>
          <w:spacing w:val="-4"/>
          <w:kern w:val="24"/>
          <w:sz w:val="28"/>
          <w:szCs w:val="28"/>
        </w:rPr>
        <w:t>m</w:t>
      </w:r>
      <w:r>
        <w:rPr>
          <w:rFonts w:ascii="仿宋" w:hAnsi="仿宋" w:eastAsia="仿宋" w:cs="仿宋"/>
          <w:snapToGrid w:val="0"/>
          <w:spacing w:val="-4"/>
          <w:kern w:val="24"/>
          <w:sz w:val="28"/>
          <w:szCs w:val="28"/>
          <w:vertAlign w:val="superscript"/>
        </w:rPr>
        <w:t>3</w:t>
      </w:r>
      <w:r>
        <w:rPr>
          <w:rFonts w:ascii="仿宋" w:hAnsi="仿宋" w:eastAsia="仿宋" w:cs="仿宋"/>
          <w:snapToGrid w:val="0"/>
          <w:spacing w:val="-4"/>
          <w:kern w:val="24"/>
          <w:sz w:val="28"/>
          <w:szCs w:val="28"/>
        </w:rPr>
        <w:t>/s</w:t>
      </w:r>
      <w:r>
        <w:rPr>
          <w:rFonts w:hint="eastAsia" w:ascii="仿宋" w:hAnsi="仿宋" w:eastAsia="仿宋" w:cs="仿宋"/>
          <w:snapToGrid w:val="0"/>
          <w:spacing w:val="-4"/>
          <w:kern w:val="24"/>
          <w:sz w:val="28"/>
          <w:szCs w:val="28"/>
        </w:rPr>
        <w:t>。</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太平沟水库总库容58.7万m</w:t>
      </w:r>
      <w:r>
        <w:rPr>
          <w:rFonts w:hint="eastAsia" w:ascii="仿宋" w:hAnsi="仿宋" w:eastAsia="仿宋" w:cs="仿宋"/>
          <w:snapToGrid w:val="0"/>
          <w:spacing w:val="-4"/>
          <w:kern w:val="24"/>
          <w:sz w:val="28"/>
          <w:szCs w:val="28"/>
          <w:vertAlign w:val="superscript"/>
        </w:rPr>
        <w:t>3</w:t>
      </w:r>
      <w:r>
        <w:rPr>
          <w:rFonts w:hint="eastAsia" w:ascii="仿宋" w:hAnsi="仿宋" w:eastAsia="仿宋" w:cs="仿宋"/>
          <w:snapToGrid w:val="0"/>
          <w:spacing w:val="-4"/>
          <w:kern w:val="24"/>
          <w:sz w:val="28"/>
          <w:szCs w:val="28"/>
        </w:rPr>
        <w:t>，相应校核洪水位为199.20m；设计洪水位为198.15m，相应库容49.9万m</w:t>
      </w:r>
      <w:r>
        <w:rPr>
          <w:rFonts w:hint="eastAsia" w:ascii="仿宋" w:hAnsi="仿宋" w:eastAsia="仿宋" w:cs="仿宋"/>
          <w:snapToGrid w:val="0"/>
          <w:spacing w:val="-4"/>
          <w:kern w:val="24"/>
          <w:sz w:val="28"/>
          <w:szCs w:val="28"/>
          <w:vertAlign w:val="superscript"/>
        </w:rPr>
        <w:t>3</w:t>
      </w:r>
      <w:r>
        <w:rPr>
          <w:rFonts w:hint="eastAsia" w:ascii="仿宋" w:hAnsi="仿宋" w:eastAsia="仿宋" w:cs="仿宋"/>
          <w:snapToGrid w:val="0"/>
          <w:spacing w:val="-4"/>
          <w:kern w:val="24"/>
          <w:sz w:val="28"/>
          <w:szCs w:val="28"/>
        </w:rPr>
        <w:t>；正常蓄水位为196.3m，相应库容35.84万m</w:t>
      </w:r>
      <w:r>
        <w:rPr>
          <w:rFonts w:hint="eastAsia" w:ascii="仿宋" w:hAnsi="仿宋" w:eastAsia="仿宋" w:cs="仿宋"/>
          <w:snapToGrid w:val="0"/>
          <w:spacing w:val="-4"/>
          <w:kern w:val="24"/>
          <w:sz w:val="28"/>
          <w:szCs w:val="28"/>
          <w:vertAlign w:val="superscript"/>
        </w:rPr>
        <w:t>3</w:t>
      </w:r>
      <w:r>
        <w:rPr>
          <w:rFonts w:hint="eastAsia" w:ascii="仿宋" w:hAnsi="仿宋" w:eastAsia="仿宋" w:cs="仿宋"/>
          <w:snapToGrid w:val="0"/>
          <w:spacing w:val="-4"/>
          <w:kern w:val="24"/>
          <w:sz w:val="28"/>
          <w:szCs w:val="28"/>
        </w:rPr>
        <w:t>；死水位为184.7</w:t>
      </w:r>
      <w:r>
        <w:rPr>
          <w:rFonts w:ascii="仿宋" w:hAnsi="仿宋" w:eastAsia="仿宋" w:cs="仿宋"/>
          <w:snapToGrid w:val="0"/>
          <w:spacing w:val="-4"/>
          <w:kern w:val="24"/>
          <w:sz w:val="28"/>
          <w:szCs w:val="28"/>
        </w:rPr>
        <w:t>m</w:t>
      </w:r>
      <w:r>
        <w:rPr>
          <w:rFonts w:hint="eastAsia" w:ascii="仿宋" w:hAnsi="仿宋" w:eastAsia="仿宋" w:cs="仿宋"/>
          <w:snapToGrid w:val="0"/>
          <w:spacing w:val="-4"/>
          <w:kern w:val="24"/>
          <w:sz w:val="28"/>
          <w:szCs w:val="28"/>
        </w:rPr>
        <w:t>，死库容4.21万m</w:t>
      </w:r>
      <w:r>
        <w:rPr>
          <w:rFonts w:hint="eastAsia" w:ascii="仿宋" w:hAnsi="仿宋" w:eastAsia="仿宋" w:cs="仿宋"/>
          <w:snapToGrid w:val="0"/>
          <w:spacing w:val="-4"/>
          <w:kern w:val="24"/>
          <w:sz w:val="28"/>
          <w:szCs w:val="28"/>
          <w:vertAlign w:val="superscript"/>
        </w:rPr>
        <w:t>3</w:t>
      </w:r>
      <w:r>
        <w:rPr>
          <w:rFonts w:hint="eastAsia" w:ascii="仿宋" w:hAnsi="仿宋" w:eastAsia="仿宋" w:cs="仿宋"/>
          <w:snapToGrid w:val="0"/>
          <w:spacing w:val="-4"/>
          <w:kern w:val="24"/>
          <w:sz w:val="28"/>
          <w:szCs w:val="28"/>
        </w:rPr>
        <w:t>。</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区域全年平均气温8.6℃,极端最高气温为37.0℃（ 1999年6月30日） ,极端最低气温为-35.6℃（ 1985年1月28日） ,农作物生长季节平均气温为20.6℃。流域内多年平均降水量为703.7mm，多集中在6～9月份，占全年的60%～80%。多年平均蒸发量为1659.1mm，多年平均风速在3.0m/s，风向以西南偏南（ SWS）为多，最大风速达20.7m/s；年平均无霜期为163天。最大冻土深为1.26m，年平均日照时数为2512h。</w:t>
      </w:r>
    </w:p>
    <w:p>
      <w:pPr>
        <w:ind w:firstLine="420" w:firstLineChars="200"/>
        <w:rPr>
          <w:rFonts w:ascii="仿宋" w:hAnsi="仿宋" w:eastAsia="仿宋" w:cs="仿宋"/>
          <w:snapToGrid w:val="0"/>
          <w:spacing w:val="-4"/>
          <w:kern w:val="24"/>
          <w:sz w:val="28"/>
          <w:szCs w:val="28"/>
        </w:rPr>
      </w:pPr>
      <w:r>
        <w:drawing>
          <wp:inline distT="0" distB="0" distL="0" distR="0">
            <wp:extent cx="5036820" cy="2870200"/>
            <wp:effectExtent l="19050" t="0" r="0" b="0"/>
            <wp:docPr id="2" name="图片 2" descr="wps_clip_image-2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ps_clip_image-22469"/>
                    <pic:cNvPicPr>
                      <a:picLocks noChangeAspect="1" noChangeArrowheads="1"/>
                    </pic:cNvPicPr>
                  </pic:nvPicPr>
                  <pic:blipFill>
                    <a:blip r:embed="rId13"/>
                    <a:srcRect/>
                    <a:stretch>
                      <a:fillRect/>
                    </a:stretch>
                  </pic:blipFill>
                  <pic:spPr>
                    <a:xfrm>
                      <a:off x="0" y="0"/>
                      <a:ext cx="5040000" cy="2872289"/>
                    </a:xfrm>
                    <a:prstGeom prst="rect">
                      <a:avLst/>
                    </a:prstGeom>
                    <a:noFill/>
                    <a:ln w="9525" cmpd="sng">
                      <a:noFill/>
                      <a:miter lim="800000"/>
                      <a:headEnd/>
                      <a:tailEnd/>
                    </a:ln>
                  </pic:spPr>
                </pic:pic>
              </a:graphicData>
            </a:graphic>
          </wp:inline>
        </w:drawing>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图1.1            太平沟水库大坝现状图</w:t>
      </w:r>
    </w:p>
    <w:p>
      <w:pPr>
        <w:ind w:firstLine="420" w:firstLineChars="200"/>
        <w:rPr>
          <w:rFonts w:ascii="仿宋" w:hAnsi="仿宋" w:eastAsia="仿宋" w:cs="仿宋"/>
          <w:snapToGrid w:val="0"/>
          <w:spacing w:val="-4"/>
          <w:kern w:val="24"/>
          <w:sz w:val="28"/>
          <w:szCs w:val="28"/>
        </w:rPr>
      </w:pPr>
      <w:r>
        <w:drawing>
          <wp:inline distT="0" distB="0" distL="0" distR="0">
            <wp:extent cx="5038725" cy="2916555"/>
            <wp:effectExtent l="19050" t="0" r="9162" b="0"/>
            <wp:docPr id="3" name="图片 11" descr="wps_clip_image-2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wps_clip_image-22551"/>
                    <pic:cNvPicPr>
                      <a:picLocks noChangeAspect="1" noChangeArrowheads="1"/>
                    </pic:cNvPicPr>
                  </pic:nvPicPr>
                  <pic:blipFill>
                    <a:blip r:embed="rId14"/>
                    <a:srcRect/>
                    <a:stretch>
                      <a:fillRect/>
                    </a:stretch>
                  </pic:blipFill>
                  <pic:spPr>
                    <a:xfrm>
                      <a:off x="0" y="0"/>
                      <a:ext cx="5039631" cy="2917134"/>
                    </a:xfrm>
                    <a:prstGeom prst="rect">
                      <a:avLst/>
                    </a:prstGeom>
                    <a:noFill/>
                    <a:ln w="9525" cmpd="sng">
                      <a:noFill/>
                      <a:miter lim="800000"/>
                      <a:headEnd/>
                      <a:tailEnd/>
                    </a:ln>
                  </pic:spPr>
                </pic:pic>
              </a:graphicData>
            </a:graphic>
          </wp:inline>
        </w:drawing>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pacing w:val="-4"/>
          <w:kern w:val="24"/>
          <w:sz w:val="28"/>
          <w:szCs w:val="28"/>
        </w:rPr>
        <w:drawing>
          <wp:anchor distT="0" distB="0" distL="114300" distR="114300" simplePos="0" relativeHeight="251659264" behindDoc="0" locked="0" layoutInCell="1" allowOverlap="1">
            <wp:simplePos x="0" y="0"/>
            <wp:positionH relativeFrom="column">
              <wp:posOffset>309880</wp:posOffset>
            </wp:positionH>
            <wp:positionV relativeFrom="paragraph">
              <wp:posOffset>456565</wp:posOffset>
            </wp:positionV>
            <wp:extent cx="5019675" cy="2858770"/>
            <wp:effectExtent l="19050" t="0" r="9525" b="0"/>
            <wp:wrapTopAndBottom/>
            <wp:docPr id="10" name="图片 3" descr="wps_clip_image-2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wps_clip_image-22005"/>
                    <pic:cNvPicPr>
                      <a:picLocks noChangeAspect="1" noChangeArrowheads="1"/>
                    </pic:cNvPicPr>
                  </pic:nvPicPr>
                  <pic:blipFill>
                    <a:blip r:embed="rId15"/>
                    <a:srcRect/>
                    <a:stretch>
                      <a:fillRect/>
                    </a:stretch>
                  </pic:blipFill>
                  <pic:spPr>
                    <a:xfrm>
                      <a:off x="0" y="0"/>
                      <a:ext cx="5019675" cy="2858770"/>
                    </a:xfrm>
                    <a:prstGeom prst="rect">
                      <a:avLst/>
                    </a:prstGeom>
                    <a:noFill/>
                    <a:ln w="9525" cmpd="sng">
                      <a:noFill/>
                      <a:miter lim="800000"/>
                      <a:headEnd/>
                      <a:tailEnd/>
                    </a:ln>
                  </pic:spPr>
                </pic:pic>
              </a:graphicData>
            </a:graphic>
          </wp:anchor>
        </w:drawing>
      </w:r>
      <w:r>
        <w:rPr>
          <w:rFonts w:hint="eastAsia" w:ascii="仿宋" w:hAnsi="仿宋" w:eastAsia="仿宋" w:cs="仿宋"/>
          <w:snapToGrid w:val="0"/>
          <w:spacing w:val="-4"/>
          <w:kern w:val="24"/>
          <w:sz w:val="28"/>
          <w:szCs w:val="28"/>
        </w:rPr>
        <w:t>图1.2            太平沟水库溢洪道现状图</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pacing w:val="-4"/>
          <w:kern w:val="24"/>
          <w:sz w:val="28"/>
          <w:szCs w:val="28"/>
        </w:rPr>
        <w:drawing>
          <wp:anchor distT="0" distB="0" distL="114300" distR="114300" simplePos="0" relativeHeight="251660288" behindDoc="0" locked="0" layoutInCell="1" allowOverlap="1">
            <wp:simplePos x="0" y="0"/>
            <wp:positionH relativeFrom="column">
              <wp:posOffset>309880</wp:posOffset>
            </wp:positionH>
            <wp:positionV relativeFrom="paragraph">
              <wp:posOffset>456565</wp:posOffset>
            </wp:positionV>
            <wp:extent cx="5019675" cy="2858770"/>
            <wp:effectExtent l="19050" t="0" r="9525" b="0"/>
            <wp:wrapTopAndBottom/>
            <wp:docPr id="6" name="图片 3" descr="wps_clip_image-2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wps_clip_image-22005"/>
                    <pic:cNvPicPr>
                      <a:picLocks noChangeAspect="1" noChangeArrowheads="1"/>
                    </pic:cNvPicPr>
                  </pic:nvPicPr>
                  <pic:blipFill>
                    <a:blip r:embed="rId15"/>
                    <a:srcRect/>
                    <a:stretch>
                      <a:fillRect/>
                    </a:stretch>
                  </pic:blipFill>
                  <pic:spPr>
                    <a:xfrm>
                      <a:off x="0" y="0"/>
                      <a:ext cx="5019675" cy="2858770"/>
                    </a:xfrm>
                    <a:prstGeom prst="rect">
                      <a:avLst/>
                    </a:prstGeom>
                    <a:noFill/>
                    <a:ln w="9525" cmpd="sng">
                      <a:noFill/>
                      <a:miter lim="800000"/>
                      <a:headEnd/>
                      <a:tailEnd/>
                    </a:ln>
                  </pic:spPr>
                </pic:pic>
              </a:graphicData>
            </a:graphic>
          </wp:anchor>
        </w:drawing>
      </w:r>
      <w:r>
        <w:rPr>
          <w:rFonts w:hint="eastAsia" w:ascii="仿宋" w:hAnsi="仿宋" w:eastAsia="仿宋" w:cs="仿宋"/>
          <w:snapToGrid w:val="0"/>
          <w:spacing w:val="-4"/>
          <w:kern w:val="24"/>
          <w:sz w:val="28"/>
          <w:szCs w:val="28"/>
        </w:rPr>
        <w:t>图1.3            太平沟水库输水洞现状图</w:t>
      </w:r>
    </w:p>
    <w:p>
      <w:pPr>
        <w:pStyle w:val="21"/>
        <w:widowControl w:val="0"/>
        <w:adjustRightInd w:val="0"/>
        <w:spacing w:line="240" w:lineRule="auto"/>
        <w:ind w:firstLine="560" w:firstLineChars="200"/>
        <w:jc w:val="left"/>
        <w:rPr>
          <w:rFonts w:ascii="仿宋" w:hAnsi="仿宋" w:eastAsia="仿宋" w:cs="仿宋"/>
          <w:szCs w:val="28"/>
        </w:rPr>
      </w:pPr>
      <w:r>
        <w:rPr>
          <w:rFonts w:hint="eastAsia" w:ascii="仿宋" w:hAnsi="仿宋" w:eastAsia="仿宋" w:cs="仿宋"/>
          <w:szCs w:val="28"/>
        </w:rPr>
        <w:t>1.2划界存在问题</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随着区域社会经济发展，百姓对土地需求逐渐增大，太平沟水库管理范围地类被地方百姓、城市建设不同程度的占用，水库淹没区内种植农作物或者开挖养鱼池，影响水库正常行洪安全，威胁区域百姓生命财产安全；现有防洪体系不完善，下游河道两岸尚未进行整治，防洪标准较低；同时，千山区河道管理人员、管理经费、技术力量等相对不足，导致对河道管理缺乏效力，阻碍了河长制的全面推进。</w:t>
      </w:r>
    </w:p>
    <w:p>
      <w:pPr>
        <w:outlineLvl w:val="1"/>
        <w:rPr>
          <w:rFonts w:ascii="仿宋" w:hAnsi="仿宋" w:eastAsia="仿宋" w:cs="仿宋"/>
          <w:sz w:val="28"/>
          <w:szCs w:val="28"/>
        </w:rPr>
      </w:pPr>
      <w:bookmarkStart w:id="6" w:name="_Toc22404_WPSOffice_Level2"/>
      <w:bookmarkStart w:id="7" w:name="_Toc63201858"/>
      <w:bookmarkStart w:id="8" w:name="_Toc2434"/>
      <w:r>
        <w:rPr>
          <w:rFonts w:hint="eastAsia" w:ascii="仿宋" w:hAnsi="仿宋" w:eastAsia="仿宋" w:cs="仿宋"/>
          <w:sz w:val="28"/>
          <w:szCs w:val="28"/>
        </w:rPr>
        <w:t>1.3划界的必要性</w:t>
      </w:r>
      <w:bookmarkEnd w:id="6"/>
      <w:bookmarkEnd w:id="7"/>
      <w:bookmarkEnd w:id="8"/>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1）贯彻落实国家及辽宁省政策文件的需要</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2014年8月，水利部下发《水利部关于开展河湖管理范围和水利工程管理与保护范围划定工作的通知》（水建管[2014]155号），提出“深入贯彻落实党的十八届三中全会精神，切实加强河湖管理和水利工程管理，充分发挥河湖功能和水利工程效益 ”。</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2015年8月，水利部下发《水利部办公厅关于印发&lt;河湖管理范围和水利工程管理与保护范围划定工作实施方案编制大纲&gt;的通知》（办建管[2015]59号），以进一步做好河湖管理范围和水利工程管理与保护范围划定工作。</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2017年11月，辽宁省河长制办公室下发《辽宁省河长制办公室关于印发&lt;辽宁省河湖管理与保护范围划定通则&gt;的通知》（辽河长办[2017]2号），推进河湖划界工作，明确管理、保护界线，推进权属登记确权及违章建筑清理。</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为贯彻落实国家及辽宁省政策文件，开展河库划界工作是十分必要的，且是十分迫切的。</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2）全面推进河长制工作的需要</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2016年11月，中共中央办公厅、国务院办公厅下发《中共中央办公厅 国务院办公厅印发&lt;关于全面推行河长制意见&gt;的通知》，以加强河湖管理保护工作，落实属地责任，健全长效机制。</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2018年6月，水利部下发《水利部印发关于推动河长制从“有名”到“有实”的实施意见的通知》（水河湖[2018]243号），以推动河长制尽快从“有名”到“有实”转变，实现名实相副，取得实效。</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2017年2，辽宁省政府办公厅印发《辽宁省实施河长制工作方案》（辽政办发[2017]30号），以建立健全辽宁省江河湖库管理保护体制机制，全面实施河长制，有效恢复河湖健康生命、推进生态文明建设。</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2018年2月，辽宁省河长制办公室印发《辽宁省河长制办公室关于印发&lt;辽宁省全面推行河长制建设美丽河湖三年行动计划（2018-2020年）&gt;的通知》，以进一步加强河湖管理保护工作。</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河湖管理保护是一项复杂的系统工程，涉及上下游、左右岸、不同行政区域和行业，是河长制推进的一个重大难题。为有效推进全面推行河长制的实施，加强河湖管理保护工作，开展河道划界工作是十分必要的，且是十分迫切的。</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3）加强河湖管理和水利工程管理的需要</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千山区尚未开展过系统的确权划界工作，在水利工程施工时，边界不清，阻力较大。近年来，国土、农经等部门相继开展普查工作，将河道管理范围重复发放土地使用证和使用权证书，增大了水利部门对河道管理和施工的难度。二是侵占河洪道周围滩地种植农作物和植树造林、养鱼池等问题突出，管理部门国土、水利、林业等职责不清，管理权属不明确，造成部分村、群众以占用集体、个人土地为由提出一些赔偿要求，难以清理整治。</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为加强千山区河湖管理和水利工程管理，开展河道划界工作是十分必要的，且是十分迫切的。</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4）保护沿河村屯居民生命财产安全的需要</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为更好的保护沿河村屯居民生命财产安全，有必要对河道进行治理，拓宽行洪断面，保证洪水正常下泄。划界工作将为河道治理提供良好的实施条件，进而起到保护沿河村屯居民生命财产安全的作用。</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为更好的保护水库周边村屯居民生命财产安全，开展水库划界工作是十分必要的，且是十分迫切的。</w:t>
      </w:r>
    </w:p>
    <w:p>
      <w:pPr>
        <w:pageBreakBefore/>
        <w:numPr>
          <w:ilvl w:val="0"/>
          <w:numId w:val="1"/>
        </w:numPr>
        <w:spacing w:beforeLines="50" w:afterLines="50"/>
        <w:jc w:val="center"/>
        <w:outlineLvl w:val="0"/>
        <w:rPr>
          <w:rFonts w:ascii="仿宋" w:hAnsi="仿宋" w:eastAsia="仿宋" w:cs="仿宋"/>
          <w:b/>
          <w:bCs/>
          <w:sz w:val="28"/>
          <w:szCs w:val="28"/>
        </w:rPr>
      </w:pPr>
      <w:bookmarkStart w:id="9" w:name="_Toc9577"/>
      <w:bookmarkStart w:id="10" w:name="_Toc63201859"/>
      <w:bookmarkStart w:id="11" w:name="_Toc22192_WPSOffice_Level1"/>
      <w:r>
        <w:rPr>
          <w:rFonts w:hint="eastAsia" w:ascii="仿宋" w:hAnsi="仿宋" w:eastAsia="仿宋" w:cs="仿宋"/>
          <w:b/>
          <w:bCs/>
          <w:sz w:val="28"/>
          <w:szCs w:val="28"/>
        </w:rPr>
        <w:t>指导思想和基本原则</w:t>
      </w:r>
      <w:bookmarkEnd w:id="9"/>
      <w:bookmarkEnd w:id="10"/>
      <w:bookmarkEnd w:id="11"/>
    </w:p>
    <w:p>
      <w:pPr>
        <w:outlineLvl w:val="1"/>
        <w:rPr>
          <w:rFonts w:ascii="仿宋" w:hAnsi="仿宋" w:eastAsia="仿宋" w:cs="仿宋"/>
          <w:sz w:val="28"/>
          <w:szCs w:val="28"/>
        </w:rPr>
      </w:pPr>
      <w:bookmarkStart w:id="12" w:name="_Toc2660_WPSOffice_Level2"/>
      <w:bookmarkStart w:id="13" w:name="_Toc63201860"/>
      <w:bookmarkStart w:id="14" w:name="_Toc30461"/>
      <w:r>
        <w:rPr>
          <w:rFonts w:hint="eastAsia" w:ascii="仿宋" w:hAnsi="仿宋" w:eastAsia="仿宋" w:cs="仿宋"/>
          <w:sz w:val="28"/>
          <w:szCs w:val="28"/>
        </w:rPr>
        <w:t>2.1指导思想</w:t>
      </w:r>
      <w:bookmarkEnd w:id="12"/>
      <w:bookmarkEnd w:id="13"/>
      <w:bookmarkEnd w:id="14"/>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河库管理范围划界工作是依法管理河道、水库的基础和依据，是全面推行河长制的重要保证。</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认真贯彻落实党的十八大、十八届三中、四中全会、十九大和习近平总书记关于国家水安全战略的重要讲话精神，按照中央关于加快水利改革发展的决策部署，依据有关法律、法规及河渠岸线管理规划，明确管理范围内水利工程、滩地及水域资源等的所有权、使用权和管理权，提升水库管理的能力和水平，加强水库管理和合理开发利用，尊重河湖自然规律，促进人水和谐，维护河湖生命健康，打造“民生水利、生态水利、资源水利、智慧水利、平安水利”，以河道湖库水环境治理生态文明建设为着力点，以健康完整的河库功能支撑经济社会的可持续发展。</w:t>
      </w:r>
    </w:p>
    <w:p>
      <w:pPr>
        <w:outlineLvl w:val="1"/>
        <w:rPr>
          <w:rFonts w:ascii="仿宋" w:hAnsi="仿宋" w:eastAsia="仿宋" w:cs="仿宋"/>
          <w:sz w:val="28"/>
          <w:szCs w:val="28"/>
        </w:rPr>
      </w:pPr>
      <w:bookmarkStart w:id="15" w:name="_Toc17564"/>
      <w:bookmarkStart w:id="16" w:name="_Toc63201861"/>
      <w:bookmarkStart w:id="17" w:name="_Toc10576_WPSOffice_Level2"/>
      <w:r>
        <w:rPr>
          <w:rFonts w:hint="eastAsia" w:ascii="仿宋" w:hAnsi="仿宋" w:eastAsia="仿宋" w:cs="仿宋"/>
          <w:sz w:val="28"/>
          <w:szCs w:val="28"/>
        </w:rPr>
        <w:t>2.2基本原则</w:t>
      </w:r>
      <w:bookmarkEnd w:id="15"/>
      <w:bookmarkEnd w:id="16"/>
      <w:bookmarkEnd w:id="17"/>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1）依法依规</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以有关法律法规、规范性文件、技术标准和工程立项审批文件为依据，依法依规开展工作。</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2）安全为主</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划界工作要以有利于防洪安全、工程安全和生态安全为首要条件，同时有利于社会稳定和可持续发展。</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3）因地制宜</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按照节约利用土地、符合河道管理和涉水工程管理与保护实际的要求，以强化河库管理为主要目标，结合河流特性及土地利用情况，确保划界工作切实可行。</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4）分级落实</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由千山区统一把控划界工作及各部门间的协调工作，委托相关单位编制划界工作实施方案，调动沿河乡镇、村屯配合划界立桩工作的具体落实。</w:t>
      </w:r>
    </w:p>
    <w:p>
      <w:pPr>
        <w:sectPr>
          <w:footerReference r:id="rId5" w:type="default"/>
          <w:headerReference r:id="rId4" w:type="even"/>
          <w:pgSz w:w="11906" w:h="16838"/>
          <w:pgMar w:top="1984" w:right="1417" w:bottom="1417" w:left="1417" w:header="1417" w:footer="1134" w:gutter="0"/>
          <w:pgNumType w:start="1"/>
          <w:cols w:space="0" w:num="1"/>
          <w:docGrid w:type="lines" w:linePitch="312" w:charSpace="0"/>
        </w:sectPr>
      </w:pPr>
    </w:p>
    <w:p>
      <w:pPr>
        <w:numPr>
          <w:ilvl w:val="0"/>
          <w:numId w:val="1"/>
        </w:numPr>
        <w:spacing w:beforeLines="50" w:afterLines="50"/>
        <w:jc w:val="center"/>
        <w:outlineLvl w:val="0"/>
        <w:rPr>
          <w:rFonts w:ascii="仿宋" w:hAnsi="仿宋" w:eastAsia="仿宋" w:cs="仿宋"/>
          <w:b/>
          <w:bCs/>
          <w:sz w:val="28"/>
          <w:szCs w:val="28"/>
        </w:rPr>
      </w:pPr>
      <w:bookmarkStart w:id="18" w:name="_Toc15901"/>
      <w:bookmarkStart w:id="19" w:name="_Toc30051_WPSOffice_Level1"/>
      <w:bookmarkStart w:id="20" w:name="_Toc63201862"/>
      <w:r>
        <w:rPr>
          <w:rFonts w:hint="eastAsia" w:ascii="仿宋" w:hAnsi="仿宋" w:eastAsia="仿宋" w:cs="仿宋"/>
          <w:b/>
          <w:bCs/>
          <w:sz w:val="28"/>
          <w:szCs w:val="28"/>
        </w:rPr>
        <w:t>目标和任务要求</w:t>
      </w:r>
      <w:bookmarkEnd w:id="18"/>
      <w:bookmarkEnd w:id="19"/>
      <w:bookmarkEnd w:id="20"/>
    </w:p>
    <w:p>
      <w:pPr>
        <w:outlineLvl w:val="1"/>
        <w:rPr>
          <w:rFonts w:ascii="仿宋" w:hAnsi="仿宋" w:eastAsia="仿宋" w:cs="仿宋"/>
          <w:sz w:val="28"/>
          <w:szCs w:val="28"/>
        </w:rPr>
      </w:pPr>
      <w:bookmarkStart w:id="21" w:name="_Toc20954_WPSOffice_Level2"/>
      <w:bookmarkStart w:id="22" w:name="_Toc63201863"/>
      <w:bookmarkStart w:id="23" w:name="_Toc28210"/>
      <w:r>
        <w:rPr>
          <w:rFonts w:hint="eastAsia" w:ascii="仿宋" w:hAnsi="仿宋" w:eastAsia="仿宋" w:cs="仿宋"/>
          <w:sz w:val="28"/>
          <w:szCs w:val="28"/>
        </w:rPr>
        <w:t>3.1划界范围</w:t>
      </w:r>
      <w:bookmarkEnd w:id="21"/>
      <w:bookmarkEnd w:id="22"/>
      <w:bookmarkEnd w:id="23"/>
    </w:p>
    <w:p>
      <w:pPr>
        <w:widowControl/>
        <w:ind w:firstLine="544" w:firstLineChars="200"/>
        <w:rPr>
          <w:rFonts w:ascii="宋体" w:hAnsi="宋体" w:cs="仿宋"/>
          <w:sz w:val="30"/>
          <w:szCs w:val="30"/>
          <w:shd w:val="clear" w:color="auto" w:fill="FFFFFF"/>
        </w:rPr>
      </w:pPr>
      <w:r>
        <w:rPr>
          <w:rFonts w:hint="eastAsia" w:ascii="仿宋" w:hAnsi="仿宋" w:eastAsia="仿宋" w:cs="仿宋"/>
          <w:snapToGrid w:val="0"/>
          <w:spacing w:val="-4"/>
          <w:kern w:val="24"/>
          <w:sz w:val="28"/>
          <w:szCs w:val="28"/>
        </w:rPr>
        <w:t>本次划界为太平沟水库库区及坝下管理范围。</w:t>
      </w:r>
    </w:p>
    <w:p>
      <w:pPr>
        <w:outlineLvl w:val="1"/>
        <w:rPr>
          <w:rFonts w:ascii="仿宋" w:hAnsi="仿宋" w:eastAsia="仿宋" w:cs="仿宋"/>
          <w:sz w:val="28"/>
          <w:szCs w:val="28"/>
        </w:rPr>
      </w:pPr>
      <w:bookmarkStart w:id="24" w:name="_Toc32024"/>
      <w:bookmarkStart w:id="25" w:name="_Toc63201864"/>
      <w:bookmarkStart w:id="26" w:name="_Toc2259_WPSOffice_Level2"/>
      <w:r>
        <w:rPr>
          <w:rFonts w:hint="eastAsia" w:ascii="仿宋" w:hAnsi="仿宋" w:eastAsia="仿宋" w:cs="仿宋"/>
          <w:sz w:val="28"/>
          <w:szCs w:val="28"/>
        </w:rPr>
        <w:t>3.2目标和任务要求</w:t>
      </w:r>
      <w:bookmarkEnd w:id="24"/>
      <w:bookmarkEnd w:id="25"/>
      <w:bookmarkEnd w:id="26"/>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按照水建管[2014]285号文确定的目标任务、时间节点要求，明确本地、本单位划界工作总体目标任务，并逐条河流、逐座湖泊、逐项工程按划界确定具体目标任务。</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为推进辽宁省河湖管理与保护范围划定工作开展，2018年11月9日，省水利厅党组成员、副厅长、省河长制办公室主持和召开了工作推进会议，提出“全力推动河湖管理范围划定工作，力争2018年印发划界方案并开展试点、2019年全面铺开、2020年基本完成河湖管理划定工作”。</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根据《辽宁省河湖管理范围划定工作实施方案》要求：2019年年底前，完成流域面积1000平方公里以上河流及水面面积1平方公里以上湖泊管理范围划定、界桩、界碑或保护标志设立工作；2020年底前，完成50平方公里以上河流管理范围划定、界桩、界碑或保护标志设立工作；2021年底前，基本完成流域面积10平方公里以上河流管理范围划定、界桩、界碑或保护标志设立工作。</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为尽早完成河道管理范围划定工作，改善千山区河道管理环境，结合千山区实际情况，预计2020年12月底完成太平沟水库的划界工作，2021年4月落实定桩工作。太平沟水库划界工作实施方案要求在2020年12月底编制完成。</w:t>
      </w:r>
    </w:p>
    <w:p>
      <w:pPr>
        <w:ind w:firstLine="544" w:firstLineChars="200"/>
        <w:rPr>
          <w:rFonts w:ascii="仿宋" w:hAnsi="仿宋" w:eastAsia="仿宋" w:cs="仿宋"/>
          <w:snapToGrid w:val="0"/>
          <w:spacing w:val="-4"/>
          <w:kern w:val="24"/>
          <w:sz w:val="28"/>
          <w:szCs w:val="28"/>
        </w:rPr>
        <w:sectPr>
          <w:pgSz w:w="11906" w:h="16838"/>
          <w:pgMar w:top="1984" w:right="1417" w:bottom="1417" w:left="1417" w:header="1417" w:footer="1134" w:gutter="0"/>
          <w:cols w:space="0" w:num="1"/>
          <w:docGrid w:type="lines" w:linePitch="312" w:charSpace="0"/>
        </w:sectPr>
      </w:pPr>
      <w:r>
        <w:rPr>
          <w:rFonts w:hint="eastAsia" w:ascii="仿宋" w:hAnsi="仿宋" w:eastAsia="仿宋" w:cs="仿宋"/>
          <w:snapToGrid w:val="0"/>
          <w:spacing w:val="-4"/>
          <w:kern w:val="24"/>
          <w:sz w:val="28"/>
          <w:szCs w:val="28"/>
        </w:rPr>
        <w:t>太平沟水库划界的主要任务是明晰水利部门管理范围，并对管理范围内的区域进行地类、权属调查。其中划界的主要任务为明晰石太平沟水库水利部门管理范围，落实划界目标，设立界桩。基本建立太平沟水库健康保障体系，建立完善太平沟水库管理体制机制，努力实现太平沟水库水域不萎缩、功能不衰减、生态不退化。</w:t>
      </w:r>
    </w:p>
    <w:p>
      <w:pPr>
        <w:numPr>
          <w:ilvl w:val="0"/>
          <w:numId w:val="1"/>
        </w:numPr>
        <w:spacing w:beforeLines="50" w:afterLines="50"/>
        <w:jc w:val="center"/>
        <w:outlineLvl w:val="0"/>
        <w:rPr>
          <w:rFonts w:ascii="仿宋" w:hAnsi="仿宋" w:eastAsia="仿宋" w:cs="仿宋"/>
          <w:b/>
          <w:bCs/>
          <w:sz w:val="28"/>
          <w:szCs w:val="28"/>
        </w:rPr>
      </w:pPr>
      <w:bookmarkStart w:id="27" w:name="_Toc4991_WPSOffice_Level1"/>
      <w:bookmarkStart w:id="28" w:name="_Toc63201865"/>
      <w:bookmarkStart w:id="29" w:name="_Toc21539"/>
      <w:r>
        <w:rPr>
          <w:rFonts w:hint="eastAsia" w:ascii="仿宋" w:hAnsi="仿宋" w:eastAsia="仿宋" w:cs="仿宋"/>
          <w:b/>
          <w:bCs/>
          <w:sz w:val="28"/>
          <w:szCs w:val="28"/>
        </w:rPr>
        <w:t>划界依据</w:t>
      </w:r>
      <w:bookmarkEnd w:id="27"/>
      <w:bookmarkEnd w:id="28"/>
      <w:bookmarkEnd w:id="29"/>
    </w:p>
    <w:p>
      <w:pPr>
        <w:outlineLvl w:val="1"/>
        <w:rPr>
          <w:rFonts w:ascii="仿宋" w:hAnsi="仿宋" w:eastAsia="仿宋" w:cs="仿宋"/>
          <w:sz w:val="28"/>
          <w:szCs w:val="28"/>
        </w:rPr>
      </w:pPr>
      <w:bookmarkStart w:id="30" w:name="_Toc26275_WPSOffice_Level2"/>
      <w:bookmarkStart w:id="31" w:name="_Toc63201866"/>
      <w:r>
        <w:rPr>
          <w:rFonts w:hint="eastAsia" w:ascii="仿宋" w:hAnsi="仿宋" w:eastAsia="仿宋" w:cs="仿宋"/>
          <w:sz w:val="28"/>
          <w:szCs w:val="28"/>
        </w:rPr>
        <w:t>4.1法律法规</w:t>
      </w:r>
      <w:bookmarkEnd w:id="30"/>
      <w:bookmarkEnd w:id="31"/>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1）《中华人民共和国水法》（2016年7月修改）</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第四十三条规定：国家对水工程实施保护。国家所有的水工程应当按照国务院的规定划定工程管理和保护范围。</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2）《中华人民共和国土地管理法》（2004年8月修改）</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第九条规定：集体所有的土地，由县级人民政府登记造册，核发证书，确认所有权。</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全民所有制单位、集体所有制单位和个人依法适用的国有土地，由县级以上地方人民政府登记造册，核发证书，确认所有权。</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确认林地、草原的所有权或者使用权，确认水面、滩涂的养殖使用权，分别依照《森林法》、《草原法》和《渔业法》的有关规定办理。</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第十一条规定：土地的所有权和使用权受法律保护，任何单位和个人不得侵犯。</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第十六条规定：城市规划和土地利用总体规划应当协调。在城市规划区内，土地利用应当符合城市规划。</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在江河、湖泊的安全区内，土地利用应当符合江河、湖泊综合开发利用规划。</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3）《中华人民共和国防洪法》（2016年7月修改）</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第三十五条规定：属于国家所有的防洪工程设施，应当按照经批准的设计，在竣工验收前由县级以上人民政府按照国家规定，划定管理和保护范围。属于集体所有的防洪工程设施，应当按照省、自治区、直辖市人民政府的规定，划定保护范围。</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4）《中华人民共和国河道管理条例》（2017年10月修改）</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第二十条规定：有堤防的河道，其管理范围为两岸堤防之间的水域、沙洲、滩地（包括可耕地）、行洪区，两岸堤防及护堤地。无堤防的河道，其管理范围根据历史最高洪水位或者设计洪水位确定。河道的具体管理范围，由县级以上地方人民政府负责划定。</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5）《水库大坝安全管理条例》（2011年1月修改）</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第十条规定：兴建大坝时，建设单位应当按照批准的设计，提请县级以上人民政府依照国家规定划定管理和保护范围，树立标志。</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已建大坝尚未划定管理和保护范围的，大坝主管部门应当根据安全管理的需要，提请县级以上人民政府划定。</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第十二条规定：大坝及其设施受国家保护，任何单位和个人不得侵占、毁坏。大坝管理单位应当加强大坝的安全保卫工作。</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6）《中华人民共和国水文条例》（2017年3月修改）</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第二十九条：国家依法保护水文监测设施。任何单位和个人不得侵占、毁坏、擅自移动或者擅自使用水文监测设施，不得干扰水文监测。国家基本水文测站不可抗力遭受破坏的，所在地人民政府和有关水行政主管部门应当采取措施，组织力量修复，确保其正常运行。</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7）《辽宁省实施&lt;中华人民共和国水法&gt;办法》（2004年6月修正）</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8）《辽宁省实施&lt;中华人民共和国防洪法&gt;办法》（2004年6月修正）</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9）《辽宁省河道管理条例》（2012年11月）</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第十四条水行政主管部门应当加强对河道堤防、护岸以及闸坝等水工程的安全检查和维修养护，及时消除隐患，保障运行安全。对河道内水工程造成损坏或者造成河道淤积的，由责任单位或者个人负责修复、清淤。</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疏浚河道应当按照要求堆放清理出来的砂石、淤泥，禁止阻碍河道行洪。</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第十五条在河道内修建拦河闸坝工程，应当按照河道管理权限报上一级水行政主管部门组织论证、审查批准。拦河闸坝工程应当符合防洪标准，建设保证河道合理生态流量的设施，并按照批准的调度方案运行。</w:t>
      </w:r>
    </w:p>
    <w:p>
      <w:pPr>
        <w:outlineLvl w:val="1"/>
        <w:rPr>
          <w:rFonts w:ascii="仿宋" w:hAnsi="仿宋" w:eastAsia="仿宋" w:cs="仿宋"/>
          <w:sz w:val="28"/>
          <w:szCs w:val="28"/>
        </w:rPr>
      </w:pPr>
      <w:bookmarkStart w:id="32" w:name="_Toc63201867"/>
      <w:bookmarkStart w:id="33" w:name="_Toc19948_WPSOffice_Level2"/>
      <w:r>
        <w:rPr>
          <w:rFonts w:hint="eastAsia" w:ascii="仿宋" w:hAnsi="仿宋" w:eastAsia="仿宋" w:cs="仿宋"/>
          <w:sz w:val="28"/>
          <w:szCs w:val="28"/>
        </w:rPr>
        <w:t>4.2政策文件</w:t>
      </w:r>
      <w:bookmarkEnd w:id="32"/>
      <w:bookmarkEnd w:id="33"/>
    </w:p>
    <w:p>
      <w:pPr>
        <w:numPr>
          <w:ilvl w:val="0"/>
          <w:numId w:val="2"/>
        </w:numPr>
        <w:ind w:firstLine="560" w:firstLineChars="200"/>
        <w:rPr>
          <w:rFonts w:ascii="仿宋" w:hAnsi="仿宋" w:eastAsia="仿宋" w:cs="仿宋"/>
          <w:sz w:val="28"/>
          <w:szCs w:val="28"/>
        </w:rPr>
      </w:pPr>
      <w:r>
        <w:rPr>
          <w:rFonts w:hint="eastAsia" w:ascii="仿宋" w:hAnsi="仿宋" w:eastAsia="仿宋" w:cs="仿宋"/>
          <w:sz w:val="28"/>
          <w:szCs w:val="28"/>
        </w:rPr>
        <w:t>《水利部关于开展河湖管理范围和水利工程管理与保护范围划定工作的通知》（水建管[2014]155号）</w:t>
      </w:r>
    </w:p>
    <w:p>
      <w:pPr>
        <w:numPr>
          <w:ilvl w:val="0"/>
          <w:numId w:val="2"/>
        </w:numPr>
        <w:ind w:firstLine="560" w:firstLineChars="200"/>
        <w:rPr>
          <w:rFonts w:ascii="仿宋" w:hAnsi="仿宋" w:eastAsia="仿宋" w:cs="仿宋"/>
          <w:sz w:val="28"/>
          <w:szCs w:val="28"/>
        </w:rPr>
      </w:pPr>
      <w:r>
        <w:rPr>
          <w:rFonts w:hint="eastAsia" w:ascii="仿宋" w:hAnsi="仿宋" w:eastAsia="仿宋" w:cs="仿宋"/>
          <w:sz w:val="28"/>
          <w:szCs w:val="28"/>
        </w:rPr>
        <w:t>《水利部办公厅关于印发&lt;河湖管理范围和水利工程管理与保护范围划定工作实施方案编制大纲&gt;的通知》（办建管[2015]59号）</w:t>
      </w:r>
    </w:p>
    <w:p>
      <w:pPr>
        <w:numPr>
          <w:ilvl w:val="0"/>
          <w:numId w:val="2"/>
        </w:numPr>
        <w:ind w:firstLine="560" w:firstLineChars="200"/>
        <w:rPr>
          <w:rFonts w:ascii="仿宋" w:hAnsi="仿宋" w:eastAsia="仿宋" w:cs="仿宋"/>
          <w:sz w:val="28"/>
          <w:szCs w:val="28"/>
        </w:rPr>
      </w:pPr>
      <w:r>
        <w:rPr>
          <w:rFonts w:hint="eastAsia" w:ascii="仿宋" w:hAnsi="仿宋" w:eastAsia="仿宋" w:cs="仿宋"/>
          <w:sz w:val="28"/>
          <w:szCs w:val="28"/>
        </w:rPr>
        <w:t>《中共中央办公厅 国务院办公厅印发&lt;关于全面推行河长制的意见&gt;的通知》（厅字[2016]42号）</w:t>
      </w:r>
    </w:p>
    <w:p>
      <w:pPr>
        <w:numPr>
          <w:ilvl w:val="0"/>
          <w:numId w:val="2"/>
        </w:numPr>
        <w:ind w:firstLine="560" w:firstLineChars="200"/>
        <w:rPr>
          <w:rFonts w:ascii="仿宋" w:hAnsi="仿宋" w:eastAsia="仿宋" w:cs="仿宋"/>
          <w:sz w:val="28"/>
          <w:szCs w:val="28"/>
        </w:rPr>
      </w:pPr>
      <w:r>
        <w:rPr>
          <w:rFonts w:hint="eastAsia" w:ascii="仿宋" w:hAnsi="仿宋" w:eastAsia="仿宋" w:cs="仿宋"/>
          <w:sz w:val="28"/>
          <w:szCs w:val="28"/>
        </w:rPr>
        <w:t>《水利部印发关于推动河长制从“有名”到“有实”的实施意见的通知》</w:t>
      </w:r>
    </w:p>
    <w:p>
      <w:pPr>
        <w:numPr>
          <w:ilvl w:val="0"/>
          <w:numId w:val="2"/>
        </w:numPr>
        <w:ind w:firstLine="560" w:firstLineChars="200"/>
        <w:rPr>
          <w:rFonts w:ascii="仿宋" w:hAnsi="仿宋" w:eastAsia="仿宋" w:cs="仿宋"/>
          <w:sz w:val="28"/>
          <w:szCs w:val="28"/>
        </w:rPr>
      </w:pPr>
      <w:r>
        <w:rPr>
          <w:rFonts w:hint="eastAsia" w:ascii="仿宋" w:hAnsi="仿宋" w:eastAsia="仿宋" w:cs="仿宋"/>
          <w:sz w:val="28"/>
          <w:szCs w:val="28"/>
        </w:rPr>
        <w:t>《辽宁省人民政府办公厅关于印发&lt;辽宁省实施河长制工作方案&gt;的通知》（辽政办发[2017]30号）</w:t>
      </w:r>
    </w:p>
    <w:p>
      <w:pPr>
        <w:numPr>
          <w:ilvl w:val="0"/>
          <w:numId w:val="2"/>
        </w:numPr>
        <w:ind w:firstLine="560" w:firstLineChars="200"/>
        <w:rPr>
          <w:rFonts w:ascii="仿宋" w:hAnsi="仿宋" w:eastAsia="仿宋" w:cs="仿宋"/>
          <w:sz w:val="28"/>
          <w:szCs w:val="28"/>
        </w:rPr>
      </w:pPr>
      <w:r>
        <w:rPr>
          <w:rFonts w:hint="eastAsia" w:ascii="仿宋" w:hAnsi="仿宋" w:eastAsia="仿宋" w:cs="仿宋"/>
          <w:sz w:val="28"/>
          <w:szCs w:val="28"/>
        </w:rPr>
        <w:t>《中共辽宁省委办公厅  辽宁省人民政府办公厅关于印发&lt;辽宁省实施河长制工作方案&gt;的通知》（厅秘发[2018]4号）</w:t>
      </w:r>
    </w:p>
    <w:p>
      <w:pPr>
        <w:numPr>
          <w:ilvl w:val="0"/>
          <w:numId w:val="2"/>
        </w:numPr>
        <w:ind w:firstLine="560" w:firstLineChars="200"/>
        <w:rPr>
          <w:rFonts w:ascii="仿宋" w:hAnsi="仿宋" w:eastAsia="仿宋" w:cs="仿宋"/>
          <w:sz w:val="28"/>
          <w:szCs w:val="28"/>
        </w:rPr>
      </w:pPr>
      <w:r>
        <w:rPr>
          <w:rFonts w:hint="eastAsia" w:ascii="仿宋" w:hAnsi="仿宋" w:eastAsia="仿宋" w:cs="仿宋"/>
          <w:sz w:val="28"/>
          <w:szCs w:val="28"/>
        </w:rPr>
        <w:t>《辽宁省河长制办公室关于印发&lt;辽宁省河湖管理与保护范围划定通则&gt;的通知》（辽河长办[2017]2号）</w:t>
      </w:r>
    </w:p>
    <w:p>
      <w:pPr>
        <w:numPr>
          <w:ilvl w:val="0"/>
          <w:numId w:val="2"/>
        </w:numPr>
        <w:ind w:firstLine="560" w:firstLineChars="200"/>
        <w:rPr>
          <w:rFonts w:ascii="仿宋" w:hAnsi="仿宋" w:eastAsia="仿宋" w:cs="仿宋"/>
          <w:sz w:val="28"/>
          <w:szCs w:val="28"/>
        </w:rPr>
      </w:pPr>
      <w:r>
        <w:rPr>
          <w:rFonts w:hint="eastAsia" w:ascii="仿宋" w:hAnsi="仿宋" w:eastAsia="仿宋" w:cs="仿宋"/>
          <w:sz w:val="28"/>
          <w:szCs w:val="28"/>
        </w:rPr>
        <w:t>《辽宁省河长制办公室关于印发&lt;辽宁省全面推行河长制建设美丽河湖三年行动计划（2018－2020年）&gt;的通知》</w:t>
      </w:r>
    </w:p>
    <w:p>
      <w:pPr>
        <w:numPr>
          <w:ilvl w:val="0"/>
          <w:numId w:val="2"/>
        </w:numPr>
        <w:ind w:firstLine="560" w:firstLineChars="200"/>
        <w:rPr>
          <w:rFonts w:ascii="仿宋" w:hAnsi="仿宋" w:eastAsia="仿宋" w:cs="仿宋"/>
          <w:sz w:val="28"/>
          <w:szCs w:val="28"/>
        </w:rPr>
      </w:pPr>
      <w:r>
        <w:rPr>
          <w:rFonts w:hint="eastAsia" w:ascii="仿宋" w:hAnsi="仿宋" w:eastAsia="仿宋" w:cs="仿宋"/>
          <w:sz w:val="28"/>
          <w:szCs w:val="28"/>
        </w:rPr>
        <w:t>《辽宁省人民政府办公厅转发省水利厅、土地局关于对已建成水利工程划定管理、保护范围意见的通知》（辽政办发[1994]33号）</w:t>
      </w:r>
    </w:p>
    <w:p>
      <w:pPr>
        <w:numPr>
          <w:ilvl w:val="0"/>
          <w:numId w:val="2"/>
        </w:numPr>
        <w:ind w:firstLine="560" w:firstLineChars="200"/>
        <w:rPr>
          <w:rFonts w:ascii="仿宋" w:hAnsi="仿宋" w:eastAsia="仿宋" w:cs="仿宋"/>
          <w:sz w:val="28"/>
          <w:szCs w:val="28"/>
        </w:rPr>
      </w:pPr>
      <w:r>
        <w:rPr>
          <w:rFonts w:hint="eastAsia" w:ascii="仿宋" w:hAnsi="仿宋" w:eastAsia="仿宋" w:cs="仿宋"/>
          <w:sz w:val="28"/>
          <w:szCs w:val="28"/>
        </w:rPr>
        <w:t>《辽宁省河湖管理范围划定工作实施方案》</w:t>
      </w:r>
    </w:p>
    <w:p>
      <w:pPr>
        <w:outlineLvl w:val="1"/>
        <w:rPr>
          <w:rFonts w:ascii="仿宋" w:hAnsi="仿宋" w:eastAsia="仿宋" w:cs="仿宋"/>
          <w:sz w:val="28"/>
          <w:szCs w:val="28"/>
        </w:rPr>
      </w:pPr>
      <w:bookmarkStart w:id="34" w:name="_Toc1888_WPSOffice_Level2"/>
      <w:bookmarkStart w:id="35" w:name="_Toc63201868"/>
      <w:r>
        <w:rPr>
          <w:rFonts w:hint="eastAsia" w:ascii="仿宋" w:hAnsi="仿宋" w:eastAsia="仿宋" w:cs="仿宋"/>
          <w:sz w:val="28"/>
          <w:szCs w:val="28"/>
        </w:rPr>
        <w:t>4.3技术标准</w:t>
      </w:r>
      <w:bookmarkEnd w:id="34"/>
      <w:bookmarkEnd w:id="35"/>
    </w:p>
    <w:p>
      <w:pPr>
        <w:numPr>
          <w:ilvl w:val="0"/>
          <w:numId w:val="3"/>
        </w:numPr>
        <w:ind w:firstLine="560" w:firstLineChars="200"/>
        <w:rPr>
          <w:rFonts w:ascii="仿宋" w:hAnsi="仿宋" w:eastAsia="仿宋" w:cs="仿宋"/>
          <w:sz w:val="28"/>
          <w:szCs w:val="28"/>
        </w:rPr>
      </w:pPr>
      <w:r>
        <w:rPr>
          <w:rFonts w:hint="eastAsia" w:ascii="仿宋" w:hAnsi="仿宋" w:eastAsia="仿宋" w:cs="仿宋"/>
          <w:sz w:val="28"/>
          <w:szCs w:val="28"/>
        </w:rPr>
        <w:t>《辽宁省河道及水利工程划界确权成果标准》（辽宁省水利厅，2019.01.01实施）</w:t>
      </w:r>
    </w:p>
    <w:p>
      <w:pPr>
        <w:numPr>
          <w:ilvl w:val="0"/>
          <w:numId w:val="3"/>
        </w:numPr>
        <w:ind w:firstLine="560" w:firstLineChars="200"/>
        <w:rPr>
          <w:rFonts w:ascii="仿宋" w:hAnsi="仿宋" w:eastAsia="仿宋" w:cs="仿宋"/>
          <w:sz w:val="28"/>
          <w:szCs w:val="28"/>
        </w:rPr>
      </w:pPr>
      <w:r>
        <w:rPr>
          <w:rFonts w:hint="eastAsia" w:ascii="仿宋" w:hAnsi="仿宋" w:eastAsia="仿宋" w:cs="仿宋"/>
          <w:sz w:val="28"/>
          <w:szCs w:val="28"/>
        </w:rPr>
        <w:t>《辽宁省河湖和水利工程管理范围划定补充技术指导意见》（试行）（辽宁省水利厅，2019年7月）</w:t>
      </w:r>
    </w:p>
    <w:p>
      <w:pPr>
        <w:numPr>
          <w:ilvl w:val="0"/>
          <w:numId w:val="3"/>
        </w:numPr>
        <w:ind w:firstLine="560" w:firstLineChars="200"/>
        <w:rPr>
          <w:rFonts w:ascii="仿宋" w:hAnsi="仿宋" w:eastAsia="仿宋" w:cs="仿宋"/>
          <w:sz w:val="28"/>
          <w:szCs w:val="28"/>
        </w:rPr>
      </w:pPr>
      <w:r>
        <w:rPr>
          <w:rFonts w:hint="eastAsia" w:ascii="仿宋" w:hAnsi="仿宋" w:eastAsia="仿宋" w:cs="仿宋"/>
          <w:sz w:val="28"/>
          <w:szCs w:val="28"/>
        </w:rPr>
        <w:t>《防洪标准》（GB50201-2014）</w:t>
      </w:r>
    </w:p>
    <w:p>
      <w:pPr>
        <w:numPr>
          <w:ilvl w:val="0"/>
          <w:numId w:val="3"/>
        </w:numPr>
        <w:ind w:firstLine="560" w:firstLineChars="200"/>
        <w:rPr>
          <w:rFonts w:ascii="仿宋" w:hAnsi="仿宋" w:eastAsia="仿宋" w:cs="仿宋"/>
          <w:sz w:val="28"/>
          <w:szCs w:val="28"/>
        </w:rPr>
      </w:pPr>
      <w:r>
        <w:rPr>
          <w:rFonts w:hint="eastAsia" w:ascii="仿宋" w:hAnsi="仿宋" w:eastAsia="仿宋" w:cs="仿宋"/>
          <w:sz w:val="28"/>
          <w:szCs w:val="28"/>
        </w:rPr>
        <w:t>《</w:t>
      </w:r>
      <w:r>
        <w:rPr>
          <w:rFonts w:ascii="仿宋" w:hAnsi="仿宋" w:eastAsia="仿宋" w:cs="仿宋"/>
          <w:sz w:val="28"/>
          <w:szCs w:val="28"/>
        </w:rPr>
        <w:t>水库工程管理设计规范</w:t>
      </w:r>
      <w:r>
        <w:rPr>
          <w:rFonts w:hint="eastAsia" w:ascii="仿宋" w:hAnsi="仿宋" w:eastAsia="仿宋" w:cs="仿宋"/>
          <w:sz w:val="28"/>
          <w:szCs w:val="28"/>
        </w:rPr>
        <w:t>》（SL106-2017）</w:t>
      </w:r>
    </w:p>
    <w:p>
      <w:pPr>
        <w:rPr>
          <w:rFonts w:ascii="仿宋" w:hAnsi="仿宋" w:eastAsia="仿宋" w:cs="仿宋"/>
          <w:sz w:val="28"/>
          <w:szCs w:val="28"/>
        </w:rPr>
      </w:pPr>
    </w:p>
    <w:p>
      <w:pPr>
        <w:rPr>
          <w:rFonts w:ascii="仿宋" w:hAnsi="仿宋" w:eastAsia="仿宋" w:cs="仿宋"/>
          <w:sz w:val="28"/>
          <w:szCs w:val="28"/>
        </w:rPr>
      </w:pPr>
    </w:p>
    <w:p>
      <w:pPr>
        <w:ind w:left="560"/>
        <w:rPr>
          <w:rFonts w:ascii="仿宋" w:hAnsi="仿宋" w:eastAsia="仿宋" w:cs="仿宋"/>
          <w:sz w:val="28"/>
          <w:szCs w:val="28"/>
        </w:rPr>
        <w:sectPr>
          <w:pgSz w:w="11906" w:h="16838"/>
          <w:pgMar w:top="1984" w:right="1417" w:bottom="1417" w:left="1417" w:header="1417" w:footer="1134" w:gutter="0"/>
          <w:cols w:space="0" w:num="1"/>
          <w:docGrid w:type="lines" w:linePitch="312" w:charSpace="0"/>
        </w:sectPr>
      </w:pPr>
    </w:p>
    <w:p>
      <w:pPr>
        <w:numPr>
          <w:ilvl w:val="0"/>
          <w:numId w:val="1"/>
        </w:numPr>
        <w:spacing w:beforeLines="50" w:afterLines="50"/>
        <w:jc w:val="center"/>
        <w:outlineLvl w:val="0"/>
        <w:rPr>
          <w:rFonts w:ascii="仿宋" w:hAnsi="仿宋" w:eastAsia="仿宋" w:cs="仿宋"/>
          <w:b/>
          <w:bCs/>
          <w:sz w:val="28"/>
          <w:szCs w:val="28"/>
        </w:rPr>
      </w:pPr>
      <w:bookmarkStart w:id="36" w:name="_Toc5573"/>
      <w:bookmarkStart w:id="37" w:name="_Toc18487_WPSOffice_Level1"/>
      <w:bookmarkStart w:id="38" w:name="_Toc63201869"/>
      <w:r>
        <w:rPr>
          <w:rFonts w:hint="eastAsia" w:ascii="仿宋" w:hAnsi="仿宋" w:eastAsia="仿宋" w:cs="仿宋"/>
          <w:b/>
          <w:bCs/>
          <w:sz w:val="28"/>
          <w:szCs w:val="28"/>
        </w:rPr>
        <w:t>主要任务</w:t>
      </w:r>
      <w:bookmarkEnd w:id="36"/>
      <w:bookmarkEnd w:id="37"/>
      <w:bookmarkEnd w:id="38"/>
    </w:p>
    <w:p>
      <w:pPr>
        <w:outlineLvl w:val="1"/>
        <w:rPr>
          <w:rFonts w:ascii="仿宋" w:hAnsi="仿宋" w:eastAsia="仿宋" w:cs="仿宋"/>
          <w:sz w:val="28"/>
          <w:szCs w:val="28"/>
        </w:rPr>
      </w:pPr>
      <w:bookmarkStart w:id="39" w:name="_Toc30755_WPSOffice_Level2"/>
      <w:bookmarkStart w:id="40" w:name="_Toc63201870"/>
      <w:bookmarkStart w:id="41" w:name="_Toc23713"/>
      <w:r>
        <w:rPr>
          <w:rFonts w:hint="eastAsia" w:ascii="仿宋" w:hAnsi="仿宋" w:eastAsia="仿宋" w:cs="仿宋"/>
          <w:sz w:val="28"/>
          <w:szCs w:val="28"/>
        </w:rPr>
        <w:t>5.1划界流程</w:t>
      </w:r>
      <w:bookmarkEnd w:id="39"/>
      <w:bookmarkEnd w:id="40"/>
    </w:p>
    <w:p>
      <w:pPr>
        <w:spacing w:line="560" w:lineRule="exact"/>
        <w:outlineLvl w:val="2"/>
        <w:rPr>
          <w:rFonts w:ascii="仿宋" w:hAnsi="仿宋" w:eastAsia="仿宋" w:cs="仿宋"/>
          <w:sz w:val="28"/>
          <w:szCs w:val="28"/>
        </w:rPr>
      </w:pPr>
      <w:bookmarkStart w:id="42" w:name="_Toc63201871"/>
      <w:r>
        <w:rPr>
          <w:rFonts w:hint="eastAsia" w:ascii="仿宋" w:hAnsi="仿宋" w:eastAsia="仿宋" w:cs="仿宋"/>
          <w:sz w:val="28"/>
          <w:szCs w:val="28"/>
        </w:rPr>
        <w:t>5.1.1 编制实施方案</w:t>
      </w:r>
      <w:bookmarkEnd w:id="42"/>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编制水库管理与保护范围划界实施方案。按照水库划界依据和划界原则，逐一对象确定管理范围和保护范围，汇总确定划界面积；按照相关标准测算划界费用，明确工作实施计划、组织保障措施，形成区域内河湖划界工作实施方案。</w:t>
      </w:r>
    </w:p>
    <w:p>
      <w:pPr>
        <w:spacing w:line="560" w:lineRule="exact"/>
        <w:outlineLvl w:val="2"/>
        <w:rPr>
          <w:rFonts w:ascii="仿宋" w:hAnsi="仿宋" w:eastAsia="仿宋" w:cs="仿宋"/>
          <w:sz w:val="28"/>
          <w:szCs w:val="28"/>
        </w:rPr>
      </w:pPr>
      <w:bookmarkStart w:id="43" w:name="_Toc63201872"/>
      <w:r>
        <w:rPr>
          <w:rFonts w:hint="eastAsia" w:ascii="仿宋" w:hAnsi="仿宋" w:eastAsia="仿宋" w:cs="仿宋"/>
          <w:sz w:val="28"/>
          <w:szCs w:val="28"/>
        </w:rPr>
        <w:t>5.1.2 实施方案合规性审核</w:t>
      </w:r>
      <w:bookmarkEnd w:id="43"/>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实施方案由千山区水行政主管部门组织合规性审核，并报送至千山区人民政府印发。参加合规性审核的单位包括千山区自然资源部门、财政部门；可邀请市水利局参加；审批单位、验收单位为千山区人民政府。</w:t>
      </w:r>
    </w:p>
    <w:p>
      <w:pPr>
        <w:spacing w:line="560" w:lineRule="exact"/>
        <w:outlineLvl w:val="2"/>
        <w:rPr>
          <w:rFonts w:ascii="仿宋" w:hAnsi="仿宋" w:eastAsia="仿宋" w:cs="仿宋"/>
          <w:sz w:val="28"/>
          <w:szCs w:val="28"/>
        </w:rPr>
      </w:pPr>
      <w:bookmarkStart w:id="44" w:name="_Toc63201873"/>
      <w:r>
        <w:rPr>
          <w:rFonts w:hint="eastAsia" w:ascii="仿宋" w:hAnsi="仿宋" w:eastAsia="仿宋" w:cs="仿宋"/>
          <w:sz w:val="28"/>
          <w:szCs w:val="28"/>
        </w:rPr>
        <w:t>5.1.3 水库划界实施</w:t>
      </w:r>
      <w:bookmarkEnd w:id="44"/>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遵照相关法规，通过招投标方式确定划界测量实施单位，按照水库划界工作实施方案批复开展实地测量，明确水库管理范围和保护范围，明确界桩、标示牌埋设点。</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在实地测量的基础上，在划界工作底图上，规范标绘工程对象的管理范围、保护范围、界桩位置、标示牌位置等信息。在纸质成果基础上，形成数字化成果。</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遵照确定的界桩标示牌埋设标准，在预定位置埋设相关标识，并逐一拍照，制作界桩标示牌档案资料。</w:t>
      </w:r>
    </w:p>
    <w:p>
      <w:pPr>
        <w:spacing w:line="560" w:lineRule="exact"/>
        <w:outlineLvl w:val="2"/>
        <w:rPr>
          <w:rFonts w:ascii="仿宋" w:hAnsi="仿宋" w:eastAsia="仿宋" w:cs="仿宋"/>
          <w:sz w:val="28"/>
          <w:szCs w:val="28"/>
        </w:rPr>
      </w:pPr>
      <w:bookmarkStart w:id="45" w:name="_Toc63201874"/>
      <w:r>
        <w:rPr>
          <w:rFonts w:hint="eastAsia" w:ascii="仿宋" w:hAnsi="仿宋" w:eastAsia="仿宋" w:cs="仿宋"/>
          <w:sz w:val="28"/>
          <w:szCs w:val="28"/>
        </w:rPr>
        <w:t>5.1.4 验收和公告</w:t>
      </w:r>
      <w:bookmarkEnd w:id="45"/>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成立验收组，由验收工作组对划界工作进行审查，重点审查划界工作成果是否规范，内容是否详实；附图、附表是否齐全，格式是否规范，表达是否清楚；抽查界桩、标示牌现场设置是否合理，制作是否规范；听取划界单位的情况报告和建议意见；做出验收决定，签署验收鉴定书。</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经验收后，由千山区人民政府对河道管理范围进行公告。</w:t>
      </w:r>
    </w:p>
    <w:p>
      <w:pPr>
        <w:spacing w:line="560" w:lineRule="exact"/>
        <w:outlineLvl w:val="2"/>
        <w:rPr>
          <w:rFonts w:ascii="仿宋" w:hAnsi="仿宋" w:eastAsia="仿宋" w:cs="仿宋"/>
          <w:sz w:val="28"/>
          <w:szCs w:val="28"/>
        </w:rPr>
      </w:pPr>
      <w:bookmarkStart w:id="46" w:name="_Toc63201875"/>
      <w:r>
        <w:rPr>
          <w:rFonts w:hint="eastAsia" w:ascii="仿宋" w:hAnsi="仿宋" w:eastAsia="仿宋" w:cs="仿宋"/>
          <w:sz w:val="28"/>
          <w:szCs w:val="28"/>
        </w:rPr>
        <w:t>5.1.5 资料整理归档并建立信息共享</w:t>
      </w:r>
      <w:bookmarkEnd w:id="46"/>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规范做好划界成果归档工作，建立划界信息化成果水利、自然资源、城建等部门共享机制，适时开展划界成果应用开发工作，充分发挥划界成果效益。</w:t>
      </w:r>
    </w:p>
    <w:p>
      <w:pPr>
        <w:outlineLvl w:val="1"/>
        <w:rPr>
          <w:rFonts w:ascii="仿宋" w:hAnsi="仿宋" w:eastAsia="仿宋" w:cs="仿宋"/>
          <w:sz w:val="28"/>
          <w:szCs w:val="28"/>
        </w:rPr>
      </w:pPr>
      <w:bookmarkStart w:id="47" w:name="_Toc12843_WPSOffice_Level2"/>
      <w:bookmarkStart w:id="48" w:name="_Toc27462_WPSOffice_Level2"/>
      <w:bookmarkStart w:id="49" w:name="_Toc63201876"/>
      <w:r>
        <w:rPr>
          <w:rFonts w:hint="eastAsia" w:ascii="仿宋" w:hAnsi="仿宋" w:eastAsia="仿宋" w:cs="仿宋"/>
          <w:sz w:val="28"/>
          <w:szCs w:val="28"/>
        </w:rPr>
        <w:t>5.2 划界标准</w:t>
      </w:r>
      <w:bookmarkEnd w:id="47"/>
      <w:bookmarkEnd w:id="48"/>
      <w:bookmarkEnd w:id="49"/>
    </w:p>
    <w:p>
      <w:pPr>
        <w:spacing w:line="560" w:lineRule="exact"/>
        <w:outlineLvl w:val="2"/>
        <w:rPr>
          <w:rFonts w:ascii="仿宋" w:hAnsi="仿宋" w:eastAsia="仿宋" w:cs="仿宋"/>
          <w:sz w:val="28"/>
          <w:szCs w:val="28"/>
        </w:rPr>
      </w:pPr>
      <w:bookmarkStart w:id="50" w:name="_Toc63201877"/>
      <w:r>
        <w:rPr>
          <w:rFonts w:hint="eastAsia" w:ascii="仿宋" w:hAnsi="仿宋" w:eastAsia="仿宋" w:cs="仿宋"/>
          <w:sz w:val="28"/>
          <w:szCs w:val="28"/>
        </w:rPr>
        <w:t>5.2.1 划界标准</w:t>
      </w:r>
      <w:bookmarkEnd w:id="50"/>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根据《辽宁省河长制办公室关于印发&lt;辽宁省河湖管理与保护范围划定通则&gt;的通知》（辽河长办[2017]2号）、《辽宁省河道及水利工程划界确权成果标准》（辽宁省水利厅，2019.01.01）及《辽宁省河湖和水利工程管理范围划定补充技术指导意见（试行）》（辽宁省水利厅，2019.07）要求，本次划界标准如下：</w:t>
      </w:r>
    </w:p>
    <w:p>
      <w:pPr>
        <w:spacing w:line="560" w:lineRule="exact"/>
        <w:ind w:firstLine="560" w:firstLineChars="200"/>
        <w:rPr>
          <w:rFonts w:ascii="仿宋" w:hAnsi="仿宋" w:eastAsia="仿宋" w:cs="仿宋"/>
          <w:sz w:val="28"/>
          <w:szCs w:val="28"/>
        </w:rPr>
      </w:pPr>
      <w:r>
        <w:rPr>
          <w:rFonts w:ascii="仿宋" w:hAnsi="仿宋" w:eastAsia="仿宋" w:cs="仿宋"/>
          <w:sz w:val="28"/>
          <w:szCs w:val="28"/>
        </w:rPr>
        <w:t>水库（含水电站，下同）工程区管理范围包括大坝、溢洪道、输水道等建（构）筑物周围的管理范围和水库土地征用线以内的库区。</w:t>
      </w:r>
    </w:p>
    <w:p>
      <w:pPr>
        <w:spacing w:line="560" w:lineRule="exact"/>
        <w:ind w:firstLine="560" w:firstLineChars="200"/>
        <w:rPr>
          <w:rFonts w:ascii="仿宋" w:hAnsi="仿宋" w:eastAsia="仿宋" w:cs="仿宋"/>
          <w:sz w:val="28"/>
          <w:szCs w:val="28"/>
        </w:rPr>
      </w:pPr>
      <w:r>
        <w:rPr>
          <w:rFonts w:ascii="仿宋" w:hAnsi="仿宋" w:eastAsia="仿宋" w:cs="仿宋"/>
          <w:sz w:val="28"/>
          <w:szCs w:val="28"/>
        </w:rPr>
        <w:t>批准规划设计文件中已经明确水库工程管理范围的，从其规定；管理条例中已经明确水库工程管理范围的，从其规定；未明确的，按照《水库工程管理设计规范》执行。</w:t>
      </w:r>
    </w:p>
    <w:p>
      <w:pPr>
        <w:spacing w:line="560" w:lineRule="exact"/>
        <w:ind w:firstLine="560" w:firstLineChars="200"/>
        <w:rPr>
          <w:rFonts w:ascii="仿宋" w:hAnsi="仿宋" w:eastAsia="仿宋" w:cs="仿宋"/>
          <w:sz w:val="28"/>
          <w:szCs w:val="28"/>
        </w:rPr>
      </w:pPr>
      <w:r>
        <w:rPr>
          <w:rFonts w:ascii="仿宋" w:hAnsi="仿宋" w:eastAsia="仿宋" w:cs="仿宋"/>
          <w:sz w:val="28"/>
          <w:szCs w:val="28"/>
        </w:rPr>
        <w:t>运行管理区管理范围应包括：办公室、会议室、资料档案室、仓库、防汛调度室、值班室、车库、食堂、值班宿舍及其它附属设施等建（构）筑物的周边范围，规划用地面积大型水库应为125-195m</w:t>
      </w:r>
      <w:r>
        <w:rPr>
          <w:rFonts w:ascii="仿宋" w:hAnsi="仿宋" w:eastAsia="仿宋" w:cs="仿宋"/>
          <w:sz w:val="28"/>
          <w:szCs w:val="28"/>
          <w:vertAlign w:val="superscript"/>
        </w:rPr>
        <w:t>2</w:t>
      </w:r>
      <w:r>
        <w:rPr>
          <w:rFonts w:ascii="仿宋" w:hAnsi="仿宋" w:eastAsia="仿宋" w:cs="仿宋"/>
          <w:sz w:val="28"/>
          <w:szCs w:val="28"/>
        </w:rPr>
        <w:t>/人，中型水库应为135-235m</w:t>
      </w:r>
      <w:r>
        <w:rPr>
          <w:rFonts w:ascii="仿宋" w:hAnsi="仿宋" w:eastAsia="仿宋" w:cs="仿宋"/>
          <w:sz w:val="28"/>
          <w:szCs w:val="28"/>
          <w:vertAlign w:val="superscript"/>
        </w:rPr>
        <w:t>2</w:t>
      </w:r>
      <w:r>
        <w:rPr>
          <w:rFonts w:ascii="仿宋" w:hAnsi="仿宋" w:eastAsia="仿宋" w:cs="仿宋"/>
          <w:sz w:val="28"/>
          <w:szCs w:val="28"/>
        </w:rPr>
        <w:t>/人。有条件设置渔场、林场、畜牧场的，应按期规划明确占地面积。</w:t>
      </w:r>
    </w:p>
    <w:p>
      <w:pPr>
        <w:spacing w:line="560" w:lineRule="exact"/>
        <w:ind w:firstLine="560" w:firstLineChars="200"/>
        <w:rPr>
          <w:rFonts w:ascii="仿宋" w:hAnsi="仿宋" w:eastAsia="仿宋" w:cs="仿宋"/>
          <w:sz w:val="28"/>
          <w:szCs w:val="28"/>
        </w:rPr>
      </w:pPr>
      <w:r>
        <w:rPr>
          <w:rFonts w:ascii="仿宋" w:hAnsi="仿宋" w:eastAsia="仿宋" w:cs="仿宋"/>
          <w:sz w:val="28"/>
          <w:szCs w:val="28"/>
        </w:rPr>
        <w:t>库区管理范围应按照土地征用线确定管理范围；没有土地征用线的，按照设计兴利水位线确定管理范围。</w:t>
      </w:r>
    </w:p>
    <w:p>
      <w:pPr>
        <w:spacing w:line="560" w:lineRule="exact"/>
        <w:ind w:firstLine="560" w:firstLineChars="200"/>
        <w:rPr>
          <w:rFonts w:ascii="仿宋" w:hAnsi="仿宋" w:eastAsia="仿宋" w:cs="仿宋"/>
          <w:sz w:val="28"/>
          <w:szCs w:val="28"/>
        </w:rPr>
      </w:pPr>
      <w:r>
        <w:rPr>
          <w:rFonts w:ascii="仿宋" w:hAnsi="仿宋" w:eastAsia="仿宋" w:cs="仿宋"/>
          <w:sz w:val="28"/>
          <w:szCs w:val="28"/>
        </w:rPr>
        <w:t>批准规划设计文件中已经明确水库工程保护范围的，从其规定；管理条例中已经明确水库工程区管理范围的，从其规定；未明确的，按照《水库工程管理设计规范》执行。</w:t>
      </w:r>
    </w:p>
    <w:p>
      <w:pPr>
        <w:spacing w:line="560" w:lineRule="exact"/>
        <w:ind w:firstLine="560" w:firstLineChars="200"/>
        <w:rPr>
          <w:rFonts w:ascii="仿宋" w:hAnsi="仿宋" w:eastAsia="仿宋" w:cs="仿宋"/>
          <w:sz w:val="28"/>
          <w:szCs w:val="28"/>
        </w:rPr>
      </w:pPr>
      <w:r>
        <w:rPr>
          <w:rFonts w:ascii="仿宋" w:hAnsi="仿宋" w:eastAsia="仿宋" w:cs="仿宋"/>
          <w:sz w:val="28"/>
          <w:szCs w:val="28"/>
        </w:rPr>
        <w:t>（1）工程保护范围在工程管理范围边界线外延。大型水库上、下游300-500m，两侧200-300m；中型水库上、下游200-300m，两侧100-200m。</w:t>
      </w:r>
    </w:p>
    <w:p>
      <w:pPr>
        <w:spacing w:line="560" w:lineRule="exact"/>
        <w:ind w:firstLine="560" w:firstLineChars="200"/>
        <w:rPr>
          <w:rFonts w:ascii="仿宋" w:hAnsi="仿宋" w:eastAsia="仿宋" w:cs="仿宋"/>
          <w:sz w:val="28"/>
          <w:szCs w:val="28"/>
        </w:rPr>
      </w:pPr>
      <w:r>
        <w:rPr>
          <w:rFonts w:ascii="仿宋" w:hAnsi="仿宋" w:eastAsia="仿宋" w:cs="仿宋"/>
          <w:sz w:val="28"/>
          <w:szCs w:val="28"/>
        </w:rPr>
        <w:t>（2）水库保护范围应为坝址以上、库区两岸（包括干、支流）土地征用线以上至第一道分水岭脊线之间的陆地。</w:t>
      </w:r>
    </w:p>
    <w:p>
      <w:pPr>
        <w:spacing w:line="560" w:lineRule="exact"/>
        <w:ind w:firstLine="560" w:firstLineChars="200"/>
        <w:rPr>
          <w:rFonts w:ascii="仿宋" w:hAnsi="仿宋" w:eastAsia="仿宋" w:cs="仿宋"/>
          <w:sz w:val="28"/>
          <w:szCs w:val="28"/>
        </w:rPr>
      </w:pPr>
      <w:r>
        <w:rPr>
          <w:rFonts w:ascii="仿宋" w:hAnsi="仿宋" w:eastAsia="仿宋" w:cs="仿宋"/>
          <w:sz w:val="28"/>
          <w:szCs w:val="28"/>
        </w:rPr>
        <w:t>特殊情况：</w:t>
      </w:r>
    </w:p>
    <w:p>
      <w:pPr>
        <w:spacing w:line="560" w:lineRule="exact"/>
        <w:ind w:firstLine="560" w:firstLineChars="200"/>
        <w:rPr>
          <w:rFonts w:ascii="仿宋" w:hAnsi="仿宋" w:eastAsia="仿宋" w:cs="仿宋"/>
          <w:sz w:val="28"/>
          <w:szCs w:val="28"/>
        </w:rPr>
      </w:pPr>
      <w:r>
        <w:rPr>
          <w:rFonts w:ascii="仿宋" w:hAnsi="仿宋" w:eastAsia="仿宋" w:cs="仿宋"/>
          <w:sz w:val="28"/>
          <w:szCs w:val="28"/>
        </w:rPr>
        <w:t>大伙房水库、观音阁水库、葠窝水库、汤河水库、清河水库、柴河水库、闹德海水库、白石水库、石佛寺水库、西江水库、凤鸣水库管理与保护范围应遵从《辽宁省东水济辽工程管理条例》有关规定。</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5.2.2水文分析计算</w:t>
      </w:r>
    </w:p>
    <w:bookmarkEnd w:id="41"/>
    <w:p>
      <w:pPr>
        <w:spacing w:line="560" w:lineRule="exact"/>
        <w:ind w:firstLine="560" w:firstLineChars="200"/>
        <w:jc w:val="left"/>
        <w:rPr>
          <w:rFonts w:ascii="仿宋" w:hAnsi="仿宋" w:eastAsia="仿宋" w:cs="仿宋"/>
          <w:snapToGrid w:val="0"/>
          <w:spacing w:val="-4"/>
          <w:kern w:val="24"/>
          <w:sz w:val="28"/>
          <w:szCs w:val="28"/>
        </w:rPr>
      </w:pPr>
      <w:r>
        <w:rPr>
          <w:rFonts w:hint="eastAsia" w:ascii="仿宋" w:hAnsi="仿宋" w:eastAsia="仿宋" w:cs="仿宋"/>
          <w:sz w:val="28"/>
          <w:szCs w:val="28"/>
        </w:rPr>
        <w:t>区域平均气温8.6℃,极端最高气温为37.0℃（1999年6月30日）,极端最低气温为-35.6℃（1985年1月28日）,农作物生长季节平均气温为20.6℃。流域内多年平均降水量为703.7mm，多集中在6～9月份，占全年的60%～80%</w:t>
      </w:r>
      <w:r>
        <w:rPr>
          <w:rFonts w:hint="eastAsia" w:ascii="仿宋" w:hAnsi="仿宋" w:eastAsia="仿宋" w:cs="仿宋"/>
          <w:snapToGrid w:val="0"/>
          <w:spacing w:val="-4"/>
          <w:kern w:val="24"/>
          <w:sz w:val="28"/>
          <w:szCs w:val="28"/>
        </w:rPr>
        <w:t>。</w:t>
      </w:r>
    </w:p>
    <w:p>
      <w:pPr>
        <w:spacing w:line="560" w:lineRule="exact"/>
        <w:ind w:firstLine="560" w:firstLineChars="200"/>
        <w:jc w:val="left"/>
        <w:rPr>
          <w:rFonts w:ascii="仿宋" w:hAnsi="仿宋" w:eastAsia="仿宋" w:cs="仿宋"/>
          <w:sz w:val="28"/>
          <w:szCs w:val="28"/>
        </w:rPr>
      </w:pPr>
      <w:r>
        <w:rPr>
          <w:rFonts w:ascii="仿宋" w:hAnsi="仿宋" w:eastAsia="仿宋" w:cs="仿宋"/>
          <w:sz w:val="28"/>
          <w:szCs w:val="28"/>
        </w:rPr>
        <w:t>太平沟水库于19</w:t>
      </w:r>
      <w:r>
        <w:rPr>
          <w:rFonts w:hint="eastAsia" w:ascii="仿宋" w:hAnsi="仿宋" w:eastAsia="仿宋" w:cs="仿宋"/>
          <w:sz w:val="28"/>
          <w:szCs w:val="28"/>
        </w:rPr>
        <w:t>59</w:t>
      </w:r>
      <w:r>
        <w:rPr>
          <w:rFonts w:ascii="仿宋" w:hAnsi="仿宋" w:eastAsia="仿宋" w:cs="仿宋"/>
          <w:sz w:val="28"/>
          <w:szCs w:val="28"/>
        </w:rPr>
        <w:t>年</w:t>
      </w:r>
      <w:r>
        <w:rPr>
          <w:rFonts w:hint="eastAsia" w:ascii="仿宋" w:hAnsi="仿宋" w:eastAsia="仿宋" w:cs="仿宋"/>
          <w:sz w:val="28"/>
          <w:szCs w:val="28"/>
        </w:rPr>
        <w:t>6</w:t>
      </w:r>
      <w:r>
        <w:rPr>
          <w:rFonts w:ascii="仿宋" w:hAnsi="仿宋" w:eastAsia="仿宋" w:cs="仿宋"/>
          <w:sz w:val="28"/>
          <w:szCs w:val="28"/>
        </w:rPr>
        <w:t>月</w:t>
      </w:r>
      <w:r>
        <w:rPr>
          <w:rFonts w:hint="eastAsia" w:ascii="仿宋" w:hAnsi="仿宋" w:eastAsia="仿宋" w:cs="仿宋"/>
          <w:sz w:val="28"/>
          <w:szCs w:val="28"/>
        </w:rPr>
        <w:t>竣工，属镇政府管理的小Ⅱ型水库。水库复核后设计洪水标准为二十年一遇，校核洪水标准为二百年一遇。输水洞为坝下埋设Φ0.45m铸铁管，最大泄流量0.79</w:t>
      </w:r>
      <w:r>
        <w:rPr>
          <w:rFonts w:ascii="仿宋" w:hAnsi="仿宋" w:eastAsia="仿宋" w:cs="仿宋"/>
          <w:sz w:val="28"/>
          <w:szCs w:val="28"/>
        </w:rPr>
        <w:t xml:space="preserve"> m</w:t>
      </w:r>
      <w:r>
        <w:rPr>
          <w:rFonts w:ascii="仿宋" w:hAnsi="仿宋" w:eastAsia="仿宋" w:cs="仿宋"/>
          <w:sz w:val="28"/>
          <w:szCs w:val="28"/>
          <w:vertAlign w:val="superscript"/>
        </w:rPr>
        <w:t>3</w:t>
      </w:r>
      <w:r>
        <w:rPr>
          <w:rFonts w:ascii="仿宋" w:hAnsi="仿宋" w:eastAsia="仿宋" w:cs="仿宋"/>
          <w:sz w:val="28"/>
          <w:szCs w:val="28"/>
        </w:rPr>
        <w:t>/s</w:t>
      </w:r>
      <w:r>
        <w:rPr>
          <w:rFonts w:hint="eastAsia" w:ascii="仿宋" w:hAnsi="仿宋" w:eastAsia="仿宋" w:cs="仿宋"/>
          <w:sz w:val="28"/>
          <w:szCs w:val="28"/>
        </w:rPr>
        <w:t>。溢洪道为开敞式宽顶堰，堰顶高程196.30m，堰顶净宽17m,翼墙高度3.2m，最大泄量133</w:t>
      </w:r>
      <w:r>
        <w:rPr>
          <w:rFonts w:ascii="仿宋" w:hAnsi="仿宋" w:eastAsia="仿宋" w:cs="仿宋"/>
          <w:sz w:val="28"/>
          <w:szCs w:val="28"/>
        </w:rPr>
        <w:t>m</w:t>
      </w:r>
      <w:r>
        <w:rPr>
          <w:rFonts w:ascii="仿宋" w:hAnsi="仿宋" w:eastAsia="仿宋" w:cs="仿宋"/>
          <w:sz w:val="28"/>
          <w:szCs w:val="28"/>
          <w:vertAlign w:val="superscript"/>
        </w:rPr>
        <w:t>3</w:t>
      </w:r>
      <w:r>
        <w:rPr>
          <w:rFonts w:ascii="仿宋" w:hAnsi="仿宋" w:eastAsia="仿宋" w:cs="仿宋"/>
          <w:sz w:val="28"/>
          <w:szCs w:val="28"/>
        </w:rPr>
        <w:t>/s</w:t>
      </w:r>
      <w:r>
        <w:rPr>
          <w:rFonts w:hint="eastAsia" w:ascii="仿宋" w:hAnsi="仿宋" w:eastAsia="仿宋" w:cs="仿宋"/>
          <w:sz w:val="28"/>
          <w:szCs w:val="28"/>
        </w:rPr>
        <w:t>。太平沟水库总库容58.7万m</w:t>
      </w:r>
      <w:r>
        <w:rPr>
          <w:rFonts w:hint="eastAsia" w:ascii="仿宋" w:hAnsi="仿宋" w:eastAsia="仿宋" w:cs="仿宋"/>
          <w:sz w:val="28"/>
          <w:szCs w:val="28"/>
          <w:vertAlign w:val="superscript"/>
        </w:rPr>
        <w:t>3</w:t>
      </w:r>
      <w:r>
        <w:rPr>
          <w:rFonts w:hint="eastAsia" w:ascii="仿宋" w:hAnsi="仿宋" w:eastAsia="仿宋" w:cs="仿宋"/>
          <w:sz w:val="28"/>
          <w:szCs w:val="28"/>
        </w:rPr>
        <w:t>，相应校核洪水位为199.20m；设计洪水位为198.15m，相应库容49.9万m</w:t>
      </w:r>
      <w:r>
        <w:rPr>
          <w:rFonts w:hint="eastAsia" w:ascii="仿宋" w:hAnsi="仿宋" w:eastAsia="仿宋" w:cs="仿宋"/>
          <w:sz w:val="28"/>
          <w:szCs w:val="28"/>
          <w:vertAlign w:val="superscript"/>
        </w:rPr>
        <w:t>3</w:t>
      </w:r>
      <w:r>
        <w:rPr>
          <w:rFonts w:hint="eastAsia" w:ascii="仿宋" w:hAnsi="仿宋" w:eastAsia="仿宋" w:cs="仿宋"/>
          <w:sz w:val="28"/>
          <w:szCs w:val="28"/>
        </w:rPr>
        <w:t>；正常蓄水位为196.3m，相应库容35.84万m</w:t>
      </w:r>
      <w:r>
        <w:rPr>
          <w:rFonts w:hint="eastAsia" w:ascii="仿宋" w:hAnsi="仿宋" w:eastAsia="仿宋" w:cs="仿宋"/>
          <w:sz w:val="28"/>
          <w:szCs w:val="28"/>
          <w:vertAlign w:val="superscript"/>
        </w:rPr>
        <w:t>3</w:t>
      </w:r>
      <w:r>
        <w:rPr>
          <w:rFonts w:hint="eastAsia" w:ascii="仿宋" w:hAnsi="仿宋" w:eastAsia="仿宋" w:cs="仿宋"/>
          <w:sz w:val="28"/>
          <w:szCs w:val="28"/>
        </w:rPr>
        <w:t>；死水位为184.7</w:t>
      </w:r>
      <w:r>
        <w:rPr>
          <w:rFonts w:ascii="仿宋" w:hAnsi="仿宋" w:eastAsia="仿宋" w:cs="仿宋"/>
          <w:sz w:val="28"/>
          <w:szCs w:val="28"/>
        </w:rPr>
        <w:t>m</w:t>
      </w:r>
      <w:r>
        <w:rPr>
          <w:rFonts w:hint="eastAsia" w:ascii="仿宋" w:hAnsi="仿宋" w:eastAsia="仿宋" w:cs="仿宋"/>
          <w:sz w:val="28"/>
          <w:szCs w:val="28"/>
        </w:rPr>
        <w:t>，死库容4.21万m</w:t>
      </w:r>
      <w:r>
        <w:rPr>
          <w:rFonts w:hint="eastAsia" w:ascii="仿宋" w:hAnsi="仿宋" w:eastAsia="仿宋" w:cs="仿宋"/>
          <w:sz w:val="28"/>
          <w:szCs w:val="28"/>
          <w:vertAlign w:val="superscript"/>
        </w:rPr>
        <w:t>3</w:t>
      </w:r>
      <w:r>
        <w:rPr>
          <w:rFonts w:hint="eastAsia" w:ascii="仿宋" w:hAnsi="仿宋" w:eastAsia="仿宋" w:cs="仿宋"/>
          <w:sz w:val="28"/>
          <w:szCs w:val="28"/>
        </w:rPr>
        <w:t>。</w:t>
      </w:r>
    </w:p>
    <w:p>
      <w:pPr>
        <w:spacing w:line="560" w:lineRule="exact"/>
        <w:ind w:firstLine="560" w:firstLineChars="200"/>
        <w:jc w:val="left"/>
        <w:rPr>
          <w:rFonts w:ascii="仿宋" w:hAnsi="仿宋" w:eastAsia="仿宋" w:cs="仿宋"/>
          <w:snapToGrid w:val="0"/>
          <w:spacing w:val="-4"/>
          <w:kern w:val="24"/>
          <w:sz w:val="28"/>
          <w:szCs w:val="28"/>
        </w:rPr>
      </w:pPr>
      <w:r>
        <w:rPr>
          <w:rFonts w:hint="eastAsia" w:ascii="仿宋" w:hAnsi="仿宋" w:eastAsia="仿宋" w:cs="仿宋"/>
          <w:sz w:val="28"/>
          <w:szCs w:val="28"/>
        </w:rPr>
        <w:t>5.2.3 管理与保护范围划定</w:t>
      </w:r>
    </w:p>
    <w:p>
      <w:pPr>
        <w:spacing w:line="560" w:lineRule="exact"/>
        <w:outlineLvl w:val="3"/>
        <w:rPr>
          <w:rFonts w:ascii="仿宋" w:hAnsi="仿宋" w:eastAsia="仿宋" w:cs="仿宋"/>
          <w:sz w:val="28"/>
          <w:szCs w:val="28"/>
        </w:rPr>
      </w:pPr>
      <w:r>
        <w:rPr>
          <w:rFonts w:hint="eastAsia" w:ascii="仿宋" w:hAnsi="仿宋" w:eastAsia="仿宋" w:cs="仿宋"/>
          <w:sz w:val="28"/>
          <w:szCs w:val="28"/>
        </w:rPr>
        <w:t>5.2.3.1范围划定</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根据划界标准、桥梁节点、淹没范围及水库库区地物分布（道路、耕地、林地、挡土墙）等，划定水库管理范围。</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太平沟水库属于小Ⅱ型水库，水库管理条例中未明确水库工程管理范围。现状库区沿线多为耕地、林地、交通道路、村屯等，水库划界确定过程中应尽量减少对上述地类的占用，避免不必要的纠纷。  </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本次划界水库管理范围划定参照中型水库工程区管理范围。水库工程管理范围为从坝脚线向下游200m，两侧50m；库区管理范围为水库校核洪水位以下区域。遇耕地、林地可适当征用，遇交通道路、房屋等则适当调整管理范围。</w:t>
      </w:r>
    </w:p>
    <w:p>
      <w:pPr>
        <w:spacing w:line="560" w:lineRule="exact"/>
        <w:ind w:firstLine="560" w:firstLineChars="200"/>
        <w:rPr>
          <w:rFonts w:hint="eastAsia" w:ascii="仿宋" w:hAnsi="仿宋" w:eastAsia="仿宋" w:cs="仿宋"/>
          <w:sz w:val="28"/>
          <w:szCs w:val="28"/>
        </w:rPr>
      </w:pPr>
      <w:r>
        <w:rPr>
          <w:rFonts w:ascii="仿宋" w:hAnsi="仿宋" w:eastAsia="仿宋" w:cs="仿宋"/>
          <w:sz w:val="28"/>
          <w:szCs w:val="28"/>
        </w:rPr>
        <w:t>工程保护范围在工程管理范围边界线外延。</w:t>
      </w:r>
      <w:r>
        <w:rPr>
          <w:rFonts w:hint="eastAsia" w:ascii="仿宋" w:hAnsi="仿宋" w:eastAsia="仿宋" w:cs="仿宋"/>
          <w:sz w:val="28"/>
          <w:szCs w:val="28"/>
          <w:lang w:val="en-US" w:eastAsia="zh-CN"/>
        </w:rPr>
        <w:t>小型</w:t>
      </w:r>
      <w:r>
        <w:rPr>
          <w:rFonts w:ascii="仿宋" w:hAnsi="仿宋" w:eastAsia="仿宋" w:cs="仿宋"/>
          <w:sz w:val="28"/>
          <w:szCs w:val="28"/>
        </w:rPr>
        <w:t>水库上、下游上、下游200m，两侧100m。</w:t>
      </w:r>
      <w:bookmarkStart w:id="103" w:name="_GoBack"/>
      <w:bookmarkEnd w:id="103"/>
    </w:p>
    <w:p>
      <w:pPr>
        <w:spacing w:line="560" w:lineRule="exact"/>
        <w:outlineLvl w:val="3"/>
        <w:rPr>
          <w:rFonts w:ascii="仿宋" w:hAnsi="仿宋" w:eastAsia="仿宋" w:cs="仿宋"/>
          <w:sz w:val="28"/>
          <w:szCs w:val="28"/>
        </w:rPr>
      </w:pPr>
      <w:r>
        <w:rPr>
          <w:rFonts w:hint="eastAsia" w:ascii="仿宋" w:hAnsi="仿宋" w:eastAsia="仿宋" w:cs="仿宋"/>
          <w:sz w:val="28"/>
          <w:szCs w:val="28"/>
        </w:rPr>
        <w:t>5.2.3.2效果分析</w:t>
      </w:r>
    </w:p>
    <w:p>
      <w:pPr>
        <w:spacing w:line="560" w:lineRule="exact"/>
        <w:ind w:firstLine="560" w:firstLineChars="200"/>
        <w:rPr>
          <w:rFonts w:ascii="Times New Roman" w:hAnsi="Times New Roman"/>
          <w:sz w:val="24"/>
        </w:rPr>
      </w:pPr>
      <w:r>
        <w:rPr>
          <w:rFonts w:hint="eastAsia" w:ascii="仿宋" w:hAnsi="仿宋" w:eastAsia="仿宋" w:cs="仿宋"/>
          <w:sz w:val="28"/>
          <w:szCs w:val="28"/>
        </w:rPr>
        <w:t>太平沟水库管理与保护范围划定后，将大幅改善千山区河长制推进的基础条件，提高千山区河长制办公室、千山区水利局对太平沟水库的管理力度，更好的开展河道防洪治理、生态治理等民生工程，开展防汛抢险等民生工作，保障沿河村屯、居民的生命财产安全，促进区域社会经济发展。</w:t>
      </w:r>
    </w:p>
    <w:p>
      <w:pPr>
        <w:spacing w:line="560" w:lineRule="exact"/>
        <w:outlineLvl w:val="1"/>
        <w:rPr>
          <w:rFonts w:ascii="仿宋" w:hAnsi="仿宋" w:eastAsia="仿宋" w:cs="仿宋"/>
          <w:sz w:val="28"/>
          <w:szCs w:val="28"/>
        </w:rPr>
      </w:pPr>
      <w:bookmarkStart w:id="51" w:name="_Toc22876_WPSOffice_Level2"/>
      <w:bookmarkStart w:id="52" w:name="_Toc63201878"/>
      <w:r>
        <w:rPr>
          <w:rFonts w:hint="eastAsia" w:ascii="仿宋" w:hAnsi="仿宋" w:eastAsia="仿宋" w:cs="仿宋"/>
          <w:sz w:val="28"/>
          <w:szCs w:val="28"/>
        </w:rPr>
        <w:t>5.3 外业测绘</w:t>
      </w:r>
      <w:bookmarkEnd w:id="51"/>
      <w:bookmarkEnd w:id="52"/>
    </w:p>
    <w:p>
      <w:pPr>
        <w:pStyle w:val="22"/>
        <w:spacing w:line="560" w:lineRule="exact"/>
        <w:ind w:firstLine="630"/>
        <w:rPr>
          <w:rFonts w:ascii="仿宋" w:hAnsi="仿宋" w:eastAsia="仿宋" w:cs="仿宋"/>
          <w:sz w:val="28"/>
          <w:szCs w:val="28"/>
        </w:rPr>
      </w:pPr>
      <w:r>
        <w:rPr>
          <w:rFonts w:hint="eastAsia" w:ascii="仿宋" w:hAnsi="仿宋" w:eastAsia="仿宋" w:cs="仿宋"/>
          <w:sz w:val="28"/>
          <w:szCs w:val="28"/>
        </w:rPr>
        <w:t>以辽宁省自然资源部门提供的1:</w:t>
      </w:r>
      <w:r>
        <w:rPr>
          <w:rFonts w:ascii="仿宋" w:hAnsi="仿宋" w:eastAsia="仿宋" w:cs="仿宋"/>
          <w:sz w:val="28"/>
          <w:szCs w:val="28"/>
        </w:rPr>
        <w:t>10000</w:t>
      </w:r>
      <w:r>
        <w:rPr>
          <w:rFonts w:hint="eastAsia" w:ascii="仿宋" w:hAnsi="仿宋" w:eastAsia="仿宋" w:cs="仿宋"/>
          <w:sz w:val="28"/>
          <w:szCs w:val="28"/>
        </w:rPr>
        <w:t>地形图及影像图光盘作为划界工作底图，配合实测大断面进行划界工作。</w:t>
      </w:r>
    </w:p>
    <w:p>
      <w:pPr>
        <w:pStyle w:val="22"/>
        <w:spacing w:line="560" w:lineRule="exact"/>
        <w:ind w:firstLine="630"/>
        <w:rPr>
          <w:rFonts w:ascii="仿宋" w:hAnsi="仿宋" w:eastAsia="仿宋" w:cs="仿宋"/>
          <w:sz w:val="28"/>
          <w:szCs w:val="28"/>
        </w:rPr>
      </w:pPr>
      <w:r>
        <w:rPr>
          <w:rFonts w:hint="eastAsia" w:ascii="仿宋" w:hAnsi="仿宋" w:eastAsia="仿宋" w:cs="仿宋"/>
          <w:sz w:val="28"/>
          <w:szCs w:val="28"/>
        </w:rPr>
        <w:t>（1）坐标系统</w:t>
      </w:r>
    </w:p>
    <w:p>
      <w:pPr>
        <w:pStyle w:val="22"/>
        <w:spacing w:line="560" w:lineRule="exact"/>
        <w:ind w:firstLine="630"/>
        <w:rPr>
          <w:rFonts w:ascii="仿宋" w:hAnsi="仿宋" w:eastAsia="仿宋" w:cs="仿宋"/>
          <w:sz w:val="28"/>
          <w:szCs w:val="28"/>
        </w:rPr>
      </w:pPr>
      <w:r>
        <w:rPr>
          <w:rFonts w:hint="eastAsia" w:ascii="仿宋" w:hAnsi="仿宋" w:eastAsia="仿宋" w:cs="仿宋"/>
          <w:sz w:val="28"/>
          <w:szCs w:val="28"/>
        </w:rPr>
        <w:t>测量使用坐标系为2000国家大地坐标系统，高程系统为1985国家高程基准。</w:t>
      </w:r>
    </w:p>
    <w:p>
      <w:pPr>
        <w:pStyle w:val="22"/>
        <w:spacing w:line="560" w:lineRule="exact"/>
        <w:ind w:firstLine="630"/>
        <w:rPr>
          <w:rFonts w:ascii="仿宋" w:hAnsi="仿宋" w:eastAsia="仿宋" w:cs="仿宋"/>
          <w:sz w:val="28"/>
          <w:szCs w:val="28"/>
        </w:rPr>
      </w:pPr>
      <w:r>
        <w:rPr>
          <w:rFonts w:hint="eastAsia" w:ascii="仿宋" w:hAnsi="仿宋" w:eastAsia="仿宋" w:cs="仿宋"/>
          <w:sz w:val="28"/>
          <w:szCs w:val="28"/>
        </w:rPr>
        <w:t>（2）控制点布设</w:t>
      </w:r>
    </w:p>
    <w:p>
      <w:pPr>
        <w:pStyle w:val="22"/>
        <w:spacing w:line="560" w:lineRule="exact"/>
        <w:ind w:firstLine="630"/>
        <w:rPr>
          <w:rFonts w:ascii="仿宋" w:hAnsi="仿宋" w:eastAsia="仿宋" w:cs="仿宋"/>
          <w:sz w:val="28"/>
          <w:szCs w:val="28"/>
        </w:rPr>
      </w:pPr>
      <w:r>
        <w:rPr>
          <w:rFonts w:hint="eastAsia" w:ascii="仿宋" w:hAnsi="仿宋" w:eastAsia="仿宋" w:cs="仿宋"/>
          <w:sz w:val="28"/>
          <w:szCs w:val="28"/>
        </w:rPr>
        <w:t>利用GPS等设备对水库管理范围线、堤防工程管理与保护范围线现场打点，每间隔不大于500m打一个控制坐标点，地形复杂处及拐点适当增加标注控制坐标点。控制点应布置合理，既能控制方向变化，又要保持带状美观。</w:t>
      </w:r>
    </w:p>
    <w:p>
      <w:pPr>
        <w:pStyle w:val="22"/>
        <w:spacing w:line="560" w:lineRule="exact"/>
        <w:ind w:firstLine="630"/>
        <w:rPr>
          <w:rFonts w:ascii="仿宋" w:hAnsi="仿宋" w:eastAsia="仿宋" w:cs="仿宋"/>
          <w:sz w:val="28"/>
          <w:szCs w:val="28"/>
        </w:rPr>
      </w:pPr>
      <w:r>
        <w:rPr>
          <w:rFonts w:hint="eastAsia" w:ascii="仿宋" w:hAnsi="仿宋" w:eastAsia="仿宋" w:cs="仿宋"/>
          <w:sz w:val="28"/>
          <w:szCs w:val="28"/>
        </w:rPr>
        <w:t>（3）测量方法</w:t>
      </w:r>
    </w:p>
    <w:p>
      <w:pPr>
        <w:pStyle w:val="22"/>
        <w:widowControl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测量人员以河流走向为方向，根据管理与保护范围线划定标准沿河道进行打点测量，同时记录控制坐标点名称及编码，填写《河道管理范围和堤防工程管理与保护范围划界外业记录表》；堤防起始位置、重要穿堤建筑物、拦河闸坝位置、行政区域界线（上下游归属）位置等应做特殊标注及记录；同一河段应连续测量，中间不应出现断续情况。</w:t>
      </w:r>
    </w:p>
    <w:p>
      <w:pPr>
        <w:spacing w:line="560" w:lineRule="exact"/>
        <w:outlineLvl w:val="1"/>
        <w:rPr>
          <w:rFonts w:ascii="仿宋" w:hAnsi="仿宋" w:eastAsia="仿宋" w:cs="仿宋"/>
          <w:sz w:val="28"/>
          <w:szCs w:val="28"/>
        </w:rPr>
      </w:pPr>
      <w:bookmarkStart w:id="53" w:name="_Toc3036_WPSOffice_Level2"/>
      <w:bookmarkStart w:id="54" w:name="_Toc63201879"/>
      <w:r>
        <w:rPr>
          <w:rFonts w:hint="eastAsia" w:ascii="仿宋" w:hAnsi="仿宋" w:eastAsia="仿宋" w:cs="仿宋"/>
          <w:sz w:val="28"/>
          <w:szCs w:val="28"/>
        </w:rPr>
        <w:t>5.4 勘界定桩</w:t>
      </w:r>
      <w:bookmarkEnd w:id="53"/>
      <w:bookmarkEnd w:id="54"/>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根据太平沟水库管理实际工作需要，提出切合实际的界桩和管理标识布置。</w:t>
      </w:r>
    </w:p>
    <w:p>
      <w:pPr>
        <w:spacing w:line="560" w:lineRule="exact"/>
        <w:outlineLvl w:val="2"/>
        <w:rPr>
          <w:rFonts w:ascii="仿宋" w:hAnsi="仿宋" w:eastAsia="仿宋" w:cs="仿宋"/>
          <w:sz w:val="28"/>
          <w:szCs w:val="28"/>
        </w:rPr>
      </w:pPr>
      <w:bookmarkStart w:id="55" w:name="_Toc455338260"/>
      <w:bookmarkStart w:id="56" w:name="_Toc63201880"/>
      <w:r>
        <w:rPr>
          <w:rFonts w:hint="eastAsia" w:ascii="仿宋" w:hAnsi="仿宋" w:eastAsia="仿宋" w:cs="仿宋"/>
          <w:sz w:val="28"/>
          <w:szCs w:val="28"/>
        </w:rPr>
        <w:t>5.4.1界桩及管理和保护标志牌布设</w:t>
      </w:r>
      <w:bookmarkEnd w:id="55"/>
      <w:r>
        <w:rPr>
          <w:rFonts w:hint="eastAsia" w:ascii="仿宋" w:hAnsi="仿宋" w:eastAsia="仿宋" w:cs="仿宋"/>
          <w:sz w:val="28"/>
          <w:szCs w:val="28"/>
        </w:rPr>
        <w:t>、制作安装标准</w:t>
      </w:r>
      <w:bookmarkEnd w:id="56"/>
    </w:p>
    <w:p>
      <w:pPr>
        <w:spacing w:line="560" w:lineRule="exact"/>
        <w:outlineLvl w:val="2"/>
        <w:rPr>
          <w:rFonts w:ascii="仿宋" w:hAnsi="仿宋" w:eastAsia="仿宋" w:cs="仿宋"/>
          <w:sz w:val="28"/>
          <w:szCs w:val="28"/>
        </w:rPr>
      </w:pPr>
      <w:bookmarkStart w:id="57" w:name="_Toc63201881"/>
      <w:r>
        <w:rPr>
          <w:rFonts w:hint="eastAsia" w:ascii="仿宋" w:hAnsi="仿宋" w:eastAsia="仿宋" w:cs="仿宋"/>
          <w:sz w:val="28"/>
          <w:szCs w:val="28"/>
        </w:rPr>
        <w:t>5.4.1.1水库界桩及管理和保护标志牌布设、制作安装标准</w:t>
      </w:r>
      <w:bookmarkEnd w:id="57"/>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1）界桩及管理和保护标志牌布设</w:t>
      </w:r>
    </w:p>
    <w:p>
      <w:pPr>
        <w:pStyle w:val="22"/>
        <w:spacing w:line="560" w:lineRule="exact"/>
        <w:ind w:firstLine="630"/>
        <w:rPr>
          <w:rFonts w:ascii="仿宋" w:hAnsi="仿宋" w:eastAsia="仿宋" w:cs="仿宋"/>
          <w:sz w:val="28"/>
          <w:szCs w:val="28"/>
        </w:rPr>
      </w:pPr>
      <w:r>
        <w:rPr>
          <w:rFonts w:hint="eastAsia" w:ascii="仿宋" w:hAnsi="仿宋" w:eastAsia="仿宋" w:cs="仿宋"/>
          <w:sz w:val="28"/>
          <w:szCs w:val="28"/>
        </w:rPr>
        <w:t>根据批复的实施方案及复测、校正成果，进行界桩、管理和保护标志牌的实地放样、制作与安装。</w:t>
      </w:r>
    </w:p>
    <w:p>
      <w:pPr>
        <w:pStyle w:val="22"/>
        <w:widowControl w:val="0"/>
        <w:spacing w:line="560" w:lineRule="exact"/>
        <w:ind w:firstLine="630"/>
        <w:rPr>
          <w:rFonts w:ascii="仿宋" w:hAnsi="仿宋" w:eastAsia="仿宋" w:cs="仿宋"/>
          <w:sz w:val="28"/>
          <w:szCs w:val="28"/>
        </w:rPr>
      </w:pPr>
      <w:r>
        <w:rPr>
          <w:rFonts w:hint="eastAsia" w:ascii="仿宋" w:hAnsi="仿宋" w:eastAsia="仿宋" w:cs="仿宋"/>
          <w:sz w:val="28"/>
          <w:szCs w:val="28"/>
        </w:rPr>
        <w:t>界桩沿水库管理范围线布设，重点布设在水库管理任务重、易产生水事纠纷的区域，界桩应尽量埋设在水行政主管部门已取得土地使用权证的地块，不适宜连续布设界桩的位置可通过集中布设标志牌起到指示（管理与保护范围）、警示作用，堤防工程保护范围不专门设置界桩和管理保护标志牌。一般情况下，可按照每公里不少于一个界桩布置，遇下列情况应适当加密：</w:t>
      </w:r>
    </w:p>
    <w:p>
      <w:pPr>
        <w:pStyle w:val="22"/>
        <w:spacing w:line="560" w:lineRule="exact"/>
        <w:ind w:firstLine="630"/>
        <w:rPr>
          <w:rFonts w:ascii="仿宋" w:hAnsi="仿宋" w:eastAsia="仿宋" w:cs="仿宋"/>
          <w:sz w:val="28"/>
          <w:szCs w:val="28"/>
        </w:rPr>
      </w:pPr>
      <w:r>
        <w:rPr>
          <w:rFonts w:hint="eastAsia" w:ascii="仿宋" w:hAnsi="仿宋" w:eastAsia="仿宋" w:cs="仿宋"/>
          <w:sz w:val="28"/>
          <w:szCs w:val="28"/>
        </w:rPr>
        <w:t>（1）人群密集或者拐点处；</w:t>
      </w:r>
    </w:p>
    <w:p>
      <w:pPr>
        <w:pStyle w:val="22"/>
        <w:spacing w:line="560" w:lineRule="exact"/>
        <w:ind w:firstLine="630"/>
        <w:rPr>
          <w:rFonts w:ascii="仿宋" w:hAnsi="仿宋" w:eastAsia="仿宋" w:cs="仿宋"/>
          <w:sz w:val="28"/>
          <w:szCs w:val="28"/>
        </w:rPr>
      </w:pPr>
      <w:r>
        <w:rPr>
          <w:rFonts w:hint="eastAsia" w:ascii="仿宋" w:hAnsi="仿宋" w:eastAsia="仿宋" w:cs="仿宋"/>
          <w:sz w:val="28"/>
          <w:szCs w:val="28"/>
        </w:rPr>
        <w:t>（2）重要下河通道（车行通道）；</w:t>
      </w:r>
    </w:p>
    <w:p>
      <w:pPr>
        <w:pStyle w:val="22"/>
        <w:spacing w:line="560" w:lineRule="exact"/>
        <w:ind w:firstLine="630"/>
        <w:rPr>
          <w:rFonts w:ascii="仿宋" w:hAnsi="仿宋" w:eastAsia="仿宋" w:cs="仿宋"/>
          <w:sz w:val="28"/>
          <w:szCs w:val="28"/>
        </w:rPr>
      </w:pPr>
      <w:r>
        <w:rPr>
          <w:rFonts w:hint="eastAsia" w:ascii="仿宋" w:hAnsi="仿宋" w:eastAsia="仿宋" w:cs="仿宋"/>
          <w:sz w:val="28"/>
          <w:szCs w:val="28"/>
        </w:rPr>
        <w:t>（3）重要码头、桥梁、取水口、电站等涉河设施处；</w:t>
      </w:r>
    </w:p>
    <w:p>
      <w:pPr>
        <w:pStyle w:val="22"/>
        <w:spacing w:line="560" w:lineRule="exact"/>
        <w:ind w:firstLine="630"/>
        <w:rPr>
          <w:rFonts w:ascii="仿宋" w:hAnsi="仿宋" w:eastAsia="仿宋" w:cs="仿宋"/>
          <w:sz w:val="28"/>
          <w:szCs w:val="28"/>
        </w:rPr>
      </w:pPr>
      <w:r>
        <w:rPr>
          <w:rFonts w:hint="eastAsia" w:ascii="仿宋" w:hAnsi="仿宋" w:eastAsia="仿宋" w:cs="仿宋"/>
          <w:sz w:val="28"/>
          <w:szCs w:val="28"/>
        </w:rPr>
        <w:t>（4）河道拐弯（角度小于l20°）处；</w:t>
      </w:r>
    </w:p>
    <w:p>
      <w:pPr>
        <w:pStyle w:val="22"/>
        <w:spacing w:line="560" w:lineRule="exact"/>
        <w:ind w:firstLine="630"/>
        <w:rPr>
          <w:rFonts w:ascii="仿宋" w:hAnsi="仿宋" w:eastAsia="仿宋" w:cs="仿宋"/>
          <w:sz w:val="28"/>
          <w:szCs w:val="28"/>
        </w:rPr>
      </w:pPr>
      <w:r>
        <w:rPr>
          <w:rFonts w:hint="eastAsia" w:ascii="仿宋" w:hAnsi="仿宋" w:eastAsia="仿宋" w:cs="仿宋"/>
          <w:sz w:val="28"/>
          <w:szCs w:val="28"/>
        </w:rPr>
        <w:t>（5）水事纠纷和水事案件易发地段或行政界。</w:t>
      </w:r>
    </w:p>
    <w:p>
      <w:pPr>
        <w:pStyle w:val="22"/>
        <w:spacing w:line="560" w:lineRule="exact"/>
        <w:ind w:firstLine="630"/>
        <w:rPr>
          <w:rFonts w:ascii="仿宋" w:hAnsi="仿宋" w:eastAsia="仿宋" w:cs="仿宋"/>
          <w:sz w:val="28"/>
          <w:szCs w:val="28"/>
        </w:rPr>
      </w:pPr>
      <w:r>
        <w:rPr>
          <w:rFonts w:hint="eastAsia" w:ascii="仿宋" w:hAnsi="仿宋" w:eastAsia="仿宋" w:cs="仿宋"/>
          <w:sz w:val="28"/>
          <w:szCs w:val="28"/>
        </w:rPr>
        <w:t>此外，可结合实际情况布设管理和保护标志牌，用于宣传和标识堤防工程保护范围。界桩应尽量布置在不妨碍群众生产生活，不易受到破坏、影响的位置；管理和保护标志牌尽量布设在重要村屯、水利工程或道口处及间隔较长的界桩中间位置。根据以上规则确定界桩、管理保护标志牌布设的位置，绘制在地形图上。</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2）界桩标准</w:t>
      </w:r>
    </w:p>
    <w:p>
      <w:pPr>
        <w:pStyle w:val="22"/>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（1）制作规格：材料为大理石，轻度不得低于40Mpa，形状为方形柱体，尺寸 1080×360×120mm。</w:t>
      </w:r>
    </w:p>
    <w:p>
      <w:pPr>
        <w:pStyle w:val="22"/>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标识内容：正面，即面向管理范围内立面，喷涂“严禁破坏”字样；背面，即面向管理范围外立面，喷涂水利标志“河流名称+河流编码”+“河界”字样，河流名称采用汉语拼音首字母标识，省管、市管河流界桩编码采用6位码，县管河流采用5位码，第1位代表河流管理级别，省、市、县管河流分别用G、S、X表示；第2 至第5位或第4位码采用流水码，自上而下、由小至大编排；最后1位码代表左岸、右岸，分别用字母“Z/Y”表示。标识内容字体为黑体，颜色为红色，高度40mm×50mm，行距20mm，居中。具体样式见图5.4-1。</w:t>
      </w:r>
    </w:p>
    <w:p>
      <w:pPr>
        <w:pStyle w:val="22"/>
        <w:spacing w:line="560" w:lineRule="exact"/>
        <w:ind w:firstLine="560" w:firstLineChars="200"/>
        <w:rPr>
          <w:rFonts w:ascii="Times New Roman" w:hAnsi="Times New Roman" w:eastAsia="宋体"/>
          <w:kern w:val="2"/>
        </w:rPr>
      </w:pPr>
      <w:r>
        <w:rPr>
          <w:rFonts w:hint="eastAsia" w:ascii="仿宋" w:hAnsi="仿宋" w:eastAsia="仿宋" w:cs="仿宋"/>
          <w:sz w:val="28"/>
          <w:szCs w:val="28"/>
        </w:rPr>
        <w:t>（3）埋设要求：</w:t>
      </w:r>
      <w:r>
        <w:rPr>
          <w:rFonts w:hint="eastAsia" w:ascii="仿宋" w:hAnsi="仿宋" w:eastAsia="仿宋" w:cs="仿宋"/>
          <w:kern w:val="2"/>
          <w:sz w:val="28"/>
          <w:szCs w:val="28"/>
        </w:rPr>
        <w:t>界碑地面以下580mm，地上出露500mm。现场挖坑规格不低于630</w:t>
      </w:r>
      <w:r>
        <w:rPr>
          <w:rFonts w:hint="eastAsia" w:ascii="仿宋" w:hAnsi="仿宋" w:eastAsia="仿宋" w:cs="仿宋"/>
          <w:sz w:val="28"/>
          <w:szCs w:val="28"/>
        </w:rPr>
        <w:t>×</w:t>
      </w:r>
      <w:r>
        <w:rPr>
          <w:rFonts w:hint="eastAsia" w:ascii="仿宋" w:hAnsi="仿宋" w:eastAsia="仿宋" w:cs="仿宋"/>
          <w:kern w:val="2"/>
          <w:sz w:val="28"/>
          <w:szCs w:val="28"/>
        </w:rPr>
        <w:t>460</w:t>
      </w:r>
      <w:r>
        <w:rPr>
          <w:rFonts w:hint="eastAsia" w:ascii="仿宋" w:hAnsi="仿宋" w:eastAsia="仿宋" w:cs="仿宋"/>
          <w:sz w:val="28"/>
          <w:szCs w:val="28"/>
        </w:rPr>
        <w:t>×</w:t>
      </w:r>
      <w:r>
        <w:rPr>
          <w:rFonts w:hint="eastAsia" w:ascii="仿宋" w:hAnsi="仿宋" w:eastAsia="仿宋" w:cs="仿宋"/>
          <w:kern w:val="2"/>
          <w:sz w:val="28"/>
          <w:szCs w:val="28"/>
        </w:rPr>
        <w:t>220mm，底部先填筑50mm混凝土，待筑底混凝土上强度后放入界桩，同步浇筑混凝土、固定界桩。固定界桩混凝土应高出地面高度50mm，超出界桩四面（前、后、左、右）50mm为宜，超出地面的混凝土平台要规整。混凝土标号不小于C20。</w:t>
      </w:r>
    </w:p>
    <w:p>
      <w:pPr>
        <w:pStyle w:val="22"/>
        <w:spacing w:line="240" w:lineRule="auto"/>
        <w:ind w:firstLine="0" w:firstLineChars="0"/>
        <w:jc w:val="center"/>
        <w:rPr>
          <w:rFonts w:ascii="Times New Roman" w:hAnsi="Times New Roman"/>
        </w:rPr>
      </w:pPr>
      <w:r>
        <w:rPr>
          <w:rFonts w:hint="eastAsia"/>
        </w:rPr>
        <w:drawing>
          <wp:inline distT="0" distB="0" distL="114300" distR="114300">
            <wp:extent cx="5315585" cy="3352800"/>
            <wp:effectExtent l="0" t="0" r="18415" b="0"/>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16"/>
                    <a:srcRect t="8656" b="6154"/>
                    <a:stretch>
                      <a:fillRect/>
                    </a:stretch>
                  </pic:blipFill>
                  <pic:spPr>
                    <a:xfrm>
                      <a:off x="0" y="0"/>
                      <a:ext cx="5315585" cy="3352800"/>
                    </a:xfrm>
                    <a:prstGeom prst="rect">
                      <a:avLst/>
                    </a:prstGeom>
                    <a:noFill/>
                    <a:ln>
                      <a:noFill/>
                    </a:ln>
                  </pic:spPr>
                </pic:pic>
              </a:graphicData>
            </a:graphic>
          </wp:inline>
        </w:drawing>
      </w:r>
    </w:p>
    <w:p>
      <w:pPr>
        <w:pStyle w:val="22"/>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图5.4-1  界桩典型结构示意图</w:t>
      </w:r>
    </w:p>
    <w:p>
      <w:pPr>
        <w:numPr>
          <w:ilvl w:val="0"/>
          <w:numId w:val="4"/>
        </w:num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标示牌标准</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制作规格：标示牌总宽 1600mm，高2300mm（地面以上），其中面板尺寸 1500mm×1000mm（宽×高）。</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制作材料:采用φ50mm不锈钢管或热镀管制作支架，面板采用铝反光面板制作。</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标识内容：标示牌正面标书关于河道或水利工程管理与保护有关的约定，反面为有关关于河道或水利工程管理与保护范围法律依据。要求面板底色为蓝底，标识文字为白字。具体样式详见下图5.4-2～3。</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埋设要求：标示牌立柱管埋入地下400mm，四周浇注600×600mm 的C20 砼底座固定。</w:t>
      </w:r>
    </w:p>
    <w:p>
      <w:pPr>
        <w:pStyle w:val="22"/>
        <w:spacing w:line="240" w:lineRule="auto"/>
        <w:ind w:firstLine="0" w:firstLineChars="0"/>
        <w:jc w:val="center"/>
        <w:rPr>
          <w:rFonts w:ascii="Times New Roman" w:hAnsi="Times New Roman"/>
        </w:rPr>
      </w:pPr>
      <w:r>
        <w:rPr>
          <w:rFonts w:ascii="Times New Roman" w:hAnsi="Times New Roman"/>
        </w:rPr>
        <w:drawing>
          <wp:inline distT="0" distB="0" distL="114300" distR="114300">
            <wp:extent cx="4383405" cy="4067810"/>
            <wp:effectExtent l="0" t="0" r="0" b="8890"/>
            <wp:docPr id="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pic:cNvPicPr>
                      <a:picLocks noChangeAspect="1"/>
                    </pic:cNvPicPr>
                  </pic:nvPicPr>
                  <pic:blipFill>
                    <a:blip r:embed="rId17"/>
                    <a:srcRect l="10173" t="11981" r="5031" b="12666"/>
                    <a:stretch>
                      <a:fillRect/>
                    </a:stretch>
                  </pic:blipFill>
                  <pic:spPr>
                    <a:xfrm>
                      <a:off x="0" y="0"/>
                      <a:ext cx="4383833" cy="4068725"/>
                    </a:xfrm>
                    <a:prstGeom prst="rect">
                      <a:avLst/>
                    </a:prstGeom>
                    <a:noFill/>
                    <a:ln>
                      <a:noFill/>
                    </a:ln>
                  </pic:spPr>
                </pic:pic>
              </a:graphicData>
            </a:graphic>
          </wp:inline>
        </w:drawing>
      </w:r>
    </w:p>
    <w:p>
      <w:pPr>
        <w:pStyle w:val="22"/>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图5.4-2       标示牌典型结构示意图-正面</w:t>
      </w:r>
    </w:p>
    <w:p>
      <w:pPr>
        <w:pStyle w:val="22"/>
        <w:spacing w:line="240" w:lineRule="auto"/>
        <w:ind w:firstLine="0" w:firstLineChars="0"/>
        <w:jc w:val="center"/>
        <w:rPr>
          <w:rFonts w:ascii="Times New Roman" w:hAnsi="Times New Roman"/>
        </w:rPr>
      </w:pPr>
      <w:r>
        <w:rPr>
          <w:rFonts w:ascii="Times New Roman" w:hAnsi="Times New Roman"/>
        </w:rPr>
        <w:drawing>
          <wp:inline distT="0" distB="0" distL="114300" distR="114300">
            <wp:extent cx="5101590" cy="4572000"/>
            <wp:effectExtent l="0" t="0" r="3810" b="0"/>
            <wp:docPr id="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pic:cNvPicPr>
                      <a:picLocks noChangeAspect="1"/>
                    </pic:cNvPicPr>
                  </pic:nvPicPr>
                  <pic:blipFill>
                    <a:blip r:embed="rId18"/>
                    <a:srcRect l="3278" t="13625" r="5174" b="13282"/>
                    <a:stretch>
                      <a:fillRect/>
                    </a:stretch>
                  </pic:blipFill>
                  <pic:spPr>
                    <a:xfrm>
                      <a:off x="0" y="0"/>
                      <a:ext cx="5102860" cy="4572693"/>
                    </a:xfrm>
                    <a:prstGeom prst="rect">
                      <a:avLst/>
                    </a:prstGeom>
                    <a:noFill/>
                    <a:ln>
                      <a:noFill/>
                    </a:ln>
                  </pic:spPr>
                </pic:pic>
              </a:graphicData>
            </a:graphic>
          </wp:inline>
        </w:drawing>
      </w:r>
    </w:p>
    <w:p>
      <w:pPr>
        <w:pStyle w:val="22"/>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图5.4-3        标示牌典型结构示意图-背面</w:t>
      </w:r>
    </w:p>
    <w:p>
      <w:pPr>
        <w:spacing w:line="560" w:lineRule="exact"/>
        <w:rPr>
          <w:rFonts w:ascii="仿宋" w:hAnsi="仿宋" w:eastAsia="仿宋" w:cs="仿宋"/>
          <w:bCs/>
          <w:sz w:val="28"/>
          <w:szCs w:val="28"/>
        </w:rPr>
      </w:pPr>
      <w:r>
        <w:rPr>
          <w:rFonts w:hint="eastAsia" w:ascii="仿宋" w:hAnsi="仿宋" w:eastAsia="仿宋" w:cs="仿宋"/>
          <w:bCs/>
          <w:sz w:val="28"/>
          <w:szCs w:val="28"/>
        </w:rPr>
        <w:t>2）河湖界桩和管理标识</w:t>
      </w:r>
    </w:p>
    <w:p>
      <w:pPr>
        <w:pStyle w:val="22"/>
        <w:widowControl w:val="0"/>
        <w:spacing w:line="560" w:lineRule="exact"/>
        <w:ind w:firstLine="560" w:firstLineChars="200"/>
        <w:rPr>
          <w:rFonts w:ascii="仿宋" w:hAnsi="仿宋" w:eastAsia="仿宋" w:cs="仿宋"/>
          <w:sz w:val="28"/>
          <w:szCs w:val="28"/>
        </w:rPr>
      </w:pPr>
      <w:r>
        <w:rPr>
          <w:rFonts w:hint="eastAsia" w:ascii="仿宋" w:hAnsi="仿宋" w:eastAsia="仿宋" w:cs="仿宋"/>
          <w:bCs/>
          <w:sz w:val="28"/>
          <w:szCs w:val="28"/>
        </w:rPr>
        <w:t>a.界桩</w:t>
      </w:r>
      <w:r>
        <w:rPr>
          <w:rFonts w:hint="eastAsia" w:ascii="仿宋" w:hAnsi="仿宋" w:eastAsia="仿宋" w:cs="仿宋"/>
          <w:sz w:val="28"/>
          <w:szCs w:val="28"/>
        </w:rPr>
        <w:t>布置</w:t>
      </w:r>
    </w:p>
    <w:p>
      <w:pPr>
        <w:pStyle w:val="22"/>
        <w:widowControl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1桩间距不大于400m，本次按照平均400m一处考虑。</w:t>
      </w:r>
    </w:p>
    <w:p>
      <w:pPr>
        <w:pStyle w:val="22"/>
        <w:widowControl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2在下列情况应增设桩：重要码头、桥梁、取水口、电站等涉河设施处；河道拐弯（角度小于120度）处；水事纠纷和水事案件易发地段或行政界。</w:t>
      </w:r>
    </w:p>
    <w:p>
      <w:pPr>
        <w:pStyle w:val="22"/>
        <w:widowControl w:val="0"/>
        <w:spacing w:line="560" w:lineRule="exact"/>
        <w:ind w:firstLine="560" w:firstLineChars="200"/>
        <w:rPr>
          <w:rFonts w:ascii="仿宋" w:hAnsi="仿宋" w:eastAsia="仿宋" w:cs="仿宋"/>
          <w:sz w:val="28"/>
          <w:szCs w:val="28"/>
        </w:rPr>
      </w:pPr>
      <w:r>
        <w:rPr>
          <w:rFonts w:hint="eastAsia" w:ascii="仿宋" w:hAnsi="仿宋" w:eastAsia="仿宋" w:cs="仿宋"/>
          <w:bCs/>
          <w:sz w:val="28"/>
          <w:szCs w:val="28"/>
        </w:rPr>
        <w:t>b.管理标识</w:t>
      </w:r>
      <w:r>
        <w:rPr>
          <w:rFonts w:hint="eastAsia" w:ascii="仿宋" w:hAnsi="仿宋" w:eastAsia="仿宋" w:cs="仿宋"/>
          <w:sz w:val="28"/>
          <w:szCs w:val="28"/>
        </w:rPr>
        <w:t>布置</w:t>
      </w:r>
    </w:p>
    <w:p>
      <w:pPr>
        <w:pStyle w:val="22"/>
        <w:widowControl w:val="0"/>
        <w:spacing w:line="560" w:lineRule="exact"/>
        <w:ind w:left="420" w:leftChars="200" w:firstLine="0" w:firstLineChars="0"/>
        <w:rPr>
          <w:rFonts w:ascii="仿宋" w:hAnsi="仿宋" w:eastAsia="仿宋" w:cs="仿宋"/>
          <w:sz w:val="28"/>
          <w:szCs w:val="28"/>
        </w:rPr>
      </w:pPr>
      <w:r>
        <w:rPr>
          <w:rFonts w:hint="eastAsia" w:ascii="仿宋" w:hAnsi="仿宋" w:eastAsia="仿宋" w:cs="仿宋"/>
          <w:sz w:val="28"/>
          <w:szCs w:val="28"/>
        </w:rPr>
        <w:t>在下列情况应设置：</w:t>
      </w:r>
    </w:p>
    <w:p>
      <w:pPr>
        <w:pStyle w:val="22"/>
        <w:widowControl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1穿越城镇规划区上、下游。</w:t>
      </w:r>
    </w:p>
    <w:p>
      <w:pPr>
        <w:pStyle w:val="22"/>
        <w:widowControl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2重要下河通道（车行通道）。</w:t>
      </w:r>
    </w:p>
    <w:p>
      <w:pPr>
        <w:pStyle w:val="22"/>
        <w:widowControl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3人口密集或人流聚集地点河岸。</w:t>
      </w:r>
    </w:p>
    <w:p>
      <w:pPr>
        <w:spacing w:line="560" w:lineRule="exact"/>
        <w:outlineLvl w:val="1"/>
        <w:rPr>
          <w:rFonts w:ascii="仿宋" w:hAnsi="仿宋" w:eastAsia="仿宋" w:cs="仿宋"/>
          <w:sz w:val="28"/>
          <w:szCs w:val="28"/>
        </w:rPr>
      </w:pPr>
      <w:bookmarkStart w:id="58" w:name="_Toc63201882"/>
      <w:bookmarkStart w:id="59" w:name="_Toc17488_WPSOffice_Level2"/>
      <w:r>
        <w:rPr>
          <w:rFonts w:hint="eastAsia" w:ascii="仿宋" w:hAnsi="仿宋" w:eastAsia="仿宋" w:cs="仿宋"/>
          <w:sz w:val="28"/>
          <w:szCs w:val="28"/>
        </w:rPr>
        <w:t>5.5 成果验收</w:t>
      </w:r>
      <w:bookmarkEnd w:id="58"/>
      <w:bookmarkEnd w:id="59"/>
    </w:p>
    <w:p>
      <w:pPr>
        <w:spacing w:line="560" w:lineRule="exact"/>
        <w:outlineLvl w:val="2"/>
        <w:rPr>
          <w:rFonts w:ascii="仿宋" w:hAnsi="仿宋" w:eastAsia="仿宋" w:cs="仿宋"/>
          <w:sz w:val="28"/>
          <w:szCs w:val="28"/>
        </w:rPr>
      </w:pPr>
      <w:bookmarkStart w:id="60" w:name="_Toc63201883"/>
      <w:r>
        <w:rPr>
          <w:rFonts w:hint="eastAsia" w:ascii="仿宋" w:hAnsi="仿宋" w:eastAsia="仿宋" w:cs="仿宋"/>
          <w:sz w:val="28"/>
          <w:szCs w:val="28"/>
        </w:rPr>
        <w:t>5.5.1 验收组织</w:t>
      </w:r>
      <w:bookmarkEnd w:id="60"/>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（1）提请组织抽检。工程实施完成后，可提请组织抽检，确定抽检单位，开展抽检工作。抽检合格后组织开展验收；如抽检不合格，进行整改；</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（2）明确验收部门。抽检合格后，由千山区人民政府组织，千山区河长制办公室、千山区水利局、千山区自然资源部门、财政局及河段所在地相关部门参与验收；</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（3）组织验收。验收工作组不少于5人，其中技术专家不少于3人，根据实际情况可增加。</w:t>
      </w:r>
    </w:p>
    <w:p>
      <w:pPr>
        <w:spacing w:line="560" w:lineRule="exact"/>
        <w:outlineLvl w:val="2"/>
        <w:rPr>
          <w:rFonts w:ascii="仿宋" w:hAnsi="仿宋" w:eastAsia="仿宋" w:cs="仿宋"/>
          <w:sz w:val="28"/>
          <w:szCs w:val="28"/>
        </w:rPr>
      </w:pPr>
      <w:bookmarkStart w:id="61" w:name="_Toc63201884"/>
      <w:r>
        <w:rPr>
          <w:rFonts w:hint="eastAsia" w:ascii="仿宋" w:hAnsi="仿宋" w:eastAsia="仿宋" w:cs="仿宋"/>
          <w:sz w:val="28"/>
          <w:szCs w:val="28"/>
        </w:rPr>
        <w:t>5.5.2 验收内容</w:t>
      </w:r>
      <w:bookmarkEnd w:id="61"/>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组织对划界工作进行验收，主要内容如下：</w:t>
      </w:r>
    </w:p>
    <w:p>
      <w:pPr>
        <w:numPr>
          <w:ilvl w:val="0"/>
          <w:numId w:val="5"/>
        </w:num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检查工作报告格式是否规范，内容是否全面详实，是否达到工作深度要求；附图、附表是否齐全，表达是否清晰；</w:t>
      </w:r>
    </w:p>
    <w:p>
      <w:pPr>
        <w:numPr>
          <w:ilvl w:val="0"/>
          <w:numId w:val="5"/>
        </w:num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检查桩（牌）现场设置是否合理，制作安装是否规范，是否达到设计合格要求；</w:t>
      </w:r>
    </w:p>
    <w:p>
      <w:pPr>
        <w:numPr>
          <w:ilvl w:val="0"/>
          <w:numId w:val="5"/>
        </w:num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听取实施单位的情况汇报和建议意见；</w:t>
      </w:r>
    </w:p>
    <w:p>
      <w:pPr>
        <w:numPr>
          <w:ilvl w:val="0"/>
          <w:numId w:val="5"/>
        </w:num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作出验收决定，签署验收鉴定书。</w:t>
      </w:r>
    </w:p>
    <w:p>
      <w:pPr>
        <w:spacing w:line="560" w:lineRule="exact"/>
        <w:outlineLvl w:val="2"/>
        <w:rPr>
          <w:rFonts w:ascii="仿宋" w:hAnsi="仿宋" w:eastAsia="仿宋" w:cs="仿宋"/>
          <w:sz w:val="28"/>
          <w:szCs w:val="28"/>
        </w:rPr>
      </w:pPr>
      <w:bookmarkStart w:id="62" w:name="_Toc63201885"/>
      <w:r>
        <w:rPr>
          <w:rFonts w:hint="eastAsia" w:ascii="仿宋" w:hAnsi="仿宋" w:eastAsia="仿宋" w:cs="仿宋"/>
          <w:sz w:val="28"/>
          <w:szCs w:val="28"/>
        </w:rPr>
        <w:t>5.5.3 验收程序</w:t>
      </w:r>
      <w:bookmarkEnd w:id="62"/>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（1）千山区河长制办公室对划界成果进行抽检，抽检合格方可进入验收程序；</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（2）实施单位提出验收申请，并提交划界工作报告；</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（3）验收部门组织验收，查勘现场，召开验收会。</w:t>
      </w:r>
    </w:p>
    <w:p>
      <w:pPr>
        <w:spacing w:line="560" w:lineRule="exact"/>
        <w:outlineLvl w:val="2"/>
        <w:rPr>
          <w:rFonts w:ascii="仿宋" w:hAnsi="仿宋" w:eastAsia="仿宋" w:cs="仿宋"/>
          <w:sz w:val="28"/>
          <w:szCs w:val="28"/>
        </w:rPr>
      </w:pPr>
      <w:bookmarkStart w:id="63" w:name="_Toc63201886"/>
      <w:r>
        <w:rPr>
          <w:rFonts w:hint="eastAsia" w:ascii="仿宋" w:hAnsi="仿宋" w:eastAsia="仿宋" w:cs="仿宋"/>
          <w:sz w:val="28"/>
          <w:szCs w:val="28"/>
        </w:rPr>
        <w:t>5.5.4 验收整改</w:t>
      </w:r>
      <w:bookmarkEnd w:id="63"/>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在验收会议召开后，根据验收工作组提出的意见，修改划界报告及整改现场设置的桩牌。</w:t>
      </w:r>
    </w:p>
    <w:p>
      <w:pPr>
        <w:spacing w:line="560" w:lineRule="exact"/>
        <w:outlineLvl w:val="2"/>
        <w:rPr>
          <w:rFonts w:ascii="仿宋" w:hAnsi="仿宋" w:eastAsia="仿宋" w:cs="仿宋"/>
          <w:sz w:val="28"/>
          <w:szCs w:val="28"/>
        </w:rPr>
      </w:pPr>
      <w:bookmarkStart w:id="64" w:name="_Toc63201887"/>
      <w:r>
        <w:rPr>
          <w:rFonts w:hint="eastAsia" w:ascii="仿宋" w:hAnsi="仿宋" w:eastAsia="仿宋" w:cs="仿宋"/>
          <w:sz w:val="28"/>
          <w:szCs w:val="28"/>
        </w:rPr>
        <w:t>5.5.5 公告</w:t>
      </w:r>
      <w:bookmarkEnd w:id="64"/>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验收整改完成后，由千山区人民政府批复并对划界成果进行社会公告。</w:t>
      </w:r>
    </w:p>
    <w:p>
      <w:pPr>
        <w:spacing w:line="560" w:lineRule="exact"/>
        <w:outlineLvl w:val="1"/>
        <w:rPr>
          <w:rFonts w:ascii="仿宋" w:hAnsi="仿宋" w:eastAsia="仿宋" w:cs="仿宋"/>
          <w:sz w:val="28"/>
          <w:szCs w:val="28"/>
        </w:rPr>
      </w:pPr>
      <w:bookmarkStart w:id="65" w:name="_Toc4747_WPSOffice_Level2"/>
      <w:bookmarkStart w:id="66" w:name="_Toc63201888"/>
      <w:r>
        <w:rPr>
          <w:rFonts w:hint="eastAsia" w:ascii="仿宋" w:hAnsi="仿宋" w:eastAsia="仿宋" w:cs="仿宋"/>
          <w:sz w:val="28"/>
          <w:szCs w:val="28"/>
        </w:rPr>
        <w:t>5.6 工程量</w:t>
      </w:r>
      <w:bookmarkEnd w:id="65"/>
      <w:bookmarkEnd w:id="66"/>
    </w:p>
    <w:p>
      <w:pPr>
        <w:spacing w:line="560" w:lineRule="exact"/>
        <w:outlineLvl w:val="2"/>
        <w:rPr>
          <w:rFonts w:ascii="仿宋" w:hAnsi="仿宋" w:eastAsia="仿宋" w:cs="仿宋"/>
          <w:sz w:val="28"/>
          <w:szCs w:val="28"/>
        </w:rPr>
      </w:pPr>
      <w:bookmarkStart w:id="67" w:name="_Toc63201889"/>
      <w:r>
        <w:rPr>
          <w:rFonts w:hint="eastAsia" w:ascii="仿宋" w:hAnsi="仿宋" w:eastAsia="仿宋" w:cs="仿宋"/>
          <w:sz w:val="28"/>
          <w:szCs w:val="28"/>
        </w:rPr>
        <w:t>5.6.1 工程量估算原则</w:t>
      </w:r>
      <w:bookmarkEnd w:id="67"/>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（1）有堤段管理范围线长度：实测堤防的长度（堤防背水侧管理边线）。</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（2）无堤段管理线长度：河流管理线总长度-实测堤防长度。</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（3）管理范围面积：无堤段管理范围面积与有堤段管理范围面积之和。</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（4）适宜埋桩长度：去除河道管理范围线中山丘区的长度。</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（5）界桩数量：按照400m间距设置。</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（6）告示牌数量按照河流流经行政村、道路桥梁跨越河流次数等综合确定。</w:t>
      </w:r>
    </w:p>
    <w:p>
      <w:pPr>
        <w:spacing w:line="560" w:lineRule="exact"/>
        <w:outlineLvl w:val="2"/>
        <w:rPr>
          <w:rFonts w:ascii="仿宋" w:hAnsi="仿宋" w:eastAsia="仿宋" w:cs="仿宋"/>
          <w:sz w:val="28"/>
          <w:szCs w:val="28"/>
        </w:rPr>
      </w:pPr>
      <w:bookmarkStart w:id="68" w:name="_Toc63201890"/>
      <w:r>
        <w:rPr>
          <w:rFonts w:hint="eastAsia" w:ascii="仿宋" w:hAnsi="仿宋" w:eastAsia="仿宋" w:cs="仿宋"/>
          <w:sz w:val="28"/>
          <w:szCs w:val="28"/>
        </w:rPr>
        <w:t>5.6.2 工程量估算</w:t>
      </w:r>
      <w:bookmarkEnd w:id="68"/>
    </w:p>
    <w:p>
      <w:pPr>
        <w:pStyle w:val="22"/>
        <w:widowControl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根据水库管理线的布置情况，沿线布置界桩；针对管理区域的建筑物情况，有选择的布置管理标识。本次共布置界桩9个，管理标识3处。</w:t>
      </w:r>
    </w:p>
    <w:p>
      <w:pPr>
        <w:pStyle w:val="22"/>
        <w:widowControl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具体工程量及布置见表5.4-1</w:t>
      </w:r>
      <w:r>
        <w:rPr>
          <w:rFonts w:ascii="Times New Roman" w:hAnsi="Times New Roman" w:eastAsia="仿宋"/>
          <w:sz w:val="28"/>
          <w:szCs w:val="28"/>
        </w:rPr>
        <w:t>~</w:t>
      </w:r>
      <w:r>
        <w:rPr>
          <w:rFonts w:hint="eastAsia" w:ascii="仿宋" w:hAnsi="仿宋" w:eastAsia="仿宋" w:cs="仿宋"/>
          <w:sz w:val="28"/>
          <w:szCs w:val="28"/>
        </w:rPr>
        <w:t>2及附图。</w:t>
      </w:r>
    </w:p>
    <w:p>
      <w:pPr>
        <w:pStyle w:val="22"/>
        <w:widowControl w:val="0"/>
        <w:ind w:firstLine="0" w:firstLineChars="0"/>
        <w:jc w:val="both"/>
        <w:rPr>
          <w:rFonts w:ascii="仿宋" w:hAnsi="仿宋" w:eastAsia="仿宋" w:cs="仿宋"/>
          <w:bCs/>
          <w:sz w:val="28"/>
          <w:szCs w:val="28"/>
        </w:rPr>
      </w:pPr>
      <w:r>
        <w:rPr>
          <w:rFonts w:hint="eastAsia" w:ascii="仿宋" w:hAnsi="仿宋" w:eastAsia="仿宋" w:cs="仿宋"/>
          <w:bCs/>
          <w:sz w:val="28"/>
          <w:szCs w:val="28"/>
        </w:rPr>
        <w:t>表5.4-1                 管理标识布置情况表</w:t>
      </w:r>
    </w:p>
    <w:tbl>
      <w:tblPr>
        <w:tblStyle w:val="15"/>
        <w:tblW w:w="10314" w:type="dxa"/>
        <w:tblInd w:w="0" w:type="dxa"/>
        <w:tblBorders>
          <w:top w:val="double" w:color="auto" w:sz="6" w:space="0"/>
          <w:left w:val="double" w:color="auto" w:sz="6" w:space="0"/>
          <w:bottom w:val="double" w:color="auto" w:sz="6" w:space="0"/>
          <w:right w:val="double" w:color="auto" w:sz="6" w:space="0"/>
          <w:insideH w:val="single" w:color="auto" w:sz="8" w:space="0"/>
          <w:insideV w:val="single" w:color="auto" w:sz="8" w:space="0"/>
        </w:tblBorders>
        <w:tblLayout w:type="fixed"/>
        <w:tblCellMar>
          <w:top w:w="0" w:type="dxa"/>
          <w:left w:w="108" w:type="dxa"/>
          <w:bottom w:w="0" w:type="dxa"/>
          <w:right w:w="108" w:type="dxa"/>
        </w:tblCellMar>
      </w:tblPr>
      <w:tblGrid>
        <w:gridCol w:w="1809"/>
        <w:gridCol w:w="2127"/>
        <w:gridCol w:w="2126"/>
        <w:gridCol w:w="2126"/>
        <w:gridCol w:w="2126"/>
      </w:tblGrid>
      <w:tr>
        <w:tblPrEx>
          <w:tblBorders>
            <w:top w:val="double" w:color="auto" w:sz="6" w:space="0"/>
            <w:left w:val="double" w:color="auto" w:sz="6" w:space="0"/>
            <w:bottom w:val="double" w:color="auto" w:sz="6" w:space="0"/>
            <w:right w:val="double" w:color="auto" w:sz="6"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809"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水库名称</w:t>
            </w:r>
          </w:p>
        </w:tc>
        <w:tc>
          <w:tcPr>
            <w:tcW w:w="2127"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管理边线长度（km）</w:t>
            </w:r>
          </w:p>
        </w:tc>
        <w:tc>
          <w:tcPr>
            <w:tcW w:w="2126" w:type="dxa"/>
            <w:vAlign w:val="center"/>
          </w:tcPr>
          <w:p>
            <w:pPr>
              <w:widowControl/>
              <w:jc w:val="center"/>
              <w:rPr>
                <w:rFonts w:ascii="仿宋" w:hAnsi="仿宋" w:eastAsia="仿宋" w:cs="仿宋"/>
                <w:kern w:val="0"/>
                <w:sz w:val="24"/>
              </w:rPr>
            </w:pPr>
            <w:r>
              <w:rPr>
                <w:rFonts w:ascii="仿宋" w:hAnsi="仿宋" w:eastAsia="仿宋" w:cs="仿宋"/>
                <w:kern w:val="0"/>
                <w:sz w:val="24"/>
              </w:rPr>
              <w:t>管理范围面积</w:t>
            </w:r>
            <w:r>
              <w:rPr>
                <w:rFonts w:hint="eastAsia" w:ascii="仿宋" w:hAnsi="仿宋" w:eastAsia="仿宋" w:cs="仿宋"/>
                <w:kern w:val="0"/>
                <w:sz w:val="24"/>
              </w:rPr>
              <w:t>（km</w:t>
            </w:r>
            <w:r>
              <w:rPr>
                <w:rFonts w:hint="eastAsia" w:ascii="仿宋" w:hAnsi="仿宋" w:eastAsia="仿宋" w:cs="仿宋"/>
                <w:kern w:val="0"/>
                <w:sz w:val="24"/>
                <w:vertAlign w:val="superscript"/>
              </w:rPr>
              <w:t>2</w:t>
            </w:r>
            <w:r>
              <w:rPr>
                <w:rFonts w:hint="eastAsia" w:ascii="仿宋" w:hAnsi="仿宋" w:eastAsia="仿宋" w:cs="仿宋"/>
                <w:kern w:val="0"/>
                <w:sz w:val="24"/>
              </w:rPr>
              <w:t>）</w:t>
            </w:r>
          </w:p>
        </w:tc>
        <w:tc>
          <w:tcPr>
            <w:tcW w:w="212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标识牌（个）</w:t>
            </w:r>
          </w:p>
        </w:tc>
        <w:tc>
          <w:tcPr>
            <w:tcW w:w="2126" w:type="dxa"/>
            <w:vAlign w:val="center"/>
          </w:tcPr>
          <w:p>
            <w:pPr>
              <w:widowControl/>
              <w:jc w:val="center"/>
              <w:rPr>
                <w:rFonts w:ascii="仿宋" w:hAnsi="仿宋" w:eastAsia="仿宋" w:cs="仿宋"/>
                <w:kern w:val="0"/>
                <w:sz w:val="24"/>
              </w:rPr>
            </w:pPr>
            <w:r>
              <w:rPr>
                <w:rFonts w:ascii="仿宋" w:hAnsi="仿宋" w:eastAsia="仿宋" w:cs="仿宋"/>
                <w:kern w:val="0"/>
                <w:sz w:val="24"/>
              </w:rPr>
              <w:t>界桩</w:t>
            </w:r>
            <w:r>
              <w:rPr>
                <w:rFonts w:hint="eastAsia" w:ascii="仿宋" w:hAnsi="仿宋" w:eastAsia="仿宋" w:cs="仿宋"/>
                <w:kern w:val="0"/>
                <w:sz w:val="24"/>
              </w:rPr>
              <w:t>（个）</w:t>
            </w:r>
          </w:p>
        </w:tc>
      </w:tr>
      <w:tr>
        <w:tblPrEx>
          <w:tblBorders>
            <w:top w:val="double" w:color="auto" w:sz="6" w:space="0"/>
            <w:left w:val="double" w:color="auto" w:sz="6" w:space="0"/>
            <w:bottom w:val="double" w:color="auto" w:sz="6" w:space="0"/>
            <w:right w:val="double" w:color="auto" w:sz="6" w:space="0"/>
            <w:insideH w:val="single" w:color="auto" w:sz="8" w:space="0"/>
            <w:insideV w:val="single" w:color="auto" w:sz="8" w:space="0"/>
          </w:tblBorders>
          <w:tblCellMar>
            <w:top w:w="0" w:type="dxa"/>
            <w:left w:w="108" w:type="dxa"/>
            <w:bottom w:w="0" w:type="dxa"/>
            <w:right w:w="108" w:type="dxa"/>
          </w:tblCellMar>
        </w:tblPrEx>
        <w:trPr>
          <w:trHeight w:val="315" w:hRule="atLeast"/>
        </w:trPr>
        <w:tc>
          <w:tcPr>
            <w:tcW w:w="1809"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太平沟</w:t>
            </w:r>
          </w:p>
        </w:tc>
        <w:tc>
          <w:tcPr>
            <w:tcW w:w="2127"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2.004</w:t>
            </w:r>
          </w:p>
        </w:tc>
        <w:tc>
          <w:tcPr>
            <w:tcW w:w="212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0.184</w:t>
            </w:r>
          </w:p>
        </w:tc>
        <w:tc>
          <w:tcPr>
            <w:tcW w:w="212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3</w:t>
            </w:r>
          </w:p>
        </w:tc>
        <w:tc>
          <w:tcPr>
            <w:tcW w:w="212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9</w:t>
            </w:r>
          </w:p>
        </w:tc>
      </w:tr>
    </w:tbl>
    <w:p>
      <w:pPr>
        <w:spacing w:line="560" w:lineRule="exact"/>
        <w:ind w:firstLine="560" w:firstLineChars="200"/>
        <w:rPr>
          <w:rFonts w:ascii="仿宋" w:hAnsi="仿宋" w:eastAsia="仿宋" w:cs="仿宋"/>
          <w:sz w:val="28"/>
          <w:szCs w:val="28"/>
        </w:rPr>
      </w:pPr>
    </w:p>
    <w:p>
      <w:pPr>
        <w:pageBreakBefore/>
        <w:numPr>
          <w:ilvl w:val="0"/>
          <w:numId w:val="1"/>
        </w:numPr>
        <w:spacing w:beforeLines="50" w:afterLines="50"/>
        <w:jc w:val="center"/>
        <w:outlineLvl w:val="0"/>
        <w:rPr>
          <w:rFonts w:ascii="仿宋" w:hAnsi="仿宋" w:eastAsia="仿宋" w:cs="仿宋"/>
          <w:sz w:val="28"/>
          <w:szCs w:val="28"/>
        </w:rPr>
      </w:pPr>
      <w:bookmarkStart w:id="69" w:name="_Toc32191"/>
      <w:bookmarkStart w:id="70" w:name="_Toc19141_WPSOffice_Level1"/>
      <w:bookmarkStart w:id="71" w:name="_Toc63201891"/>
      <w:r>
        <w:rPr>
          <w:rFonts w:hint="eastAsia" w:ascii="仿宋" w:hAnsi="仿宋" w:eastAsia="仿宋" w:cs="仿宋"/>
          <w:sz w:val="28"/>
          <w:szCs w:val="28"/>
        </w:rPr>
        <w:t>经费测算</w:t>
      </w:r>
      <w:bookmarkEnd w:id="69"/>
      <w:bookmarkEnd w:id="70"/>
      <w:bookmarkEnd w:id="71"/>
    </w:p>
    <w:p>
      <w:pPr>
        <w:spacing w:line="560" w:lineRule="exact"/>
        <w:outlineLvl w:val="1"/>
        <w:rPr>
          <w:rFonts w:ascii="仿宋" w:hAnsi="仿宋" w:eastAsia="仿宋" w:cs="仿宋"/>
          <w:sz w:val="28"/>
          <w:szCs w:val="28"/>
        </w:rPr>
      </w:pPr>
      <w:bookmarkStart w:id="72" w:name="_Toc23620_WPSOffice_Level2"/>
      <w:bookmarkStart w:id="73" w:name="_Toc63201892"/>
      <w:r>
        <w:rPr>
          <w:rFonts w:hint="eastAsia" w:ascii="仿宋" w:hAnsi="仿宋" w:eastAsia="仿宋" w:cs="仿宋"/>
          <w:sz w:val="28"/>
          <w:szCs w:val="28"/>
        </w:rPr>
        <w:t>6.1经费测算编制依据</w:t>
      </w:r>
      <w:bookmarkEnd w:id="72"/>
      <w:bookmarkEnd w:id="73"/>
    </w:p>
    <w:p>
      <w:pPr>
        <w:spacing w:line="560" w:lineRule="exact"/>
        <w:ind w:firstLine="560" w:firstLineChars="200"/>
        <w:rPr>
          <w:rFonts w:ascii="仿宋" w:hAnsi="仿宋" w:eastAsia="仿宋" w:cs="仿宋"/>
          <w:sz w:val="28"/>
          <w:szCs w:val="28"/>
        </w:rPr>
      </w:pPr>
      <w:r>
        <w:rPr>
          <w:rFonts w:ascii="仿宋" w:hAnsi="仿宋" w:eastAsia="仿宋" w:cs="仿宋"/>
          <w:sz w:val="28"/>
          <w:szCs w:val="28"/>
        </w:rPr>
        <w:t>（1）《工程勘察设计管理规定》（计价格[2002]10号）；</w:t>
      </w:r>
    </w:p>
    <w:p>
      <w:pPr>
        <w:spacing w:line="560" w:lineRule="exact"/>
        <w:ind w:firstLine="560" w:firstLineChars="200"/>
        <w:rPr>
          <w:rFonts w:ascii="仿宋" w:hAnsi="仿宋" w:eastAsia="仿宋" w:cs="仿宋"/>
          <w:sz w:val="28"/>
          <w:szCs w:val="28"/>
        </w:rPr>
      </w:pPr>
      <w:r>
        <w:rPr>
          <w:rFonts w:ascii="仿宋" w:hAnsi="仿宋" w:eastAsia="仿宋" w:cs="仿宋"/>
          <w:sz w:val="28"/>
          <w:szCs w:val="28"/>
        </w:rPr>
        <w:t>（2）</w:t>
      </w:r>
      <w:r>
        <w:rPr>
          <w:rFonts w:hint="eastAsia" w:ascii="仿宋" w:hAnsi="仿宋" w:eastAsia="仿宋" w:cs="仿宋"/>
          <w:sz w:val="28"/>
          <w:szCs w:val="28"/>
        </w:rPr>
        <w:t>《辽宁省水利水电建筑工程概算定额》（辽发改农经〔2007〕71号）</w:t>
      </w:r>
      <w:r>
        <w:rPr>
          <w:rFonts w:ascii="仿宋" w:hAnsi="仿宋" w:eastAsia="仿宋" w:cs="仿宋"/>
          <w:sz w:val="28"/>
          <w:szCs w:val="28"/>
        </w:rPr>
        <w:t>；</w:t>
      </w:r>
    </w:p>
    <w:p>
      <w:pPr>
        <w:spacing w:line="560" w:lineRule="exact"/>
        <w:ind w:firstLine="560" w:firstLineChars="200"/>
        <w:rPr>
          <w:rFonts w:ascii="仿宋" w:hAnsi="仿宋" w:eastAsia="仿宋" w:cs="仿宋"/>
          <w:sz w:val="28"/>
          <w:szCs w:val="28"/>
        </w:rPr>
      </w:pPr>
      <w:r>
        <w:rPr>
          <w:rFonts w:ascii="仿宋" w:hAnsi="仿宋" w:eastAsia="仿宋" w:cs="仿宋"/>
          <w:sz w:val="28"/>
          <w:szCs w:val="28"/>
        </w:rPr>
        <w:t>（3）划界工作相关行业及地方现行收费标准。</w:t>
      </w:r>
    </w:p>
    <w:p>
      <w:pPr>
        <w:spacing w:line="560" w:lineRule="exact"/>
        <w:outlineLvl w:val="1"/>
        <w:rPr>
          <w:rFonts w:ascii="仿宋" w:hAnsi="仿宋" w:eastAsia="仿宋" w:cs="仿宋"/>
          <w:sz w:val="28"/>
          <w:szCs w:val="28"/>
        </w:rPr>
      </w:pPr>
      <w:bookmarkStart w:id="74" w:name="_Toc63201893"/>
      <w:bookmarkStart w:id="75" w:name="_Toc20595_WPSOffice_Level2"/>
      <w:r>
        <w:rPr>
          <w:rFonts w:hint="eastAsia" w:ascii="仿宋" w:hAnsi="仿宋" w:eastAsia="仿宋" w:cs="仿宋"/>
          <w:sz w:val="28"/>
          <w:szCs w:val="28"/>
        </w:rPr>
        <w:t>6.2经费测算构成及单价</w:t>
      </w:r>
      <w:bookmarkEnd w:id="74"/>
      <w:bookmarkEnd w:id="75"/>
    </w:p>
    <w:p>
      <w:pPr>
        <w:pStyle w:val="22"/>
        <w:spacing w:line="560" w:lineRule="exact"/>
        <w:ind w:firstLine="630"/>
        <w:rPr>
          <w:rFonts w:ascii="仿宋" w:hAnsi="仿宋" w:eastAsia="仿宋" w:cs="仿宋"/>
          <w:sz w:val="28"/>
          <w:szCs w:val="28"/>
        </w:rPr>
      </w:pPr>
      <w:r>
        <w:rPr>
          <w:rFonts w:ascii="仿宋" w:hAnsi="仿宋" w:eastAsia="仿宋" w:cs="仿宋"/>
          <w:sz w:val="28"/>
          <w:szCs w:val="28"/>
        </w:rPr>
        <w:t>河道划界工作经费主要用于实施方案编制、测绘、界桩和标志牌制作安装、划界成果公告费用及进行必要的技术保障等。具体包括实施方案编制费、测绘费、界桩制作安装费、标示牌制作安装费、公告费、实施管理费等。费用单价可参照以下标准计算：</w:t>
      </w:r>
    </w:p>
    <w:p>
      <w:pPr>
        <w:pStyle w:val="22"/>
        <w:spacing w:line="560" w:lineRule="exact"/>
        <w:ind w:firstLine="630"/>
        <w:rPr>
          <w:rFonts w:ascii="仿宋" w:hAnsi="仿宋" w:eastAsia="仿宋" w:cs="仿宋"/>
          <w:sz w:val="28"/>
          <w:szCs w:val="28"/>
        </w:rPr>
      </w:pPr>
      <w:r>
        <w:rPr>
          <w:rFonts w:ascii="仿宋" w:hAnsi="仿宋" w:eastAsia="仿宋" w:cs="仿宋"/>
          <w:sz w:val="28"/>
          <w:szCs w:val="28"/>
        </w:rPr>
        <w:t>（1）实施方案编制费：包括资料收集、划界依据、划界标准、洪水分析计算等，按实际测算计列。</w:t>
      </w:r>
    </w:p>
    <w:p>
      <w:pPr>
        <w:pStyle w:val="22"/>
        <w:spacing w:line="560" w:lineRule="exact"/>
        <w:ind w:firstLine="630"/>
        <w:rPr>
          <w:rFonts w:ascii="仿宋" w:hAnsi="仿宋" w:eastAsia="仿宋" w:cs="仿宋"/>
          <w:sz w:val="28"/>
          <w:szCs w:val="28"/>
        </w:rPr>
      </w:pPr>
      <w:r>
        <w:rPr>
          <w:rFonts w:ascii="仿宋" w:hAnsi="仿宋" w:eastAsia="仿宋" w:cs="仿宋"/>
          <w:sz w:val="28"/>
          <w:szCs w:val="28"/>
        </w:rPr>
        <w:t>（2）测绘费：《工程勘察设计管理规定》（计价格[2002]10号）计算。</w:t>
      </w:r>
    </w:p>
    <w:p>
      <w:pPr>
        <w:pStyle w:val="22"/>
        <w:spacing w:line="560" w:lineRule="exact"/>
        <w:ind w:firstLine="630"/>
        <w:rPr>
          <w:rFonts w:ascii="仿宋" w:hAnsi="仿宋" w:eastAsia="仿宋" w:cs="仿宋"/>
          <w:sz w:val="28"/>
          <w:szCs w:val="28"/>
        </w:rPr>
      </w:pPr>
      <w:r>
        <w:rPr>
          <w:rFonts w:ascii="仿宋" w:hAnsi="仿宋" w:eastAsia="仿宋" w:cs="仿宋"/>
          <w:sz w:val="28"/>
          <w:szCs w:val="28"/>
        </w:rPr>
        <w:t>（a）控制点</w:t>
      </w:r>
    </w:p>
    <w:p>
      <w:pPr>
        <w:pStyle w:val="22"/>
        <w:spacing w:line="560" w:lineRule="exact"/>
        <w:ind w:firstLine="630"/>
        <w:rPr>
          <w:rFonts w:ascii="仿宋" w:hAnsi="仿宋" w:eastAsia="仿宋" w:cs="仿宋"/>
          <w:sz w:val="28"/>
          <w:szCs w:val="28"/>
        </w:rPr>
      </w:pPr>
      <w:r>
        <w:rPr>
          <w:rFonts w:ascii="仿宋" w:hAnsi="仿宋" w:eastAsia="仿宋" w:cs="仿宋"/>
          <w:sz w:val="28"/>
          <w:szCs w:val="28"/>
        </w:rPr>
        <w:t>根据工程需要每10km布设一个控制点，困难类别取中等。</w:t>
      </w:r>
    </w:p>
    <w:p>
      <w:pPr>
        <w:pStyle w:val="22"/>
        <w:spacing w:line="560" w:lineRule="exact"/>
        <w:ind w:firstLine="630"/>
        <w:rPr>
          <w:rFonts w:ascii="仿宋" w:hAnsi="仿宋" w:eastAsia="仿宋" w:cs="仿宋"/>
          <w:sz w:val="28"/>
          <w:szCs w:val="28"/>
        </w:rPr>
      </w:pPr>
      <w:r>
        <w:rPr>
          <w:rFonts w:ascii="仿宋" w:hAnsi="仿宋" w:eastAsia="仿宋" w:cs="仿宋"/>
          <w:sz w:val="28"/>
          <w:szCs w:val="28"/>
        </w:rPr>
        <w:t>（b）横纵断面测量</w:t>
      </w:r>
    </w:p>
    <w:p>
      <w:pPr>
        <w:pStyle w:val="22"/>
        <w:spacing w:line="560" w:lineRule="exact"/>
        <w:ind w:firstLine="630"/>
        <w:rPr>
          <w:rFonts w:ascii="仿宋" w:hAnsi="仿宋" w:eastAsia="仿宋" w:cs="仿宋"/>
          <w:sz w:val="28"/>
          <w:szCs w:val="28"/>
        </w:rPr>
      </w:pPr>
      <w:r>
        <w:rPr>
          <w:rFonts w:ascii="仿宋" w:hAnsi="仿宋" w:eastAsia="仿宋" w:cs="仿宋"/>
          <w:sz w:val="28"/>
          <w:szCs w:val="28"/>
        </w:rPr>
        <w:t>根据需要进行河道横断面测量，用于水文计算。纵断可根据横断面数据生成，复杂程度取中等。</w:t>
      </w:r>
    </w:p>
    <w:p>
      <w:pPr>
        <w:pStyle w:val="22"/>
        <w:spacing w:line="560" w:lineRule="exact"/>
        <w:ind w:firstLine="630"/>
        <w:rPr>
          <w:rFonts w:ascii="仿宋" w:hAnsi="仿宋" w:eastAsia="仿宋" w:cs="仿宋"/>
          <w:sz w:val="28"/>
          <w:szCs w:val="28"/>
        </w:rPr>
      </w:pPr>
      <w:r>
        <w:rPr>
          <w:rFonts w:ascii="仿宋" w:hAnsi="仿宋" w:eastAsia="仿宋" w:cs="仿宋"/>
          <w:sz w:val="28"/>
          <w:szCs w:val="28"/>
        </w:rPr>
        <w:t>（c）河道地形图测量</w:t>
      </w:r>
    </w:p>
    <w:p>
      <w:pPr>
        <w:pStyle w:val="22"/>
        <w:spacing w:line="560" w:lineRule="exact"/>
        <w:ind w:firstLine="630"/>
        <w:rPr>
          <w:rFonts w:ascii="仿宋" w:hAnsi="仿宋" w:eastAsia="仿宋" w:cs="仿宋"/>
          <w:sz w:val="28"/>
          <w:szCs w:val="28"/>
        </w:rPr>
      </w:pPr>
      <w:r>
        <w:rPr>
          <w:rFonts w:ascii="仿宋" w:hAnsi="仿宋" w:eastAsia="仿宋" w:cs="仿宋"/>
          <w:sz w:val="28"/>
          <w:szCs w:val="28"/>
        </w:rPr>
        <w:t>带状图比例尺为1:2000，左右岸带状图宽度取100m，复杂程度取中等。</w:t>
      </w:r>
    </w:p>
    <w:p>
      <w:pPr>
        <w:pStyle w:val="22"/>
        <w:spacing w:line="560" w:lineRule="exact"/>
        <w:ind w:firstLine="630"/>
        <w:rPr>
          <w:rFonts w:ascii="仿宋" w:hAnsi="仿宋" w:eastAsia="仿宋" w:cs="仿宋"/>
          <w:sz w:val="28"/>
          <w:szCs w:val="28"/>
        </w:rPr>
      </w:pPr>
      <w:r>
        <w:rPr>
          <w:rFonts w:ascii="仿宋" w:hAnsi="仿宋" w:eastAsia="仿宋" w:cs="仿宋"/>
          <w:sz w:val="28"/>
          <w:szCs w:val="28"/>
        </w:rPr>
        <w:t>（d）定桩测量</w:t>
      </w:r>
    </w:p>
    <w:p>
      <w:pPr>
        <w:pStyle w:val="22"/>
        <w:spacing w:line="560" w:lineRule="exact"/>
        <w:ind w:firstLine="630"/>
        <w:rPr>
          <w:rFonts w:ascii="仿宋" w:hAnsi="仿宋" w:eastAsia="仿宋" w:cs="仿宋"/>
          <w:sz w:val="28"/>
          <w:szCs w:val="28"/>
        </w:rPr>
      </w:pPr>
      <w:r>
        <w:rPr>
          <w:rFonts w:ascii="仿宋" w:hAnsi="仿宋" w:eastAsia="仿宋" w:cs="仿宋"/>
          <w:sz w:val="28"/>
          <w:szCs w:val="28"/>
        </w:rPr>
        <w:t>埋桩施工复测，调整桩位，单价采用图根点单价。</w:t>
      </w:r>
    </w:p>
    <w:p>
      <w:pPr>
        <w:pStyle w:val="22"/>
        <w:spacing w:line="560" w:lineRule="exact"/>
        <w:ind w:firstLine="630"/>
        <w:rPr>
          <w:rFonts w:ascii="仿宋" w:hAnsi="仿宋" w:eastAsia="仿宋" w:cs="仿宋"/>
          <w:sz w:val="28"/>
          <w:szCs w:val="28"/>
        </w:rPr>
      </w:pPr>
      <w:r>
        <w:rPr>
          <w:rFonts w:ascii="仿宋" w:hAnsi="仿宋" w:eastAsia="仿宋" w:cs="仿宋"/>
          <w:sz w:val="28"/>
          <w:szCs w:val="28"/>
        </w:rPr>
        <w:t>（3）界桩制作安装费：依据</w:t>
      </w:r>
      <w:r>
        <w:rPr>
          <w:rFonts w:hint="eastAsia" w:ascii="仿宋" w:hAnsi="仿宋" w:eastAsia="仿宋" w:cs="仿宋"/>
          <w:sz w:val="28"/>
          <w:szCs w:val="28"/>
        </w:rPr>
        <w:t>《辽宁省水利水电建筑工程概算定额》（辽发改农经〔2007〕71号）</w:t>
      </w:r>
      <w:r>
        <w:rPr>
          <w:rFonts w:ascii="仿宋" w:hAnsi="仿宋" w:eastAsia="仿宋" w:cs="仿宋"/>
          <w:sz w:val="28"/>
          <w:szCs w:val="28"/>
        </w:rPr>
        <w:t>等相关标准测算界桩单价（含制作、安装、运输）。</w:t>
      </w:r>
    </w:p>
    <w:p>
      <w:pPr>
        <w:overflowPunct w:val="0"/>
        <w:spacing w:line="440" w:lineRule="exact"/>
        <w:rPr>
          <w:rFonts w:ascii="Times New Roman" w:hAnsi="Times New Roman" w:eastAsia="仿宋"/>
          <w:bCs/>
          <w:kern w:val="0"/>
          <w:sz w:val="28"/>
          <w:szCs w:val="28"/>
        </w:rPr>
      </w:pPr>
      <w:r>
        <w:rPr>
          <w:rFonts w:ascii="Times New Roman" w:hAnsi="仿宋" w:eastAsia="仿宋"/>
          <w:kern w:val="0"/>
          <w:sz w:val="28"/>
          <w:szCs w:val="28"/>
        </w:rPr>
        <w:t>表</w:t>
      </w:r>
      <w:r>
        <w:rPr>
          <w:rFonts w:ascii="Times New Roman" w:hAnsi="Times New Roman" w:eastAsia="仿宋"/>
          <w:kern w:val="0"/>
          <w:sz w:val="28"/>
          <w:szCs w:val="28"/>
        </w:rPr>
        <w:t xml:space="preserve">6-1               </w:t>
      </w:r>
      <w:r>
        <w:rPr>
          <w:rFonts w:ascii="Times New Roman" w:hAnsi="仿宋" w:eastAsia="仿宋"/>
          <w:bCs/>
          <w:kern w:val="0"/>
          <w:sz w:val="28"/>
          <w:szCs w:val="28"/>
        </w:rPr>
        <w:t>大理石材质界桩综合单价测算表</w:t>
      </w:r>
    </w:p>
    <w:tbl>
      <w:tblPr>
        <w:tblStyle w:val="15"/>
        <w:tblW w:w="5000"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36"/>
        <w:gridCol w:w="2636"/>
        <w:gridCol w:w="1037"/>
        <w:gridCol w:w="1037"/>
        <w:gridCol w:w="1447"/>
        <w:gridCol w:w="209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序号</w:t>
            </w:r>
          </w:p>
        </w:tc>
        <w:tc>
          <w:tcPr>
            <w:tcW w:w="1419"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项目</w:t>
            </w:r>
          </w:p>
        </w:tc>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单位</w:t>
            </w:r>
          </w:p>
        </w:tc>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数量</w:t>
            </w:r>
          </w:p>
        </w:tc>
        <w:tc>
          <w:tcPr>
            <w:tcW w:w="779"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单价（元）</w:t>
            </w:r>
          </w:p>
        </w:tc>
        <w:tc>
          <w:tcPr>
            <w:tcW w:w="112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合价（元）</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8" w:type="pct"/>
            <w:shd w:val="clear" w:color="auto" w:fill="auto"/>
            <w:noWrap/>
            <w:vAlign w:val="center"/>
          </w:tcPr>
          <w:p>
            <w:pPr>
              <w:widowControl/>
              <w:jc w:val="center"/>
              <w:textAlignment w:val="center"/>
              <w:rPr>
                <w:rFonts w:ascii="仿宋" w:hAnsi="仿宋" w:eastAsia="仿宋" w:cs="仿宋"/>
                <w:kern w:val="0"/>
                <w:sz w:val="24"/>
              </w:rPr>
            </w:pPr>
          </w:p>
        </w:tc>
        <w:tc>
          <w:tcPr>
            <w:tcW w:w="1419"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界桩制作与安装</w:t>
            </w:r>
          </w:p>
        </w:tc>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个</w:t>
            </w:r>
          </w:p>
        </w:tc>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1</w:t>
            </w:r>
          </w:p>
        </w:tc>
        <w:tc>
          <w:tcPr>
            <w:tcW w:w="779"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32</w:t>
            </w:r>
            <w:r>
              <w:rPr>
                <w:rFonts w:hint="eastAsia" w:ascii="仿宋" w:hAnsi="仿宋" w:eastAsia="仿宋" w:cs="仿宋"/>
                <w:kern w:val="0"/>
                <w:sz w:val="24"/>
              </w:rPr>
              <w:t>4.90</w:t>
            </w:r>
          </w:p>
        </w:tc>
        <w:tc>
          <w:tcPr>
            <w:tcW w:w="112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32</w:t>
            </w:r>
            <w:r>
              <w:rPr>
                <w:rFonts w:hint="eastAsia" w:ascii="仿宋" w:hAnsi="仿宋" w:eastAsia="仿宋" w:cs="仿宋"/>
                <w:kern w:val="0"/>
                <w:sz w:val="24"/>
              </w:rPr>
              <w:t>4.90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(1)</w:t>
            </w:r>
          </w:p>
        </w:tc>
        <w:tc>
          <w:tcPr>
            <w:tcW w:w="1419"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界桩安装费</w:t>
            </w:r>
          </w:p>
        </w:tc>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个</w:t>
            </w:r>
          </w:p>
        </w:tc>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1.00</w:t>
            </w:r>
          </w:p>
        </w:tc>
        <w:tc>
          <w:tcPr>
            <w:tcW w:w="779"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44.90</w:t>
            </w:r>
          </w:p>
        </w:tc>
        <w:tc>
          <w:tcPr>
            <w:tcW w:w="1128"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44.90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8" w:type="pct"/>
            <w:shd w:val="clear" w:color="auto" w:fill="auto"/>
            <w:noWrap/>
            <w:vAlign w:val="center"/>
          </w:tcPr>
          <w:p>
            <w:pPr>
              <w:widowControl/>
              <w:jc w:val="center"/>
              <w:textAlignment w:val="center"/>
              <w:rPr>
                <w:rFonts w:ascii="仿宋" w:hAnsi="仿宋" w:eastAsia="仿宋" w:cs="仿宋"/>
                <w:kern w:val="0"/>
                <w:sz w:val="24"/>
              </w:rPr>
            </w:pPr>
          </w:p>
        </w:tc>
        <w:tc>
          <w:tcPr>
            <w:tcW w:w="1419"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土方开挖</w:t>
            </w:r>
          </w:p>
        </w:tc>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m3</w:t>
            </w:r>
          </w:p>
        </w:tc>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0.</w:t>
            </w:r>
            <w:r>
              <w:rPr>
                <w:rFonts w:hint="eastAsia" w:ascii="仿宋" w:hAnsi="仿宋" w:eastAsia="仿宋" w:cs="仿宋"/>
                <w:kern w:val="0"/>
                <w:sz w:val="24"/>
              </w:rPr>
              <w:t>113</w:t>
            </w:r>
          </w:p>
        </w:tc>
        <w:tc>
          <w:tcPr>
            <w:tcW w:w="779"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8.06</w:t>
            </w:r>
          </w:p>
        </w:tc>
        <w:tc>
          <w:tcPr>
            <w:tcW w:w="1128"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0.91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8" w:type="pct"/>
            <w:shd w:val="clear" w:color="auto" w:fill="auto"/>
            <w:noWrap/>
            <w:vAlign w:val="center"/>
          </w:tcPr>
          <w:p>
            <w:pPr>
              <w:widowControl/>
              <w:jc w:val="center"/>
              <w:textAlignment w:val="center"/>
              <w:rPr>
                <w:rFonts w:ascii="仿宋" w:hAnsi="仿宋" w:eastAsia="仿宋" w:cs="仿宋"/>
                <w:kern w:val="0"/>
                <w:sz w:val="24"/>
              </w:rPr>
            </w:pPr>
          </w:p>
        </w:tc>
        <w:tc>
          <w:tcPr>
            <w:tcW w:w="1419"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土方回填</w:t>
            </w:r>
          </w:p>
        </w:tc>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m3</w:t>
            </w:r>
          </w:p>
        </w:tc>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0.</w:t>
            </w:r>
            <w:r>
              <w:rPr>
                <w:rFonts w:hint="eastAsia" w:ascii="仿宋" w:hAnsi="仿宋" w:eastAsia="仿宋" w:cs="仿宋"/>
                <w:kern w:val="0"/>
                <w:sz w:val="24"/>
              </w:rPr>
              <w:t>113</w:t>
            </w:r>
          </w:p>
        </w:tc>
        <w:tc>
          <w:tcPr>
            <w:tcW w:w="779"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7.73</w:t>
            </w:r>
          </w:p>
        </w:tc>
        <w:tc>
          <w:tcPr>
            <w:tcW w:w="1128"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0.87</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8" w:type="pct"/>
            <w:shd w:val="clear" w:color="auto" w:fill="auto"/>
            <w:noWrap/>
            <w:vAlign w:val="center"/>
          </w:tcPr>
          <w:p>
            <w:pPr>
              <w:widowControl/>
              <w:jc w:val="center"/>
              <w:textAlignment w:val="center"/>
              <w:rPr>
                <w:rFonts w:ascii="仿宋" w:hAnsi="仿宋" w:eastAsia="仿宋" w:cs="仿宋"/>
                <w:kern w:val="0"/>
                <w:sz w:val="24"/>
              </w:rPr>
            </w:pPr>
          </w:p>
        </w:tc>
        <w:tc>
          <w:tcPr>
            <w:tcW w:w="1419"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混凝土C20</w:t>
            </w:r>
          </w:p>
        </w:tc>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m3</w:t>
            </w:r>
          </w:p>
        </w:tc>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0.</w:t>
            </w:r>
            <w:r>
              <w:rPr>
                <w:rFonts w:hint="eastAsia" w:ascii="仿宋" w:hAnsi="仿宋" w:eastAsia="仿宋" w:cs="仿宋"/>
                <w:kern w:val="0"/>
                <w:sz w:val="24"/>
              </w:rPr>
              <w:t>095</w:t>
            </w:r>
          </w:p>
        </w:tc>
        <w:tc>
          <w:tcPr>
            <w:tcW w:w="779"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453.81</w:t>
            </w:r>
          </w:p>
        </w:tc>
        <w:tc>
          <w:tcPr>
            <w:tcW w:w="1128"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43.11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(2)</w:t>
            </w:r>
          </w:p>
        </w:tc>
        <w:tc>
          <w:tcPr>
            <w:tcW w:w="1419"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大理石桩制作及运输</w:t>
            </w:r>
          </w:p>
        </w:tc>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项</w:t>
            </w:r>
          </w:p>
        </w:tc>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1.00</w:t>
            </w:r>
          </w:p>
        </w:tc>
        <w:tc>
          <w:tcPr>
            <w:tcW w:w="779"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280.00</w:t>
            </w:r>
          </w:p>
        </w:tc>
        <w:tc>
          <w:tcPr>
            <w:tcW w:w="112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280.00</w:t>
            </w:r>
          </w:p>
        </w:tc>
      </w:tr>
    </w:tbl>
    <w:p>
      <w:pPr>
        <w:overflowPunct w:val="0"/>
        <w:spacing w:line="440" w:lineRule="exact"/>
        <w:ind w:firstLine="560" w:firstLineChars="200"/>
        <w:rPr>
          <w:rFonts w:ascii="仿宋" w:hAnsi="仿宋" w:eastAsia="仿宋" w:cs="仿宋"/>
          <w:bCs/>
          <w:kern w:val="0"/>
          <w:sz w:val="28"/>
          <w:szCs w:val="28"/>
        </w:rPr>
      </w:pPr>
      <w:r>
        <w:rPr>
          <w:rFonts w:ascii="仿宋" w:hAnsi="仿宋" w:eastAsia="仿宋" w:cs="仿宋"/>
          <w:bCs/>
          <w:kern w:val="0"/>
          <w:sz w:val="28"/>
          <w:szCs w:val="28"/>
        </w:rPr>
        <w:t>（4）标示牌制作安装费：依据</w:t>
      </w:r>
      <w:r>
        <w:rPr>
          <w:rFonts w:hint="eastAsia" w:ascii="仿宋" w:hAnsi="仿宋" w:eastAsia="仿宋" w:cs="仿宋"/>
          <w:bCs/>
          <w:kern w:val="0"/>
          <w:sz w:val="28"/>
          <w:szCs w:val="28"/>
        </w:rPr>
        <w:t>《辽宁省水利水电建筑工程概算定额》（辽发改农经〔2007〕71号）</w:t>
      </w:r>
      <w:r>
        <w:rPr>
          <w:rFonts w:ascii="仿宋" w:hAnsi="仿宋" w:eastAsia="仿宋" w:cs="仿宋"/>
          <w:bCs/>
          <w:kern w:val="0"/>
          <w:sz w:val="28"/>
          <w:szCs w:val="28"/>
        </w:rPr>
        <w:t>等相关标准测算标示牌单价（含制作、安装、运输）。</w:t>
      </w:r>
    </w:p>
    <w:p>
      <w:pPr>
        <w:pStyle w:val="22"/>
        <w:widowControl w:val="0"/>
        <w:ind w:firstLine="0" w:firstLineChars="0"/>
        <w:jc w:val="both"/>
        <w:rPr>
          <w:rFonts w:ascii="Times New Roman" w:hAnsi="Times New Roman" w:eastAsia="仿宋"/>
          <w:bCs/>
          <w:sz w:val="28"/>
          <w:szCs w:val="28"/>
        </w:rPr>
      </w:pPr>
      <w:r>
        <w:rPr>
          <w:rFonts w:ascii="Times New Roman" w:hAnsi="仿宋" w:eastAsia="仿宋"/>
          <w:sz w:val="28"/>
          <w:szCs w:val="28"/>
        </w:rPr>
        <w:t>表</w:t>
      </w:r>
      <w:r>
        <w:rPr>
          <w:rFonts w:ascii="Times New Roman" w:hAnsi="Times New Roman" w:eastAsia="仿宋"/>
          <w:sz w:val="28"/>
          <w:szCs w:val="28"/>
        </w:rPr>
        <w:t xml:space="preserve">6-2                   </w:t>
      </w:r>
      <w:r>
        <w:rPr>
          <w:rFonts w:ascii="Times New Roman" w:hAnsi="仿宋" w:eastAsia="仿宋"/>
          <w:bCs/>
          <w:sz w:val="28"/>
          <w:szCs w:val="28"/>
        </w:rPr>
        <w:t>标示牌综合单价测算表</w:t>
      </w:r>
    </w:p>
    <w:tbl>
      <w:tblPr>
        <w:tblStyle w:val="15"/>
        <w:tblW w:w="5000"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48"/>
        <w:gridCol w:w="3368"/>
        <w:gridCol w:w="849"/>
        <w:gridCol w:w="849"/>
        <w:gridCol w:w="1689"/>
        <w:gridCol w:w="168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457"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序号</w:t>
            </w:r>
          </w:p>
        </w:tc>
        <w:tc>
          <w:tcPr>
            <w:tcW w:w="1813"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项目</w:t>
            </w:r>
          </w:p>
        </w:tc>
        <w:tc>
          <w:tcPr>
            <w:tcW w:w="457"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单位</w:t>
            </w:r>
          </w:p>
        </w:tc>
        <w:tc>
          <w:tcPr>
            <w:tcW w:w="457"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数量</w:t>
            </w:r>
          </w:p>
        </w:tc>
        <w:tc>
          <w:tcPr>
            <w:tcW w:w="909"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单价（元）</w:t>
            </w:r>
          </w:p>
        </w:tc>
        <w:tc>
          <w:tcPr>
            <w:tcW w:w="907"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合价（元）</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457" w:type="pct"/>
            <w:shd w:val="clear" w:color="auto" w:fill="auto"/>
            <w:noWrap/>
            <w:vAlign w:val="center"/>
          </w:tcPr>
          <w:p>
            <w:pPr>
              <w:widowControl/>
              <w:jc w:val="center"/>
              <w:textAlignment w:val="center"/>
              <w:rPr>
                <w:rFonts w:ascii="仿宋" w:hAnsi="仿宋" w:eastAsia="仿宋" w:cs="仿宋"/>
                <w:kern w:val="0"/>
                <w:sz w:val="24"/>
              </w:rPr>
            </w:pPr>
          </w:p>
        </w:tc>
        <w:tc>
          <w:tcPr>
            <w:tcW w:w="1813"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标示牌制作安装</w:t>
            </w:r>
          </w:p>
        </w:tc>
        <w:tc>
          <w:tcPr>
            <w:tcW w:w="457"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个</w:t>
            </w:r>
          </w:p>
        </w:tc>
        <w:tc>
          <w:tcPr>
            <w:tcW w:w="457"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1</w:t>
            </w:r>
          </w:p>
        </w:tc>
        <w:tc>
          <w:tcPr>
            <w:tcW w:w="909"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2035.24</w:t>
            </w:r>
          </w:p>
        </w:tc>
        <w:tc>
          <w:tcPr>
            <w:tcW w:w="907"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2035.24</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457"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(1)</w:t>
            </w:r>
          </w:p>
        </w:tc>
        <w:tc>
          <w:tcPr>
            <w:tcW w:w="1813"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标识牌安装费</w:t>
            </w:r>
          </w:p>
        </w:tc>
        <w:tc>
          <w:tcPr>
            <w:tcW w:w="457"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个</w:t>
            </w:r>
          </w:p>
        </w:tc>
        <w:tc>
          <w:tcPr>
            <w:tcW w:w="457"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1</w:t>
            </w:r>
          </w:p>
        </w:tc>
        <w:tc>
          <w:tcPr>
            <w:tcW w:w="909"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135.24</w:t>
            </w:r>
          </w:p>
        </w:tc>
        <w:tc>
          <w:tcPr>
            <w:tcW w:w="907"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135.24</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457" w:type="pct"/>
            <w:shd w:val="clear" w:color="auto" w:fill="auto"/>
            <w:noWrap/>
            <w:vAlign w:val="center"/>
          </w:tcPr>
          <w:p>
            <w:pPr>
              <w:widowControl/>
              <w:jc w:val="center"/>
              <w:textAlignment w:val="center"/>
              <w:rPr>
                <w:rFonts w:ascii="仿宋" w:hAnsi="仿宋" w:eastAsia="仿宋" w:cs="仿宋"/>
                <w:kern w:val="0"/>
                <w:sz w:val="24"/>
              </w:rPr>
            </w:pPr>
          </w:p>
        </w:tc>
        <w:tc>
          <w:tcPr>
            <w:tcW w:w="1813"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土方开挖</w:t>
            </w:r>
          </w:p>
        </w:tc>
        <w:tc>
          <w:tcPr>
            <w:tcW w:w="457"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m3</w:t>
            </w:r>
          </w:p>
        </w:tc>
        <w:tc>
          <w:tcPr>
            <w:tcW w:w="457"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0.288</w:t>
            </w:r>
          </w:p>
        </w:tc>
        <w:tc>
          <w:tcPr>
            <w:tcW w:w="909"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8.06</w:t>
            </w:r>
          </w:p>
        </w:tc>
        <w:tc>
          <w:tcPr>
            <w:tcW w:w="907"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2.32</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457" w:type="pct"/>
            <w:shd w:val="clear" w:color="auto" w:fill="auto"/>
            <w:noWrap/>
            <w:vAlign w:val="center"/>
          </w:tcPr>
          <w:p>
            <w:pPr>
              <w:widowControl/>
              <w:jc w:val="center"/>
              <w:textAlignment w:val="center"/>
              <w:rPr>
                <w:rFonts w:ascii="仿宋" w:hAnsi="仿宋" w:eastAsia="仿宋" w:cs="仿宋"/>
                <w:kern w:val="0"/>
                <w:sz w:val="24"/>
              </w:rPr>
            </w:pPr>
          </w:p>
        </w:tc>
        <w:tc>
          <w:tcPr>
            <w:tcW w:w="1813"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土方回填</w:t>
            </w:r>
          </w:p>
        </w:tc>
        <w:tc>
          <w:tcPr>
            <w:tcW w:w="457"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m3</w:t>
            </w:r>
          </w:p>
        </w:tc>
        <w:tc>
          <w:tcPr>
            <w:tcW w:w="457"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0.288</w:t>
            </w:r>
          </w:p>
        </w:tc>
        <w:tc>
          <w:tcPr>
            <w:tcW w:w="909"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7.73</w:t>
            </w:r>
          </w:p>
        </w:tc>
        <w:tc>
          <w:tcPr>
            <w:tcW w:w="907"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2.23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457" w:type="pct"/>
            <w:shd w:val="clear" w:color="auto" w:fill="auto"/>
            <w:noWrap/>
            <w:vAlign w:val="center"/>
          </w:tcPr>
          <w:p>
            <w:pPr>
              <w:widowControl/>
              <w:jc w:val="center"/>
              <w:textAlignment w:val="center"/>
              <w:rPr>
                <w:rFonts w:ascii="仿宋" w:hAnsi="仿宋" w:eastAsia="仿宋" w:cs="仿宋"/>
                <w:kern w:val="0"/>
                <w:sz w:val="24"/>
              </w:rPr>
            </w:pPr>
          </w:p>
        </w:tc>
        <w:tc>
          <w:tcPr>
            <w:tcW w:w="1813"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混凝土C20</w:t>
            </w:r>
          </w:p>
        </w:tc>
        <w:tc>
          <w:tcPr>
            <w:tcW w:w="457"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m3</w:t>
            </w:r>
          </w:p>
        </w:tc>
        <w:tc>
          <w:tcPr>
            <w:tcW w:w="457"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0.2</w:t>
            </w:r>
            <w:r>
              <w:rPr>
                <w:rFonts w:hint="eastAsia" w:ascii="仿宋" w:hAnsi="仿宋" w:eastAsia="仿宋" w:cs="仿宋"/>
                <w:kern w:val="0"/>
                <w:sz w:val="24"/>
              </w:rPr>
              <w:t>88</w:t>
            </w:r>
          </w:p>
        </w:tc>
        <w:tc>
          <w:tcPr>
            <w:tcW w:w="909"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453.81</w:t>
            </w:r>
          </w:p>
        </w:tc>
        <w:tc>
          <w:tcPr>
            <w:tcW w:w="907"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130.70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457"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(2)</w:t>
            </w:r>
          </w:p>
        </w:tc>
        <w:tc>
          <w:tcPr>
            <w:tcW w:w="1813"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铝反光标示牌制作及运输</w:t>
            </w:r>
          </w:p>
        </w:tc>
        <w:tc>
          <w:tcPr>
            <w:tcW w:w="457"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项</w:t>
            </w:r>
          </w:p>
        </w:tc>
        <w:tc>
          <w:tcPr>
            <w:tcW w:w="457"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1</w:t>
            </w:r>
          </w:p>
        </w:tc>
        <w:tc>
          <w:tcPr>
            <w:tcW w:w="909"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1900.00</w:t>
            </w:r>
          </w:p>
        </w:tc>
        <w:tc>
          <w:tcPr>
            <w:tcW w:w="907"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1900.00</w:t>
            </w:r>
          </w:p>
        </w:tc>
      </w:tr>
    </w:tbl>
    <w:p>
      <w:pPr>
        <w:pStyle w:val="22"/>
        <w:spacing w:line="560" w:lineRule="exact"/>
        <w:ind w:firstLine="630"/>
        <w:rPr>
          <w:rFonts w:ascii="仿宋" w:hAnsi="仿宋" w:eastAsia="仿宋" w:cs="仿宋"/>
          <w:sz w:val="28"/>
          <w:szCs w:val="28"/>
        </w:rPr>
      </w:pPr>
      <w:r>
        <w:rPr>
          <w:rFonts w:ascii="仿宋" w:hAnsi="仿宋" w:eastAsia="仿宋" w:cs="仿宋"/>
          <w:sz w:val="28"/>
          <w:szCs w:val="28"/>
        </w:rPr>
        <w:t>（5）宣传及公告费：河道管理和保护范围划定后，由县级以上人民政府按管理权限，通过印刷媒体（报纸、宣传图册等）、广播电视媒体等予以公告。公告费可按市场价计列。</w:t>
      </w:r>
    </w:p>
    <w:p>
      <w:pPr>
        <w:pStyle w:val="22"/>
        <w:spacing w:line="560" w:lineRule="exact"/>
        <w:ind w:firstLine="560" w:firstLineChars="200"/>
        <w:rPr>
          <w:rFonts w:ascii="仿宋" w:hAnsi="仿宋" w:eastAsia="仿宋" w:cs="仿宋"/>
          <w:sz w:val="28"/>
          <w:szCs w:val="28"/>
        </w:rPr>
      </w:pPr>
      <w:r>
        <w:rPr>
          <w:rFonts w:ascii="仿宋" w:hAnsi="仿宋" w:eastAsia="仿宋" w:cs="仿宋"/>
          <w:sz w:val="28"/>
          <w:szCs w:val="28"/>
        </w:rPr>
        <w:t>（6）实施管理费：划界项目实施过程中发生的组织、协调、管理及和地方政府等其他部门必要的配合费。按编规计列或按实际测算计列，取1-5部分总额的3%。</w:t>
      </w:r>
    </w:p>
    <w:p>
      <w:pPr>
        <w:spacing w:line="560" w:lineRule="exact"/>
        <w:outlineLvl w:val="1"/>
        <w:rPr>
          <w:rFonts w:ascii="仿宋" w:hAnsi="仿宋" w:eastAsia="仿宋" w:cs="仿宋"/>
          <w:sz w:val="28"/>
          <w:szCs w:val="28"/>
        </w:rPr>
      </w:pPr>
      <w:bookmarkStart w:id="76" w:name="_Toc13396_WPSOffice_Level2"/>
      <w:bookmarkStart w:id="77" w:name="_Toc63201894"/>
      <w:r>
        <w:rPr>
          <w:rFonts w:hint="eastAsia" w:ascii="仿宋" w:hAnsi="仿宋" w:eastAsia="仿宋" w:cs="仿宋"/>
          <w:sz w:val="28"/>
          <w:szCs w:val="28"/>
        </w:rPr>
        <w:t>6.3费用估算</w:t>
      </w:r>
      <w:bookmarkEnd w:id="76"/>
      <w:bookmarkEnd w:id="77"/>
    </w:p>
    <w:p>
      <w:pPr>
        <w:pStyle w:val="22"/>
        <w:spacing w:line="560" w:lineRule="exact"/>
        <w:ind w:firstLine="560" w:firstLineChars="200"/>
        <w:rPr>
          <w:rFonts w:ascii="仿宋" w:hAnsi="仿宋" w:eastAsia="仿宋" w:cs="仿宋"/>
          <w:sz w:val="28"/>
          <w:szCs w:val="28"/>
        </w:rPr>
      </w:pPr>
      <w:r>
        <w:rPr>
          <w:rFonts w:ascii="仿宋" w:hAnsi="仿宋" w:eastAsia="仿宋" w:cs="仿宋"/>
          <w:sz w:val="28"/>
          <w:szCs w:val="28"/>
        </w:rPr>
        <w:t>根据工作量及费用测算依据，估算太平沟水库划界费用，结果见表6-3。</w:t>
      </w:r>
    </w:p>
    <w:p>
      <w:pPr>
        <w:pStyle w:val="22"/>
        <w:widowControl w:val="0"/>
        <w:ind w:firstLine="0" w:firstLineChars="0"/>
        <w:jc w:val="both"/>
        <w:rPr>
          <w:rFonts w:ascii="仿宋" w:hAnsi="仿宋" w:eastAsia="仿宋" w:cs="仿宋"/>
          <w:bCs/>
          <w:sz w:val="28"/>
          <w:szCs w:val="28"/>
        </w:rPr>
      </w:pPr>
      <w:r>
        <w:rPr>
          <w:rFonts w:hint="eastAsia" w:ascii="仿宋" w:hAnsi="仿宋" w:eastAsia="仿宋" w:cs="仿宋"/>
          <w:sz w:val="28"/>
          <w:szCs w:val="28"/>
        </w:rPr>
        <w:t xml:space="preserve">表6-3                    </w:t>
      </w:r>
      <w:r>
        <w:rPr>
          <w:rFonts w:hint="eastAsia" w:ascii="仿宋" w:hAnsi="仿宋" w:eastAsia="仿宋" w:cs="仿宋"/>
          <w:bCs/>
          <w:sz w:val="28"/>
          <w:szCs w:val="28"/>
        </w:rPr>
        <w:t>划界费用估算成果表</w:t>
      </w:r>
    </w:p>
    <w:tbl>
      <w:tblPr>
        <w:tblStyle w:val="15"/>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64"/>
        <w:gridCol w:w="2937"/>
        <w:gridCol w:w="814"/>
        <w:gridCol w:w="1161"/>
        <w:gridCol w:w="1757"/>
        <w:gridCol w:w="175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5" w:type="pct"/>
            <w:shd w:val="clear" w:color="auto" w:fill="auto"/>
            <w:noWrap/>
            <w:vAlign w:val="center"/>
          </w:tcPr>
          <w:p>
            <w:pPr>
              <w:widowControl/>
              <w:jc w:val="center"/>
              <w:textAlignment w:val="center"/>
              <w:rPr>
                <w:rFonts w:ascii="仿宋" w:hAnsi="仿宋" w:eastAsia="仿宋" w:cs="仿宋"/>
                <w:b/>
                <w:kern w:val="0"/>
                <w:sz w:val="24"/>
              </w:rPr>
            </w:pPr>
            <w:r>
              <w:rPr>
                <w:rFonts w:hint="eastAsia" w:ascii="仿宋" w:hAnsi="仿宋" w:eastAsia="仿宋" w:cs="仿宋"/>
                <w:b/>
                <w:kern w:val="0"/>
                <w:sz w:val="24"/>
              </w:rPr>
              <w:t>序号</w:t>
            </w:r>
          </w:p>
        </w:tc>
        <w:tc>
          <w:tcPr>
            <w:tcW w:w="1581" w:type="pct"/>
            <w:shd w:val="clear" w:color="auto" w:fill="auto"/>
            <w:noWrap/>
            <w:vAlign w:val="center"/>
          </w:tcPr>
          <w:p>
            <w:pPr>
              <w:widowControl/>
              <w:jc w:val="center"/>
              <w:textAlignment w:val="center"/>
              <w:rPr>
                <w:rFonts w:ascii="仿宋" w:hAnsi="仿宋" w:eastAsia="仿宋" w:cs="仿宋"/>
                <w:b/>
                <w:kern w:val="0"/>
                <w:sz w:val="24"/>
              </w:rPr>
            </w:pPr>
            <w:r>
              <w:rPr>
                <w:rFonts w:hint="eastAsia" w:ascii="仿宋" w:hAnsi="仿宋" w:eastAsia="仿宋" w:cs="仿宋"/>
                <w:b/>
                <w:kern w:val="0"/>
                <w:sz w:val="24"/>
              </w:rPr>
              <w:t>项目</w:t>
            </w:r>
          </w:p>
        </w:tc>
        <w:tc>
          <w:tcPr>
            <w:tcW w:w="438" w:type="pct"/>
            <w:shd w:val="clear" w:color="auto" w:fill="auto"/>
            <w:noWrap/>
            <w:vAlign w:val="center"/>
          </w:tcPr>
          <w:p>
            <w:pPr>
              <w:widowControl/>
              <w:jc w:val="center"/>
              <w:textAlignment w:val="center"/>
              <w:rPr>
                <w:rFonts w:ascii="仿宋" w:hAnsi="仿宋" w:eastAsia="仿宋" w:cs="仿宋"/>
                <w:b/>
                <w:kern w:val="0"/>
                <w:sz w:val="24"/>
              </w:rPr>
            </w:pPr>
            <w:r>
              <w:rPr>
                <w:rFonts w:hint="eastAsia" w:ascii="仿宋" w:hAnsi="仿宋" w:eastAsia="仿宋" w:cs="仿宋"/>
                <w:b/>
                <w:kern w:val="0"/>
                <w:sz w:val="24"/>
              </w:rPr>
              <w:t>单位</w:t>
            </w:r>
          </w:p>
        </w:tc>
        <w:tc>
          <w:tcPr>
            <w:tcW w:w="625" w:type="pct"/>
            <w:shd w:val="clear" w:color="auto" w:fill="auto"/>
            <w:noWrap/>
            <w:vAlign w:val="center"/>
          </w:tcPr>
          <w:p>
            <w:pPr>
              <w:widowControl/>
              <w:jc w:val="center"/>
              <w:textAlignment w:val="center"/>
              <w:rPr>
                <w:rFonts w:ascii="仿宋" w:hAnsi="仿宋" w:eastAsia="仿宋" w:cs="仿宋"/>
                <w:b/>
                <w:kern w:val="0"/>
                <w:sz w:val="24"/>
              </w:rPr>
            </w:pPr>
            <w:r>
              <w:rPr>
                <w:rFonts w:hint="eastAsia" w:ascii="仿宋" w:hAnsi="仿宋" w:eastAsia="仿宋" w:cs="仿宋"/>
                <w:b/>
                <w:kern w:val="0"/>
                <w:sz w:val="24"/>
              </w:rPr>
              <w:t>工程量</w:t>
            </w:r>
          </w:p>
        </w:tc>
        <w:tc>
          <w:tcPr>
            <w:tcW w:w="946" w:type="pct"/>
            <w:shd w:val="clear" w:color="auto" w:fill="auto"/>
            <w:noWrap/>
            <w:vAlign w:val="center"/>
          </w:tcPr>
          <w:p>
            <w:pPr>
              <w:widowControl/>
              <w:jc w:val="center"/>
              <w:textAlignment w:val="center"/>
              <w:rPr>
                <w:rFonts w:ascii="仿宋" w:hAnsi="仿宋" w:eastAsia="仿宋" w:cs="仿宋"/>
                <w:b/>
                <w:kern w:val="0"/>
                <w:sz w:val="24"/>
              </w:rPr>
            </w:pPr>
            <w:r>
              <w:rPr>
                <w:rFonts w:hint="eastAsia" w:ascii="仿宋" w:hAnsi="仿宋" w:eastAsia="仿宋" w:cs="仿宋"/>
                <w:b/>
                <w:kern w:val="0"/>
                <w:sz w:val="24"/>
              </w:rPr>
              <w:t>单价（元）</w:t>
            </w:r>
          </w:p>
        </w:tc>
        <w:tc>
          <w:tcPr>
            <w:tcW w:w="945" w:type="pct"/>
            <w:shd w:val="clear" w:color="auto" w:fill="auto"/>
            <w:noWrap/>
            <w:vAlign w:val="center"/>
          </w:tcPr>
          <w:p>
            <w:pPr>
              <w:widowControl/>
              <w:jc w:val="center"/>
              <w:textAlignment w:val="center"/>
              <w:rPr>
                <w:rFonts w:ascii="仿宋" w:hAnsi="仿宋" w:eastAsia="仿宋" w:cs="仿宋"/>
                <w:b/>
                <w:kern w:val="0"/>
                <w:sz w:val="24"/>
              </w:rPr>
            </w:pPr>
            <w:r>
              <w:rPr>
                <w:rFonts w:hint="eastAsia" w:ascii="仿宋" w:hAnsi="仿宋" w:eastAsia="仿宋" w:cs="仿宋"/>
                <w:b/>
                <w:kern w:val="0"/>
                <w:sz w:val="24"/>
              </w:rPr>
              <w:t>合价（元）</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5"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1</w:t>
            </w:r>
          </w:p>
        </w:tc>
        <w:tc>
          <w:tcPr>
            <w:tcW w:w="1581"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实施方案测绘编制费</w:t>
            </w:r>
          </w:p>
        </w:tc>
        <w:tc>
          <w:tcPr>
            <w:tcW w:w="438"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项</w:t>
            </w:r>
          </w:p>
        </w:tc>
        <w:tc>
          <w:tcPr>
            <w:tcW w:w="625"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1</w:t>
            </w:r>
          </w:p>
        </w:tc>
        <w:tc>
          <w:tcPr>
            <w:tcW w:w="946"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15000</w:t>
            </w:r>
          </w:p>
        </w:tc>
        <w:tc>
          <w:tcPr>
            <w:tcW w:w="945"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 xml:space="preserve">15000.00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5"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2</w:t>
            </w:r>
          </w:p>
        </w:tc>
        <w:tc>
          <w:tcPr>
            <w:tcW w:w="1581"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定桩测量</w:t>
            </w:r>
          </w:p>
        </w:tc>
        <w:tc>
          <w:tcPr>
            <w:tcW w:w="438"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个</w:t>
            </w:r>
          </w:p>
        </w:tc>
        <w:tc>
          <w:tcPr>
            <w:tcW w:w="625"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9</w:t>
            </w:r>
          </w:p>
        </w:tc>
        <w:tc>
          <w:tcPr>
            <w:tcW w:w="946"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101</w:t>
            </w:r>
          </w:p>
        </w:tc>
        <w:tc>
          <w:tcPr>
            <w:tcW w:w="945"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 xml:space="preserve">909.00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5"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3</w:t>
            </w:r>
          </w:p>
        </w:tc>
        <w:tc>
          <w:tcPr>
            <w:tcW w:w="1581"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大理石界桩制作安装</w:t>
            </w:r>
          </w:p>
        </w:tc>
        <w:tc>
          <w:tcPr>
            <w:tcW w:w="438"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个</w:t>
            </w:r>
          </w:p>
        </w:tc>
        <w:tc>
          <w:tcPr>
            <w:tcW w:w="625"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9</w:t>
            </w:r>
          </w:p>
        </w:tc>
        <w:tc>
          <w:tcPr>
            <w:tcW w:w="946"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324.9</w:t>
            </w:r>
          </w:p>
        </w:tc>
        <w:tc>
          <w:tcPr>
            <w:tcW w:w="945"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 xml:space="preserve">2924.10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5"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4</w:t>
            </w:r>
          </w:p>
        </w:tc>
        <w:tc>
          <w:tcPr>
            <w:tcW w:w="1581"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标示牌制作安装</w:t>
            </w:r>
          </w:p>
        </w:tc>
        <w:tc>
          <w:tcPr>
            <w:tcW w:w="438"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个</w:t>
            </w:r>
          </w:p>
        </w:tc>
        <w:tc>
          <w:tcPr>
            <w:tcW w:w="625"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3</w:t>
            </w:r>
          </w:p>
        </w:tc>
        <w:tc>
          <w:tcPr>
            <w:tcW w:w="946"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2035.24</w:t>
            </w:r>
          </w:p>
        </w:tc>
        <w:tc>
          <w:tcPr>
            <w:tcW w:w="945"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 xml:space="preserve">6105.72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5"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5</w:t>
            </w:r>
          </w:p>
        </w:tc>
        <w:tc>
          <w:tcPr>
            <w:tcW w:w="1581"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宣传公告费</w:t>
            </w:r>
          </w:p>
        </w:tc>
        <w:tc>
          <w:tcPr>
            <w:tcW w:w="438"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次</w:t>
            </w:r>
          </w:p>
        </w:tc>
        <w:tc>
          <w:tcPr>
            <w:tcW w:w="625"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1</w:t>
            </w:r>
          </w:p>
        </w:tc>
        <w:tc>
          <w:tcPr>
            <w:tcW w:w="946"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5000</w:t>
            </w:r>
          </w:p>
        </w:tc>
        <w:tc>
          <w:tcPr>
            <w:tcW w:w="945"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 xml:space="preserve">5000.00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5"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6</w:t>
            </w:r>
          </w:p>
        </w:tc>
        <w:tc>
          <w:tcPr>
            <w:tcW w:w="1581"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实施管理费</w:t>
            </w:r>
          </w:p>
        </w:tc>
        <w:tc>
          <w:tcPr>
            <w:tcW w:w="43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w:t>
            </w:r>
          </w:p>
        </w:tc>
        <w:tc>
          <w:tcPr>
            <w:tcW w:w="625"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3</w:t>
            </w:r>
          </w:p>
        </w:tc>
        <w:tc>
          <w:tcPr>
            <w:tcW w:w="946"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29938.82</w:t>
            </w:r>
          </w:p>
        </w:tc>
        <w:tc>
          <w:tcPr>
            <w:tcW w:w="945"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898.16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5" w:type="pct"/>
            <w:shd w:val="clear" w:color="auto" w:fill="auto"/>
            <w:noWrap/>
            <w:vAlign w:val="center"/>
          </w:tcPr>
          <w:p>
            <w:pPr>
              <w:widowControl/>
              <w:jc w:val="center"/>
              <w:textAlignment w:val="center"/>
              <w:rPr>
                <w:rFonts w:ascii="仿宋" w:hAnsi="仿宋" w:eastAsia="仿宋" w:cs="仿宋"/>
                <w:kern w:val="0"/>
                <w:sz w:val="24"/>
              </w:rPr>
            </w:pPr>
          </w:p>
        </w:tc>
        <w:tc>
          <w:tcPr>
            <w:tcW w:w="1581" w:type="pct"/>
            <w:shd w:val="clear" w:color="auto" w:fill="auto"/>
            <w:noWrap/>
            <w:vAlign w:val="center"/>
          </w:tcPr>
          <w:p>
            <w:pPr>
              <w:widowControl/>
              <w:jc w:val="center"/>
              <w:textAlignment w:val="center"/>
              <w:rPr>
                <w:rFonts w:ascii="仿宋" w:hAnsi="仿宋" w:eastAsia="仿宋" w:cs="仿宋"/>
                <w:b/>
                <w:kern w:val="0"/>
                <w:sz w:val="24"/>
              </w:rPr>
            </w:pPr>
            <w:r>
              <w:rPr>
                <w:rFonts w:hint="eastAsia" w:ascii="仿宋" w:hAnsi="仿宋" w:eastAsia="仿宋" w:cs="仿宋"/>
                <w:b/>
                <w:kern w:val="0"/>
                <w:sz w:val="24"/>
              </w:rPr>
              <w:t>合计</w:t>
            </w:r>
          </w:p>
        </w:tc>
        <w:tc>
          <w:tcPr>
            <w:tcW w:w="438" w:type="pct"/>
            <w:shd w:val="clear" w:color="auto" w:fill="auto"/>
            <w:noWrap/>
            <w:vAlign w:val="center"/>
          </w:tcPr>
          <w:p>
            <w:pPr>
              <w:widowControl/>
              <w:jc w:val="center"/>
              <w:textAlignment w:val="center"/>
              <w:rPr>
                <w:rFonts w:ascii="仿宋" w:hAnsi="仿宋" w:eastAsia="仿宋" w:cs="仿宋"/>
                <w:b/>
                <w:kern w:val="0"/>
                <w:sz w:val="24"/>
              </w:rPr>
            </w:pPr>
            <w:r>
              <w:rPr>
                <w:rFonts w:ascii="仿宋" w:hAnsi="仿宋" w:eastAsia="仿宋" w:cs="仿宋"/>
                <w:b/>
                <w:kern w:val="0"/>
                <w:sz w:val="24"/>
              </w:rPr>
              <w:t>　</w:t>
            </w:r>
          </w:p>
        </w:tc>
        <w:tc>
          <w:tcPr>
            <w:tcW w:w="625"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　</w:t>
            </w:r>
          </w:p>
        </w:tc>
        <w:tc>
          <w:tcPr>
            <w:tcW w:w="946"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　</w:t>
            </w:r>
          </w:p>
        </w:tc>
        <w:tc>
          <w:tcPr>
            <w:tcW w:w="945"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 xml:space="preserve">30836.98 </w:t>
            </w:r>
          </w:p>
        </w:tc>
      </w:tr>
    </w:tbl>
    <w:p>
      <w:pPr>
        <w:pStyle w:val="22"/>
        <w:widowControl w:val="0"/>
        <w:ind w:firstLine="0" w:firstLineChars="0"/>
        <w:jc w:val="both"/>
        <w:rPr>
          <w:rFonts w:ascii="仿宋" w:hAnsi="仿宋" w:eastAsia="仿宋" w:cs="仿宋"/>
          <w:bCs/>
          <w:sz w:val="28"/>
          <w:szCs w:val="28"/>
        </w:rPr>
      </w:pPr>
    </w:p>
    <w:p>
      <w:pPr>
        <w:pStyle w:val="22"/>
        <w:widowControl w:val="0"/>
        <w:ind w:firstLine="0" w:firstLineChars="0"/>
        <w:jc w:val="both"/>
        <w:rPr>
          <w:rFonts w:ascii="仿宋" w:hAnsi="仿宋" w:eastAsia="仿宋" w:cs="仿宋"/>
          <w:bCs/>
          <w:sz w:val="28"/>
          <w:szCs w:val="28"/>
        </w:rPr>
      </w:pPr>
    </w:p>
    <w:p>
      <w:pPr>
        <w:pStyle w:val="22"/>
        <w:widowControl w:val="0"/>
        <w:ind w:firstLine="0" w:firstLineChars="0"/>
        <w:jc w:val="both"/>
        <w:rPr>
          <w:rFonts w:ascii="仿宋" w:hAnsi="仿宋" w:eastAsia="仿宋" w:cs="仿宋"/>
          <w:bCs/>
          <w:sz w:val="28"/>
          <w:szCs w:val="28"/>
        </w:rPr>
      </w:pPr>
    </w:p>
    <w:p>
      <w:pPr>
        <w:spacing w:line="440" w:lineRule="exact"/>
        <w:rPr>
          <w:rFonts w:ascii="Times New Roman" w:hAnsi="Times New Roman"/>
          <w:sz w:val="24"/>
        </w:rPr>
        <w:sectPr>
          <w:headerReference r:id="rId6" w:type="default"/>
          <w:pgSz w:w="11906" w:h="16838"/>
          <w:pgMar w:top="1984" w:right="1417" w:bottom="1417" w:left="1417" w:header="1417" w:footer="1134" w:gutter="0"/>
          <w:cols w:space="720" w:num="1"/>
          <w:docGrid w:type="lines" w:linePitch="312" w:charSpace="0"/>
        </w:sectPr>
      </w:pPr>
    </w:p>
    <w:p>
      <w:pPr>
        <w:numPr>
          <w:ilvl w:val="0"/>
          <w:numId w:val="1"/>
        </w:numPr>
        <w:spacing w:beforeLines="50" w:afterLines="50"/>
        <w:jc w:val="center"/>
        <w:outlineLvl w:val="0"/>
        <w:rPr>
          <w:rFonts w:ascii="仿宋" w:hAnsi="仿宋" w:eastAsia="仿宋" w:cs="仿宋"/>
          <w:sz w:val="28"/>
          <w:szCs w:val="28"/>
        </w:rPr>
      </w:pPr>
      <w:bookmarkStart w:id="78" w:name="_Toc22555_WPSOffice_Level1"/>
      <w:bookmarkStart w:id="79" w:name="_Toc63201895"/>
      <w:bookmarkStart w:id="80" w:name="_Toc749"/>
      <w:r>
        <w:rPr>
          <w:rFonts w:hint="eastAsia" w:ascii="仿宋" w:hAnsi="仿宋" w:eastAsia="仿宋" w:cs="仿宋"/>
          <w:sz w:val="28"/>
          <w:szCs w:val="28"/>
        </w:rPr>
        <w:t>责任分工</w:t>
      </w:r>
      <w:bookmarkEnd w:id="78"/>
      <w:bookmarkEnd w:id="79"/>
      <w:bookmarkEnd w:id="80"/>
    </w:p>
    <w:p>
      <w:pPr>
        <w:numPr>
          <w:ilvl w:val="0"/>
          <w:numId w:val="6"/>
        </w:num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由受委托单位负责太平沟水库划界工作实施方案的编制及协调解决后期实施过程中遇到的技术问题。</w:t>
      </w:r>
    </w:p>
    <w:p>
      <w:pPr>
        <w:numPr>
          <w:ilvl w:val="0"/>
          <w:numId w:val="6"/>
        </w:num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由千山区水利局、千山区自然资源部门依据以太平沟水库划界工作实施方案，确定管理权界线；由专业测量单位通过卫星定位技术进行数据采集，由千山区水利局组织界桩埋设工作。</w:t>
      </w:r>
    </w:p>
    <w:p>
      <w:pPr>
        <w:numPr>
          <w:ilvl w:val="0"/>
          <w:numId w:val="6"/>
        </w:num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河长制办公室相关部门及交通、林业等相关部门协助测量单位进行管理范围内土地权属、地类调查工作，自然资源部门同时负责对测量成果进行审核，纳入国土资源管理相关数据中。</w:t>
      </w:r>
    </w:p>
    <w:p>
      <w:pPr>
        <w:numPr>
          <w:ilvl w:val="0"/>
          <w:numId w:val="6"/>
        </w:num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沿河街道、乡镇、村屯负责向沿河村民宣传解释工作，配合相关部门向测量调查单位提供施测地块权属、地类信息，保证测量、调查、划界工作顺利实施。</w:t>
      </w:r>
    </w:p>
    <w:p>
      <w:pPr>
        <w:numPr>
          <w:ilvl w:val="0"/>
          <w:numId w:val="6"/>
        </w:numPr>
        <w:spacing w:line="560" w:lineRule="exact"/>
        <w:ind w:firstLine="560" w:firstLineChars="200"/>
        <w:rPr>
          <w:rFonts w:ascii="仿宋" w:hAnsi="仿宋" w:eastAsia="仿宋" w:cs="仿宋"/>
          <w:sz w:val="28"/>
          <w:szCs w:val="28"/>
        </w:rPr>
        <w:sectPr>
          <w:headerReference r:id="rId7" w:type="default"/>
          <w:pgSz w:w="11906" w:h="16838"/>
          <w:pgMar w:top="1984" w:right="1417" w:bottom="1417" w:left="1417" w:header="1417" w:footer="1134" w:gutter="0"/>
          <w:cols w:space="720" w:num="1"/>
          <w:docGrid w:type="lines" w:linePitch="312" w:charSpace="0"/>
        </w:sectPr>
      </w:pPr>
      <w:r>
        <w:rPr>
          <w:rFonts w:hint="eastAsia" w:ascii="仿宋" w:hAnsi="仿宋" w:eastAsia="仿宋" w:cs="仿宋"/>
          <w:sz w:val="28"/>
          <w:szCs w:val="28"/>
        </w:rPr>
        <w:t>河道划界方案批准后，由千山区人民政府负责向社会公布；对于有争议的区域，由千山区人民政府进行协调解决。</w:t>
      </w:r>
    </w:p>
    <w:p>
      <w:pPr>
        <w:numPr>
          <w:ilvl w:val="0"/>
          <w:numId w:val="1"/>
        </w:numPr>
        <w:spacing w:beforeLines="50" w:afterLines="50"/>
        <w:jc w:val="center"/>
        <w:outlineLvl w:val="0"/>
        <w:rPr>
          <w:rFonts w:ascii="仿宋" w:hAnsi="仿宋" w:eastAsia="仿宋" w:cs="仿宋"/>
          <w:sz w:val="28"/>
          <w:szCs w:val="28"/>
        </w:rPr>
      </w:pPr>
      <w:bookmarkStart w:id="81" w:name="_Toc3188_WPSOffice_Level1"/>
      <w:bookmarkStart w:id="82" w:name="_Toc23861"/>
      <w:bookmarkStart w:id="83" w:name="_Toc63201896"/>
      <w:r>
        <w:rPr>
          <w:rFonts w:hint="eastAsia" w:ascii="仿宋" w:hAnsi="仿宋" w:eastAsia="仿宋" w:cs="仿宋"/>
          <w:sz w:val="28"/>
          <w:szCs w:val="28"/>
        </w:rPr>
        <w:t>保障措施</w:t>
      </w:r>
      <w:bookmarkEnd w:id="81"/>
      <w:bookmarkEnd w:id="82"/>
      <w:bookmarkEnd w:id="83"/>
    </w:p>
    <w:p>
      <w:pPr>
        <w:autoSpaceDN w:val="0"/>
        <w:spacing w:line="560" w:lineRule="exact"/>
        <w:ind w:firstLine="562" w:firstLineChars="200"/>
        <w:rPr>
          <w:rFonts w:ascii="仿宋" w:hAnsi="仿宋" w:eastAsia="仿宋" w:cs="仿宋"/>
          <w:sz w:val="28"/>
          <w:szCs w:val="28"/>
        </w:rPr>
      </w:pPr>
      <w:r>
        <w:rPr>
          <w:rFonts w:hint="eastAsia" w:ascii="仿宋" w:hAnsi="仿宋" w:eastAsia="仿宋" w:cs="仿宋"/>
          <w:b/>
          <w:sz w:val="28"/>
          <w:szCs w:val="28"/>
        </w:rPr>
        <w:t>（一）强化组织领导。</w:t>
      </w:r>
      <w:r>
        <w:rPr>
          <w:rFonts w:hint="eastAsia" w:ascii="仿宋" w:hAnsi="仿宋" w:eastAsia="仿宋" w:cs="仿宋"/>
          <w:sz w:val="28"/>
          <w:szCs w:val="28"/>
        </w:rPr>
        <w:t>千山区各级政府要把水库管理范围划定工作纳入河长制湖长制范畴，切实加强组织领导，建立党委政府领导、河长负责、部门联动、属地落实的工作机制，扎实推进水库管理范围划定工作。各级河长要具体领导和协调解决水库划界中遇到的突出问题，相关部门要各司其职、各负其责、密切协同、形成合力，确保全面完成水库管理范围划定工作。</w:t>
      </w:r>
    </w:p>
    <w:p>
      <w:pPr>
        <w:autoSpaceDN w:val="0"/>
        <w:spacing w:line="560" w:lineRule="exact"/>
        <w:ind w:firstLine="562" w:firstLineChars="200"/>
        <w:rPr>
          <w:rFonts w:ascii="仿宋" w:hAnsi="仿宋" w:eastAsia="仿宋" w:cs="仿宋"/>
          <w:sz w:val="28"/>
          <w:szCs w:val="28"/>
        </w:rPr>
      </w:pPr>
      <w:r>
        <w:rPr>
          <w:rFonts w:hint="eastAsia" w:ascii="仿宋" w:hAnsi="仿宋" w:eastAsia="仿宋" w:cs="仿宋"/>
          <w:b/>
          <w:sz w:val="28"/>
          <w:szCs w:val="28"/>
        </w:rPr>
        <w:t>（二）严格落实责任。</w:t>
      </w:r>
      <w:r>
        <w:rPr>
          <w:rFonts w:hint="eastAsia" w:ascii="仿宋" w:hAnsi="仿宋" w:eastAsia="仿宋" w:cs="仿宋"/>
          <w:sz w:val="28"/>
          <w:szCs w:val="28"/>
        </w:rPr>
        <w:t>千山区各级政府是水库管理范围划界工作的责任主体，负责牵头组织辖区内水库划界确权工作，并安排相关部门组织实施。</w:t>
      </w:r>
    </w:p>
    <w:p>
      <w:pPr>
        <w:autoSpaceDN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自然资源部门负责提供已有的划界确权相关资料和本次划界确权工作中的地籍测绘、确权、登记发证等工作，并配合水利部门开展划界调查工作；</w:t>
      </w:r>
    </w:p>
    <w:p>
      <w:pPr>
        <w:autoSpaceDN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水利部门负责协调有关部门联合开展划界确权工作，具体负责水库管理范围划界确权基本情况调查、实施方案编制、界桩布设及基础资料提供等；</w:t>
      </w:r>
    </w:p>
    <w:p>
      <w:pPr>
        <w:autoSpaceDN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民政部门负责涉及到行政区域界线实地认证不一致的协调工作；</w:t>
      </w:r>
    </w:p>
    <w:p>
      <w:pPr>
        <w:autoSpaceDN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财政部门负责会同有关部门统筹安排资金，按照财政事权划分，保障划界确权工作涉及的有关调查、方案编制、界桩设立、征地补偿等工作经费的落实；</w:t>
      </w:r>
    </w:p>
    <w:p>
      <w:pPr>
        <w:autoSpaceDN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住建部门负责提供水库划界确权涉及土地、城建规划等资料的提供，配合做好相关工作；</w:t>
      </w:r>
    </w:p>
    <w:p>
      <w:pPr>
        <w:autoSpaceDN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农业农村、交通、林草等部门负责指导处理河道管理范围内相关资产权属等的确权划界工作；</w:t>
      </w:r>
    </w:p>
    <w:p>
      <w:pPr>
        <w:autoSpaceDN w:val="0"/>
        <w:spacing w:line="560" w:lineRule="exact"/>
        <w:ind w:firstLine="495" w:firstLineChars="177"/>
        <w:rPr>
          <w:rFonts w:ascii="仿宋" w:hAnsi="仿宋" w:eastAsia="仿宋" w:cs="仿宋"/>
          <w:sz w:val="28"/>
          <w:szCs w:val="28"/>
        </w:rPr>
      </w:pPr>
      <w:r>
        <w:rPr>
          <w:rFonts w:hint="eastAsia" w:ascii="仿宋" w:hAnsi="仿宋" w:eastAsia="仿宋" w:cs="仿宋"/>
          <w:sz w:val="28"/>
          <w:szCs w:val="28"/>
        </w:rPr>
        <w:t>公安部门负责处理水库划界确权工作中发生的肆意挑衅滋事和社会治安工作。</w:t>
      </w:r>
    </w:p>
    <w:p>
      <w:pPr>
        <w:autoSpaceDN w:val="0"/>
        <w:spacing w:line="560" w:lineRule="exact"/>
        <w:ind w:firstLine="495" w:firstLineChars="176"/>
        <w:rPr>
          <w:rFonts w:ascii="仿宋" w:hAnsi="仿宋" w:eastAsia="仿宋" w:cs="仿宋"/>
          <w:sz w:val="28"/>
          <w:szCs w:val="28"/>
        </w:rPr>
      </w:pPr>
      <w:r>
        <w:rPr>
          <w:rFonts w:hint="eastAsia" w:ascii="仿宋" w:hAnsi="仿宋" w:eastAsia="仿宋" w:cs="仿宋"/>
          <w:b/>
          <w:sz w:val="28"/>
          <w:szCs w:val="28"/>
        </w:rPr>
        <w:t>（三）强化科技支撑。</w:t>
      </w:r>
      <w:r>
        <w:rPr>
          <w:rFonts w:hint="eastAsia" w:ascii="仿宋" w:hAnsi="仿宋" w:eastAsia="仿宋" w:cs="仿宋"/>
          <w:sz w:val="28"/>
          <w:szCs w:val="28"/>
        </w:rPr>
        <w:t>水库划界坐标要统一采取2000年国家大地坐标系，将水库管理范围划界成果逐一标绘在“水利一张图”上，充分应用到河长制湖长制管理信息系统，与国土“一张图”进行对接，实现数据共享，为水库管理、水域岸线空间管控、河湖执法及清四乱等工作提供信息化技术支撑。</w:t>
      </w:r>
    </w:p>
    <w:p>
      <w:pPr>
        <w:autoSpaceDN w:val="0"/>
        <w:spacing w:line="560" w:lineRule="exact"/>
        <w:ind w:firstLine="495" w:firstLineChars="176"/>
        <w:rPr>
          <w:rFonts w:ascii="仿宋" w:hAnsi="仿宋" w:eastAsia="仿宋" w:cs="仿宋"/>
          <w:sz w:val="28"/>
          <w:szCs w:val="28"/>
        </w:rPr>
      </w:pPr>
      <w:r>
        <w:rPr>
          <w:rFonts w:hint="eastAsia" w:ascii="仿宋" w:hAnsi="仿宋" w:eastAsia="仿宋" w:cs="仿宋"/>
          <w:b/>
          <w:sz w:val="28"/>
          <w:szCs w:val="28"/>
        </w:rPr>
        <w:t>（四）强化考核评价。</w:t>
      </w:r>
      <w:r>
        <w:rPr>
          <w:rFonts w:hint="eastAsia" w:ascii="仿宋" w:hAnsi="仿宋" w:eastAsia="仿宋" w:cs="仿宋"/>
          <w:sz w:val="28"/>
          <w:szCs w:val="28"/>
        </w:rPr>
        <w:t>千山区各级政府要将水库管理范围划定纳入年度工作目标，层层签订责任状。水利局、河长制办公室要将水库管理范围划定纳入河长制湖长制和大禹杯考核，严格督察考核，强化激励问责，确保完成年度各项工作任务。</w:t>
      </w:r>
    </w:p>
    <w:p>
      <w:pPr>
        <w:autoSpaceDN w:val="0"/>
        <w:spacing w:line="560" w:lineRule="exact"/>
        <w:ind w:firstLine="495" w:firstLineChars="176"/>
        <w:rPr>
          <w:rFonts w:ascii="Times New Roman" w:hAnsi="Times New Roman"/>
          <w:sz w:val="24"/>
        </w:rPr>
        <w:sectPr>
          <w:headerReference r:id="rId8" w:type="default"/>
          <w:headerReference r:id="rId9" w:type="even"/>
          <w:pgSz w:w="11906" w:h="16838"/>
          <w:pgMar w:top="1984" w:right="1417" w:bottom="1417" w:left="1417" w:header="1417" w:footer="1134" w:gutter="0"/>
          <w:cols w:space="720" w:num="1"/>
          <w:docGrid w:type="lines" w:linePitch="312" w:charSpace="0"/>
        </w:sectPr>
      </w:pPr>
      <w:r>
        <w:rPr>
          <w:rFonts w:hint="eastAsia" w:ascii="仿宋" w:hAnsi="仿宋" w:eastAsia="仿宋" w:cs="仿宋"/>
          <w:b/>
          <w:sz w:val="28"/>
          <w:szCs w:val="28"/>
        </w:rPr>
        <w:t>（五）强化宣传引导。</w:t>
      </w:r>
      <w:r>
        <w:rPr>
          <w:rFonts w:hint="eastAsia" w:ascii="仿宋" w:hAnsi="仿宋" w:eastAsia="仿宋" w:cs="仿宋"/>
          <w:sz w:val="28"/>
          <w:szCs w:val="28"/>
        </w:rPr>
        <w:t>各有关部门要通过群众喜闻乐见的方式，广泛宣传水库管理范围划定工作，普及水库管理保护法律法规要求及相关知识，形成全社会支持、理解水库管理范围划定工作的良好氛围。</w:t>
      </w:r>
    </w:p>
    <w:p>
      <w:pPr>
        <w:numPr>
          <w:ilvl w:val="0"/>
          <w:numId w:val="1"/>
        </w:numPr>
        <w:spacing w:beforeLines="50" w:afterLines="50"/>
        <w:jc w:val="center"/>
        <w:outlineLvl w:val="0"/>
        <w:rPr>
          <w:rFonts w:ascii="仿宋" w:hAnsi="仿宋" w:eastAsia="仿宋" w:cs="仿宋"/>
          <w:sz w:val="28"/>
          <w:szCs w:val="28"/>
        </w:rPr>
      </w:pPr>
      <w:bookmarkStart w:id="84" w:name="_Toc9866_WPSOffice_Level1"/>
      <w:bookmarkStart w:id="85" w:name="_Toc63201897"/>
      <w:r>
        <w:rPr>
          <w:rFonts w:hint="eastAsia" w:ascii="仿宋" w:hAnsi="仿宋" w:eastAsia="仿宋" w:cs="仿宋"/>
          <w:sz w:val="28"/>
          <w:szCs w:val="28"/>
        </w:rPr>
        <w:t>预期成果</w:t>
      </w:r>
      <w:bookmarkEnd w:id="84"/>
      <w:bookmarkEnd w:id="85"/>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水库划界主要包括（不限于）以下成果：</w:t>
      </w:r>
    </w:p>
    <w:p>
      <w:pPr>
        <w:numPr>
          <w:ilvl w:val="0"/>
          <w:numId w:val="7"/>
        </w:numPr>
        <w:spacing w:line="560" w:lineRule="exact"/>
        <w:ind w:firstLine="560" w:firstLineChars="200"/>
        <w:rPr>
          <w:rFonts w:ascii="仿宋" w:hAnsi="仿宋" w:eastAsia="仿宋" w:cs="仿宋"/>
          <w:sz w:val="28"/>
          <w:szCs w:val="28"/>
        </w:rPr>
      </w:pPr>
      <w:bookmarkStart w:id="86" w:name="_Toc19808_WPSOffice_Level2"/>
      <w:bookmarkStart w:id="87" w:name="_Toc30646_WPSOffice_Level2"/>
      <w:bookmarkStart w:id="88" w:name="_Toc12373_WPSOffice_Level2"/>
      <w:bookmarkStart w:id="89" w:name="_Toc4695_WPSOffice_Level2"/>
      <w:r>
        <w:rPr>
          <w:rFonts w:hint="eastAsia" w:ascii="仿宋" w:hAnsi="仿宋" w:eastAsia="仿宋" w:cs="仿宋"/>
          <w:sz w:val="28"/>
          <w:szCs w:val="28"/>
        </w:rPr>
        <w:t>划界工作实施方案（含管理范围线及桩牌电子矢量布置图等图件）；</w:t>
      </w:r>
      <w:bookmarkEnd w:id="86"/>
      <w:bookmarkEnd w:id="87"/>
      <w:bookmarkEnd w:id="88"/>
      <w:bookmarkEnd w:id="89"/>
    </w:p>
    <w:p>
      <w:pPr>
        <w:numPr>
          <w:ilvl w:val="0"/>
          <w:numId w:val="7"/>
        </w:numPr>
        <w:spacing w:line="560" w:lineRule="exact"/>
        <w:ind w:firstLine="560" w:firstLineChars="200"/>
        <w:rPr>
          <w:rFonts w:ascii="仿宋" w:hAnsi="仿宋" w:eastAsia="仿宋" w:cs="仿宋"/>
          <w:sz w:val="28"/>
          <w:szCs w:val="28"/>
        </w:rPr>
      </w:pPr>
      <w:bookmarkStart w:id="90" w:name="_Toc26465_WPSOffice_Level2"/>
      <w:bookmarkStart w:id="91" w:name="_Toc21114_WPSOffice_Level2"/>
      <w:bookmarkStart w:id="92" w:name="_Toc25167_WPSOffice_Level2"/>
      <w:bookmarkStart w:id="93" w:name="_Toc16374_WPSOffice_Level2"/>
      <w:r>
        <w:rPr>
          <w:rFonts w:hint="eastAsia" w:ascii="仿宋" w:hAnsi="仿宋" w:eastAsia="仿宋" w:cs="仿宋"/>
          <w:sz w:val="28"/>
          <w:szCs w:val="28"/>
        </w:rPr>
        <w:t>划界现场设置的桩牌成果表（含测量基本控制网点情况）；</w:t>
      </w:r>
      <w:bookmarkEnd w:id="90"/>
      <w:bookmarkEnd w:id="91"/>
      <w:bookmarkEnd w:id="92"/>
      <w:bookmarkEnd w:id="93"/>
    </w:p>
    <w:p>
      <w:pPr>
        <w:numPr>
          <w:ilvl w:val="0"/>
          <w:numId w:val="7"/>
        </w:numPr>
        <w:spacing w:line="560" w:lineRule="exact"/>
        <w:ind w:firstLine="560" w:firstLineChars="200"/>
        <w:rPr>
          <w:rFonts w:ascii="仿宋" w:hAnsi="仿宋" w:eastAsia="仿宋" w:cs="仿宋"/>
          <w:sz w:val="28"/>
          <w:szCs w:val="28"/>
        </w:rPr>
      </w:pPr>
      <w:bookmarkStart w:id="94" w:name="_Toc6955_WPSOffice_Level2"/>
      <w:bookmarkStart w:id="95" w:name="_Toc5739_WPSOffice_Level2"/>
      <w:bookmarkStart w:id="96" w:name="_Toc14009_WPSOffice_Level2"/>
      <w:bookmarkStart w:id="97" w:name="_Toc5998_WPSOffice_Level2"/>
      <w:r>
        <w:rPr>
          <w:rFonts w:hint="eastAsia" w:ascii="仿宋" w:hAnsi="仿宋" w:eastAsia="仿宋" w:cs="仿宋"/>
          <w:sz w:val="28"/>
          <w:szCs w:val="28"/>
        </w:rPr>
        <w:t>划界抽检成果；</w:t>
      </w:r>
      <w:bookmarkEnd w:id="94"/>
      <w:bookmarkEnd w:id="95"/>
      <w:bookmarkEnd w:id="96"/>
      <w:bookmarkEnd w:id="97"/>
    </w:p>
    <w:p>
      <w:pPr>
        <w:numPr>
          <w:ilvl w:val="0"/>
          <w:numId w:val="7"/>
        </w:numPr>
        <w:spacing w:line="560" w:lineRule="exact"/>
        <w:ind w:firstLine="560" w:firstLineChars="200"/>
        <w:rPr>
          <w:rFonts w:ascii="仿宋" w:hAnsi="仿宋" w:eastAsia="仿宋" w:cs="仿宋"/>
          <w:sz w:val="28"/>
          <w:szCs w:val="28"/>
        </w:rPr>
      </w:pPr>
      <w:bookmarkStart w:id="98" w:name="_Toc29268_WPSOffice_Level2"/>
      <w:bookmarkStart w:id="99" w:name="_Toc27466_WPSOffice_Level2"/>
      <w:bookmarkStart w:id="100" w:name="_Toc25662_WPSOffice_Level2"/>
      <w:bookmarkStart w:id="101" w:name="_Toc20651_WPSOffice_Level2"/>
      <w:r>
        <w:rPr>
          <w:rFonts w:hint="eastAsia" w:ascii="仿宋" w:hAnsi="仿宋" w:eastAsia="仿宋" w:cs="仿宋"/>
          <w:sz w:val="28"/>
          <w:szCs w:val="28"/>
        </w:rPr>
        <w:t>验收移交资料</w:t>
      </w:r>
      <w:bookmarkEnd w:id="98"/>
      <w:bookmarkEnd w:id="99"/>
      <w:bookmarkEnd w:id="100"/>
      <w:bookmarkEnd w:id="101"/>
    </w:p>
    <w:p>
      <w:pPr>
        <w:spacing w:line="560" w:lineRule="exact"/>
        <w:ind w:left="560"/>
        <w:jc w:val="center"/>
        <w:rPr>
          <w:rFonts w:ascii="仿宋" w:hAnsi="仿宋" w:eastAsia="仿宋" w:cs="仿宋"/>
          <w:b/>
          <w:sz w:val="28"/>
          <w:szCs w:val="28"/>
        </w:rPr>
      </w:pPr>
      <w:r>
        <w:rPr>
          <w:rFonts w:hint="eastAsia" w:ascii="仿宋" w:hAnsi="仿宋" w:eastAsia="仿宋" w:cs="仿宋"/>
          <w:b/>
          <w:sz w:val="28"/>
          <w:szCs w:val="28"/>
        </w:rPr>
        <w:t xml:space="preserve">太平沟水库管理范围线界桩及标识牌成果表  </w:t>
      </w:r>
    </w:p>
    <w:tbl>
      <w:tblPr>
        <w:tblStyle w:val="15"/>
        <w:tblW w:w="812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2846"/>
        <w:gridCol w:w="278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0" w:type="dxa"/>
            <w:vMerge w:val="restart"/>
            <w:shd w:val="clear" w:color="auto" w:fill="auto"/>
            <w:noWrap/>
            <w:vAlign w:val="center"/>
          </w:tcPr>
          <w:p>
            <w:pPr>
              <w:widowControl/>
              <w:jc w:val="center"/>
              <w:rPr>
                <w:rFonts w:ascii="Times New Roman" w:hAnsi="Times New Roman"/>
                <w:kern w:val="0"/>
                <w:szCs w:val="21"/>
              </w:rPr>
            </w:pPr>
            <w:r>
              <w:rPr>
                <w:rFonts w:ascii="Times New Roman" w:hAnsi="宋体"/>
                <w:kern w:val="0"/>
                <w:szCs w:val="21"/>
              </w:rPr>
              <w:t>桩名（编号）</w:t>
            </w:r>
          </w:p>
        </w:tc>
        <w:tc>
          <w:tcPr>
            <w:tcW w:w="5630" w:type="dxa"/>
            <w:gridSpan w:val="2"/>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坐标（2000坐标系）</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0" w:type="dxa"/>
            <w:vMerge w:val="continue"/>
            <w:shd w:val="clear" w:color="auto" w:fill="auto"/>
            <w:noWrap/>
            <w:vAlign w:val="center"/>
          </w:tcPr>
          <w:p>
            <w:pPr>
              <w:widowControl/>
              <w:jc w:val="center"/>
              <w:rPr>
                <w:rFonts w:ascii="Times New Roman" w:hAnsi="Times New Roman"/>
                <w:kern w:val="0"/>
                <w:szCs w:val="21"/>
              </w:rPr>
            </w:pPr>
          </w:p>
        </w:tc>
        <w:tc>
          <w:tcPr>
            <w:tcW w:w="2846"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X</w:t>
            </w:r>
          </w:p>
        </w:tc>
        <w:tc>
          <w:tcPr>
            <w:tcW w:w="2784"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Y</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0" w:type="dxa"/>
            <w:shd w:val="clear" w:color="auto" w:fill="auto"/>
            <w:noWrap/>
            <w:vAlign w:val="center"/>
          </w:tcPr>
          <w:p>
            <w:pPr>
              <w:widowControl/>
              <w:jc w:val="center"/>
              <w:rPr>
                <w:rFonts w:ascii="Times New Roman" w:hAnsi="Times New Roman"/>
                <w:kern w:val="0"/>
                <w:szCs w:val="21"/>
              </w:rPr>
            </w:pPr>
            <w:bookmarkStart w:id="102" w:name="RANGE!A2:C10"/>
            <w:r>
              <w:rPr>
                <w:rFonts w:ascii="Times New Roman" w:hAnsi="Times New Roman"/>
                <w:kern w:val="0"/>
                <w:szCs w:val="21"/>
              </w:rPr>
              <w:t>tpzsk1</w:t>
            </w:r>
            <w:bookmarkEnd w:id="102"/>
          </w:p>
        </w:tc>
        <w:tc>
          <w:tcPr>
            <w:tcW w:w="2846"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41504552.97</w:t>
            </w:r>
          </w:p>
        </w:tc>
        <w:tc>
          <w:tcPr>
            <w:tcW w:w="2784"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4537690.176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0"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tpzsk2</w:t>
            </w:r>
          </w:p>
        </w:tc>
        <w:tc>
          <w:tcPr>
            <w:tcW w:w="2846"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41504732.18</w:t>
            </w:r>
          </w:p>
        </w:tc>
        <w:tc>
          <w:tcPr>
            <w:tcW w:w="2784"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4537778.981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0"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tpzsk3</w:t>
            </w:r>
          </w:p>
        </w:tc>
        <w:tc>
          <w:tcPr>
            <w:tcW w:w="2846"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41504915.26</w:t>
            </w:r>
          </w:p>
        </w:tc>
        <w:tc>
          <w:tcPr>
            <w:tcW w:w="2784"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4537855.191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0"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tpzsk4</w:t>
            </w:r>
          </w:p>
        </w:tc>
        <w:tc>
          <w:tcPr>
            <w:tcW w:w="2846"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41505131.14</w:t>
            </w:r>
          </w:p>
        </w:tc>
        <w:tc>
          <w:tcPr>
            <w:tcW w:w="2784"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4537867.758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0"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tpzsk5</w:t>
            </w:r>
          </w:p>
        </w:tc>
        <w:tc>
          <w:tcPr>
            <w:tcW w:w="2846"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41505370.36</w:t>
            </w:r>
          </w:p>
        </w:tc>
        <w:tc>
          <w:tcPr>
            <w:tcW w:w="2784"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4537867.917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0"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tpzsk6</w:t>
            </w:r>
          </w:p>
        </w:tc>
        <w:tc>
          <w:tcPr>
            <w:tcW w:w="2846"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41505233.86</w:t>
            </w:r>
          </w:p>
        </w:tc>
        <w:tc>
          <w:tcPr>
            <w:tcW w:w="2784"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4537693.299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0"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tpzsk7</w:t>
            </w:r>
          </w:p>
        </w:tc>
        <w:tc>
          <w:tcPr>
            <w:tcW w:w="2846"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41505045.27</w:t>
            </w:r>
          </w:p>
        </w:tc>
        <w:tc>
          <w:tcPr>
            <w:tcW w:w="2784"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4537626.702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0"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tpzsk8</w:t>
            </w:r>
          </w:p>
        </w:tc>
        <w:tc>
          <w:tcPr>
            <w:tcW w:w="2846"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41504869.74</w:t>
            </w:r>
          </w:p>
        </w:tc>
        <w:tc>
          <w:tcPr>
            <w:tcW w:w="2784"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4537530.851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0"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tpzsk9</w:t>
            </w:r>
          </w:p>
        </w:tc>
        <w:tc>
          <w:tcPr>
            <w:tcW w:w="2846"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41504679.65</w:t>
            </w:r>
          </w:p>
        </w:tc>
        <w:tc>
          <w:tcPr>
            <w:tcW w:w="2784"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4537434.92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0" w:type="dxa"/>
            <w:shd w:val="clear" w:color="auto" w:fill="auto"/>
            <w:noWrap/>
            <w:vAlign w:val="center"/>
          </w:tcPr>
          <w:p>
            <w:pPr>
              <w:widowControl/>
              <w:jc w:val="center"/>
              <w:rPr>
                <w:rFonts w:ascii="Times New Roman" w:hAnsi="Times New Roman"/>
                <w:kern w:val="0"/>
                <w:szCs w:val="21"/>
              </w:rPr>
            </w:pPr>
          </w:p>
        </w:tc>
        <w:tc>
          <w:tcPr>
            <w:tcW w:w="2846" w:type="dxa"/>
            <w:shd w:val="clear" w:color="auto" w:fill="auto"/>
            <w:noWrap/>
            <w:vAlign w:val="center"/>
          </w:tcPr>
          <w:p>
            <w:pPr>
              <w:widowControl/>
              <w:jc w:val="center"/>
              <w:rPr>
                <w:rFonts w:ascii="Times New Roman" w:hAnsi="Times New Roman"/>
                <w:kern w:val="0"/>
                <w:szCs w:val="21"/>
              </w:rPr>
            </w:pPr>
          </w:p>
        </w:tc>
        <w:tc>
          <w:tcPr>
            <w:tcW w:w="2784" w:type="dxa"/>
            <w:shd w:val="clear" w:color="auto" w:fill="auto"/>
            <w:noWrap/>
            <w:vAlign w:val="center"/>
          </w:tcPr>
          <w:p>
            <w:pPr>
              <w:widowControl/>
              <w:jc w:val="center"/>
              <w:rPr>
                <w:rFonts w:ascii="Times New Roman" w:hAnsi="Times New Roman"/>
                <w:kern w:val="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0" w:type="dxa"/>
            <w:shd w:val="clear" w:color="auto" w:fill="auto"/>
            <w:noWrap/>
            <w:vAlign w:val="center"/>
          </w:tcPr>
          <w:p>
            <w:pPr>
              <w:widowControl/>
              <w:jc w:val="center"/>
              <w:rPr>
                <w:rFonts w:ascii="Times New Roman" w:hAnsi="Times New Roman"/>
                <w:kern w:val="0"/>
                <w:szCs w:val="21"/>
              </w:rPr>
            </w:pPr>
          </w:p>
        </w:tc>
        <w:tc>
          <w:tcPr>
            <w:tcW w:w="2846" w:type="dxa"/>
            <w:shd w:val="clear" w:color="auto" w:fill="auto"/>
            <w:noWrap/>
            <w:vAlign w:val="center"/>
          </w:tcPr>
          <w:p>
            <w:pPr>
              <w:widowControl/>
              <w:jc w:val="center"/>
              <w:rPr>
                <w:rFonts w:ascii="Times New Roman" w:hAnsi="Times New Roman"/>
                <w:kern w:val="0"/>
                <w:szCs w:val="21"/>
              </w:rPr>
            </w:pPr>
          </w:p>
        </w:tc>
        <w:tc>
          <w:tcPr>
            <w:tcW w:w="2784" w:type="dxa"/>
            <w:shd w:val="clear" w:color="auto" w:fill="auto"/>
            <w:noWrap/>
            <w:vAlign w:val="center"/>
          </w:tcPr>
          <w:p>
            <w:pPr>
              <w:widowControl/>
              <w:jc w:val="center"/>
              <w:rPr>
                <w:rFonts w:ascii="Times New Roman" w:hAnsi="Times New Roman"/>
                <w:kern w:val="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0" w:type="dxa"/>
            <w:shd w:val="clear" w:color="auto" w:fill="auto"/>
            <w:noWrap/>
            <w:vAlign w:val="center"/>
          </w:tcPr>
          <w:p>
            <w:pPr>
              <w:widowControl/>
              <w:jc w:val="center"/>
              <w:rPr>
                <w:rFonts w:ascii="Times New Roman" w:hAnsi="Times New Roman"/>
                <w:kern w:val="0"/>
                <w:szCs w:val="21"/>
              </w:rPr>
            </w:pPr>
          </w:p>
        </w:tc>
        <w:tc>
          <w:tcPr>
            <w:tcW w:w="2846" w:type="dxa"/>
            <w:shd w:val="clear" w:color="auto" w:fill="auto"/>
            <w:noWrap/>
            <w:vAlign w:val="center"/>
          </w:tcPr>
          <w:p>
            <w:pPr>
              <w:widowControl/>
              <w:jc w:val="center"/>
              <w:rPr>
                <w:rFonts w:ascii="Times New Roman" w:hAnsi="Times New Roman"/>
                <w:kern w:val="0"/>
                <w:szCs w:val="21"/>
              </w:rPr>
            </w:pPr>
          </w:p>
        </w:tc>
        <w:tc>
          <w:tcPr>
            <w:tcW w:w="2784" w:type="dxa"/>
            <w:shd w:val="clear" w:color="auto" w:fill="auto"/>
            <w:noWrap/>
            <w:vAlign w:val="center"/>
          </w:tcPr>
          <w:p>
            <w:pPr>
              <w:widowControl/>
              <w:jc w:val="center"/>
              <w:rPr>
                <w:rFonts w:ascii="Times New Roman" w:hAnsi="Times New Roman"/>
                <w:kern w:val="0"/>
                <w:szCs w:val="21"/>
              </w:rPr>
            </w:pPr>
          </w:p>
        </w:tc>
      </w:tr>
    </w:tbl>
    <w:p>
      <w:pPr>
        <w:spacing w:line="560" w:lineRule="exact"/>
        <w:rPr>
          <w:rFonts w:ascii="仿宋" w:hAnsi="仿宋" w:eastAsia="仿宋" w:cs="仿宋"/>
          <w:sz w:val="28"/>
          <w:szCs w:val="28"/>
        </w:rPr>
        <w:sectPr>
          <w:headerReference r:id="rId10" w:type="default"/>
          <w:pgSz w:w="11906" w:h="16838"/>
          <w:pgMar w:top="1984" w:right="1417" w:bottom="1417" w:left="1417" w:header="1417" w:footer="1134" w:gutter="0"/>
          <w:cols w:space="720" w:num="1"/>
          <w:docGrid w:type="lines" w:linePitch="312" w:charSpace="0"/>
        </w:sectPr>
      </w:pPr>
    </w:p>
    <w:p>
      <w:pPr>
        <w:pStyle w:val="22"/>
        <w:pageBreakBefore/>
        <w:spacing w:line="560" w:lineRule="exact"/>
        <w:ind w:firstLine="0" w:firstLineChars="0"/>
        <w:rPr>
          <w:rFonts w:ascii="仿宋" w:hAnsi="仿宋" w:eastAsia="仿宋" w:cs="仿宋"/>
          <w:b/>
          <w:bCs/>
          <w:sz w:val="28"/>
          <w:szCs w:val="28"/>
        </w:rPr>
      </w:pPr>
    </w:p>
    <w:sectPr>
      <w:footerReference r:id="rId11"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2FF" w:usb1="400004FF" w:usb2="00000000" w:usb3="00000000" w:csb0="2000019F" w:csb1="00000000"/>
  </w:font>
  <w:font w:name="宋体fal">
    <w:altName w:val="宋体"/>
    <w:panose1 w:val="00000000000000000000"/>
    <w:charset w:val="86"/>
    <w:family w:val="roman"/>
    <w:pitch w:val="default"/>
    <w:sig w:usb0="00000000" w:usb1="00000000" w:usb2="00000010" w:usb3="00000000" w:csb0="00040000" w:csb1="00000000"/>
  </w:font>
  <w:font w:name="Calibri Light">
    <w:panose1 w:val="020F03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文本框 42" o:spid="_x0000_s4098" o:spt="202" type="#_x0000_t202" style="position:absolute;left:0pt;margin-top:0pt;height:144pt;width:144pt;mso-position-horizontal:center;mso-position-horizontal-relative:margin;mso-wrap-style:none;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sYgIAAAwFAAAOAAAAZHJzL2Uyb0RvYy54bWysVE1uEzEU3iNxB8t7OmmAKoo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R+dWsYgIAAAwFAAAOAAAAAAAAAAAAAAAAAC4CAABkcnMvZTJvRG9jLnht&#10;bFBLAQItABQABgAIAAAAIQBxqtG51wAAAAUBAAAPAAAAAAAAAAAAAAAAALwEAABkcnMvZG93bnJl&#10;di54bWxQSwUGAAAAAAQABADzAAAAwAUAAAAA&#10;">
          <v:path/>
          <v:fill on="f" focussize="0,0"/>
          <v:stroke on="f" weight="0.5pt" joinstyle="miter"/>
          <v:imagedata o:title=""/>
          <o:lock v:ext="edit"/>
          <v:textbox inset="0mm,0mm,0mm,0mm" style="mso-fit-shape-to-text:t;">
            <w:txbxContent>
              <w:p>
                <w:pPr>
                  <w:pStyle w:val="10"/>
                  <w:rPr>
                    <w:rFonts w:ascii="仿宋" w:hAnsi="仿宋" w:eastAsia="仿宋" w:cs="仿宋"/>
                    <w:sz w:val="24"/>
                  </w:rPr>
                </w:pPr>
              </w:p>
            </w:txbxContent>
          </v:textbox>
        </v:shape>
      </w:pict>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_x0000_s4097" o:spid="_x0000_s4097" o:spt="202" type="#_x0000_t202" style="position:absolute;left:0pt;margin-top:0pt;height:144pt;width:144pt;mso-position-horizontal:center;mso-position-horizontal-relative:margin;mso-wrap-style:none;z-index:2516623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TDYgIAABE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PvYyzU1O7Q40LAj0cuLFm24FDG9FQFLgdZh0dMV&#10;Dm0IdNMocbah8Plv9xmPWYWWsw5LVnOHV4Az89phhvM+TkKYhPUkuFt7RugB5hK5FBEGIZlJ1IHs&#10;R2z/KseASjiJSDVPk3iWhkXH6yHValVA2Dov0qW79jK7Lj33q9uEUSoTlrkZmBg5w96VGR3fiLzY&#10;v/8X1P1Ltvw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6WWTDYgIAABEFAAAOAAAAAAAAAAAAAAAAAC4CAABkcnMvZTJvRG9jLnht&#10;bFBLAQItABQABgAIAAAAIQBxqtG51wAAAAUBAAAPAAAAAAAAAAAAAAAAALwEAABkcnMvZG93bnJl&#10;di54bWxQSwUGAAAAAAQABADzAAAAwAUAAAAA&#10;">
          <v:path/>
          <v:fill on="f" focussize="0,0"/>
          <v:stroke on="f" weight="0.5pt" joinstyle="miter"/>
          <v:imagedata o:title=""/>
          <o:lock v:ext="edit"/>
          <v:textbox inset="0mm,0mm,0mm,0mm" style="mso-fit-shape-to-text:t;">
            <w:txbxContent>
              <w:p>
                <w:pPr>
                  <w:pStyle w:val="1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PAGE  \* MERGEFORMAT </w:instrText>
                </w:r>
                <w:r>
                  <w:rPr>
                    <w:rFonts w:hint="eastAsia" w:ascii="仿宋" w:hAnsi="仿宋" w:eastAsia="仿宋" w:cs="仿宋"/>
                    <w:sz w:val="24"/>
                  </w:rPr>
                  <w:fldChar w:fldCharType="separate"/>
                </w:r>
                <w:r>
                  <w:rPr>
                    <w:rFonts w:ascii="仿宋" w:hAnsi="仿宋" w:eastAsia="仿宋" w:cs="仿宋"/>
                    <w:sz w:val="24"/>
                  </w:rPr>
                  <w:t>25</w:t>
                </w:r>
                <w:r>
                  <w:rPr>
                    <w:rFonts w:hint="eastAsia" w:ascii="仿宋" w:hAnsi="仿宋" w:eastAsia="仿宋" w:cs="仿宋"/>
                    <w:sz w:val="24"/>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000000" w:sz="4" w:space="1"/>
      </w:pBdr>
    </w:pPr>
    <w:r>
      <w:rPr>
        <w:rFonts w:hint="eastAsia"/>
      </w:rPr>
      <w:t>东港市河湖管理与保护范围划界工作实施方案（杨家河）基本情况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000000" w:sz="4" w:space="1"/>
      </w:pBdr>
    </w:pPr>
    <w:r>
      <w:rPr>
        <w:rFonts w:hint="eastAsia"/>
      </w:rPr>
      <w:t>东港市河湖管理与保护范围划界工作实施方案（杨家河）保障措施</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E88795"/>
    <w:multiLevelType w:val="singleLevel"/>
    <w:tmpl w:val="96E88795"/>
    <w:lvl w:ilvl="0" w:tentative="0">
      <w:start w:val="1"/>
      <w:numFmt w:val="decimal"/>
      <w:suff w:val="nothing"/>
      <w:lvlText w:val="（%1）"/>
      <w:lvlJc w:val="left"/>
    </w:lvl>
  </w:abstractNum>
  <w:abstractNum w:abstractNumId="1">
    <w:nsid w:val="A5C744C6"/>
    <w:multiLevelType w:val="singleLevel"/>
    <w:tmpl w:val="A5C744C6"/>
    <w:lvl w:ilvl="0" w:tentative="0">
      <w:start w:val="1"/>
      <w:numFmt w:val="chineseCounting"/>
      <w:suff w:val="nothing"/>
      <w:lvlText w:val="%1、"/>
      <w:lvlJc w:val="left"/>
      <w:rPr>
        <w:rFonts w:hint="eastAsia"/>
      </w:rPr>
    </w:lvl>
  </w:abstractNum>
  <w:abstractNum w:abstractNumId="2">
    <w:nsid w:val="BBAADC6F"/>
    <w:multiLevelType w:val="singleLevel"/>
    <w:tmpl w:val="BBAADC6F"/>
    <w:lvl w:ilvl="0" w:tentative="0">
      <w:start w:val="1"/>
      <w:numFmt w:val="decimal"/>
      <w:suff w:val="nothing"/>
      <w:lvlText w:val="%1）"/>
      <w:lvlJc w:val="left"/>
    </w:lvl>
  </w:abstractNum>
  <w:abstractNum w:abstractNumId="3">
    <w:nsid w:val="0CD4AF42"/>
    <w:multiLevelType w:val="singleLevel"/>
    <w:tmpl w:val="0CD4AF42"/>
    <w:lvl w:ilvl="0" w:tentative="0">
      <w:start w:val="1"/>
      <w:numFmt w:val="decimal"/>
      <w:suff w:val="nothing"/>
      <w:lvlText w:val="%1）"/>
      <w:lvlJc w:val="left"/>
    </w:lvl>
  </w:abstractNum>
  <w:abstractNum w:abstractNumId="4">
    <w:nsid w:val="0F902780"/>
    <w:multiLevelType w:val="singleLevel"/>
    <w:tmpl w:val="0F902780"/>
    <w:lvl w:ilvl="0" w:tentative="0">
      <w:start w:val="3"/>
      <w:numFmt w:val="decimal"/>
      <w:suff w:val="nothing"/>
      <w:lvlText w:val="%1）"/>
      <w:lvlJc w:val="left"/>
    </w:lvl>
  </w:abstractNum>
  <w:abstractNum w:abstractNumId="5">
    <w:nsid w:val="2B5804FC"/>
    <w:multiLevelType w:val="singleLevel"/>
    <w:tmpl w:val="2B5804FC"/>
    <w:lvl w:ilvl="0" w:tentative="0">
      <w:start w:val="1"/>
      <w:numFmt w:val="decimal"/>
      <w:suff w:val="nothing"/>
      <w:lvlText w:val="%1）"/>
      <w:lvlJc w:val="left"/>
    </w:lvl>
  </w:abstractNum>
  <w:abstractNum w:abstractNumId="6">
    <w:nsid w:val="7571A2CB"/>
    <w:multiLevelType w:val="singleLevel"/>
    <w:tmpl w:val="7571A2CB"/>
    <w:lvl w:ilvl="0" w:tentative="0">
      <w:start w:val="1"/>
      <w:numFmt w:val="decimal"/>
      <w:suff w:val="nothing"/>
      <w:lvlText w:val="%1）"/>
      <w:lvlJc w:val="left"/>
    </w:lvl>
  </w:abstractNum>
  <w:num w:numId="1">
    <w:abstractNumId w:val="1"/>
  </w:num>
  <w:num w:numId="2">
    <w:abstractNumId w:val="2"/>
  </w:num>
  <w:num w:numId="3">
    <w:abstractNumId w:val="5"/>
  </w:num>
  <w:num w:numId="4">
    <w:abstractNumId w:val="4"/>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GRmZjUxMzQ2Y2JlMTQ0Y2QyNDYxYWNlMzEyMjUwZTEifQ=="/>
  </w:docVars>
  <w:rsids>
    <w:rsidRoot w:val="00802093"/>
    <w:rsid w:val="000059F7"/>
    <w:rsid w:val="00021819"/>
    <w:rsid w:val="000328AE"/>
    <w:rsid w:val="00094037"/>
    <w:rsid w:val="000C1684"/>
    <w:rsid w:val="000C5DB5"/>
    <w:rsid w:val="000C7036"/>
    <w:rsid w:val="000F0051"/>
    <w:rsid w:val="00102445"/>
    <w:rsid w:val="00105B19"/>
    <w:rsid w:val="00115663"/>
    <w:rsid w:val="00123CF9"/>
    <w:rsid w:val="001307BB"/>
    <w:rsid w:val="00137379"/>
    <w:rsid w:val="001440EC"/>
    <w:rsid w:val="00184047"/>
    <w:rsid w:val="001860EE"/>
    <w:rsid w:val="001A04C7"/>
    <w:rsid w:val="001B086D"/>
    <w:rsid w:val="001B7487"/>
    <w:rsid w:val="001D4C1C"/>
    <w:rsid w:val="001F23D9"/>
    <w:rsid w:val="00211ED4"/>
    <w:rsid w:val="002464FF"/>
    <w:rsid w:val="002644AB"/>
    <w:rsid w:val="0027252F"/>
    <w:rsid w:val="00277097"/>
    <w:rsid w:val="002B3B96"/>
    <w:rsid w:val="002B567A"/>
    <w:rsid w:val="002C49D2"/>
    <w:rsid w:val="002C7488"/>
    <w:rsid w:val="00302F1F"/>
    <w:rsid w:val="003045AB"/>
    <w:rsid w:val="00311D42"/>
    <w:rsid w:val="0032234A"/>
    <w:rsid w:val="00341747"/>
    <w:rsid w:val="003528D9"/>
    <w:rsid w:val="00354107"/>
    <w:rsid w:val="00364FBC"/>
    <w:rsid w:val="003710C7"/>
    <w:rsid w:val="00387657"/>
    <w:rsid w:val="00396C90"/>
    <w:rsid w:val="003D33AE"/>
    <w:rsid w:val="003D4FA5"/>
    <w:rsid w:val="00401CB2"/>
    <w:rsid w:val="0040603E"/>
    <w:rsid w:val="00416059"/>
    <w:rsid w:val="00433EFA"/>
    <w:rsid w:val="004451AC"/>
    <w:rsid w:val="00451308"/>
    <w:rsid w:val="00460C06"/>
    <w:rsid w:val="00486C4C"/>
    <w:rsid w:val="004D04DB"/>
    <w:rsid w:val="004F04FE"/>
    <w:rsid w:val="00503B9F"/>
    <w:rsid w:val="00505AFC"/>
    <w:rsid w:val="005172BC"/>
    <w:rsid w:val="005247E6"/>
    <w:rsid w:val="0053588F"/>
    <w:rsid w:val="00543CE2"/>
    <w:rsid w:val="00565015"/>
    <w:rsid w:val="00570970"/>
    <w:rsid w:val="00592981"/>
    <w:rsid w:val="00593F1B"/>
    <w:rsid w:val="005A6529"/>
    <w:rsid w:val="005B623D"/>
    <w:rsid w:val="005B642A"/>
    <w:rsid w:val="005D6338"/>
    <w:rsid w:val="005D66E8"/>
    <w:rsid w:val="0061195E"/>
    <w:rsid w:val="006352F4"/>
    <w:rsid w:val="0064150B"/>
    <w:rsid w:val="006641F2"/>
    <w:rsid w:val="006B524C"/>
    <w:rsid w:val="00706C98"/>
    <w:rsid w:val="0071421D"/>
    <w:rsid w:val="00727E17"/>
    <w:rsid w:val="00744EDA"/>
    <w:rsid w:val="00802093"/>
    <w:rsid w:val="008068ED"/>
    <w:rsid w:val="00811E07"/>
    <w:rsid w:val="008271FA"/>
    <w:rsid w:val="00880DC6"/>
    <w:rsid w:val="00885DEF"/>
    <w:rsid w:val="008A4089"/>
    <w:rsid w:val="008B3E84"/>
    <w:rsid w:val="008C07CA"/>
    <w:rsid w:val="008E75BA"/>
    <w:rsid w:val="008F57A8"/>
    <w:rsid w:val="009250A6"/>
    <w:rsid w:val="00951CE2"/>
    <w:rsid w:val="009634C3"/>
    <w:rsid w:val="0098337C"/>
    <w:rsid w:val="0099091C"/>
    <w:rsid w:val="00994716"/>
    <w:rsid w:val="009A1F6D"/>
    <w:rsid w:val="009A66C3"/>
    <w:rsid w:val="009B6E13"/>
    <w:rsid w:val="009C0EC7"/>
    <w:rsid w:val="009F718B"/>
    <w:rsid w:val="00A055E9"/>
    <w:rsid w:val="00A12BBD"/>
    <w:rsid w:val="00A3127D"/>
    <w:rsid w:val="00A40B22"/>
    <w:rsid w:val="00A538D2"/>
    <w:rsid w:val="00A73734"/>
    <w:rsid w:val="00A73999"/>
    <w:rsid w:val="00A80C4A"/>
    <w:rsid w:val="00A93F60"/>
    <w:rsid w:val="00AC76B9"/>
    <w:rsid w:val="00AD7549"/>
    <w:rsid w:val="00AE2EDF"/>
    <w:rsid w:val="00B27774"/>
    <w:rsid w:val="00B43DC1"/>
    <w:rsid w:val="00B52E81"/>
    <w:rsid w:val="00B543C1"/>
    <w:rsid w:val="00B94581"/>
    <w:rsid w:val="00BA4C9A"/>
    <w:rsid w:val="00BC184F"/>
    <w:rsid w:val="00BC2AE4"/>
    <w:rsid w:val="00BE433E"/>
    <w:rsid w:val="00BE7A95"/>
    <w:rsid w:val="00C06C12"/>
    <w:rsid w:val="00C10667"/>
    <w:rsid w:val="00C15652"/>
    <w:rsid w:val="00C2661E"/>
    <w:rsid w:val="00C35EEF"/>
    <w:rsid w:val="00C55C55"/>
    <w:rsid w:val="00C85CC3"/>
    <w:rsid w:val="00C86014"/>
    <w:rsid w:val="00C9171F"/>
    <w:rsid w:val="00CA23BE"/>
    <w:rsid w:val="00CA3BDF"/>
    <w:rsid w:val="00CE6CFC"/>
    <w:rsid w:val="00D17B9B"/>
    <w:rsid w:val="00D20FFE"/>
    <w:rsid w:val="00D57ABD"/>
    <w:rsid w:val="00D65EC4"/>
    <w:rsid w:val="00D732BB"/>
    <w:rsid w:val="00DC206E"/>
    <w:rsid w:val="00DD176E"/>
    <w:rsid w:val="00DD538C"/>
    <w:rsid w:val="00DE2344"/>
    <w:rsid w:val="00DF2DE2"/>
    <w:rsid w:val="00E00D70"/>
    <w:rsid w:val="00E3478B"/>
    <w:rsid w:val="00E5725C"/>
    <w:rsid w:val="00E80C97"/>
    <w:rsid w:val="00E8108C"/>
    <w:rsid w:val="00EB2113"/>
    <w:rsid w:val="00EC7D27"/>
    <w:rsid w:val="00F01F72"/>
    <w:rsid w:val="00F46C04"/>
    <w:rsid w:val="00F550F1"/>
    <w:rsid w:val="00F55C0D"/>
    <w:rsid w:val="00F86B3B"/>
    <w:rsid w:val="00FA415E"/>
    <w:rsid w:val="00FA7880"/>
    <w:rsid w:val="00FC7F99"/>
    <w:rsid w:val="00FF422A"/>
    <w:rsid w:val="0E5F3BF1"/>
    <w:rsid w:val="1B904344"/>
    <w:rsid w:val="1D6A3058"/>
    <w:rsid w:val="27420504"/>
    <w:rsid w:val="29FE0C62"/>
    <w:rsid w:val="31B61620"/>
    <w:rsid w:val="332654DA"/>
    <w:rsid w:val="3BC02747"/>
    <w:rsid w:val="406559EF"/>
    <w:rsid w:val="45F9669C"/>
    <w:rsid w:val="478A5FD7"/>
    <w:rsid w:val="48462B63"/>
    <w:rsid w:val="49AF2589"/>
    <w:rsid w:val="4AC474C0"/>
    <w:rsid w:val="4B90368E"/>
    <w:rsid w:val="4E227413"/>
    <w:rsid w:val="4E270656"/>
    <w:rsid w:val="4EB101F1"/>
    <w:rsid w:val="4FFB4720"/>
    <w:rsid w:val="544918E4"/>
    <w:rsid w:val="5DDD19DB"/>
    <w:rsid w:val="5E9D1909"/>
    <w:rsid w:val="5EDC76FD"/>
    <w:rsid w:val="64E8242F"/>
    <w:rsid w:val="67501567"/>
    <w:rsid w:val="678A1924"/>
    <w:rsid w:val="69633A06"/>
    <w:rsid w:val="6DA97DA9"/>
    <w:rsid w:val="70315697"/>
    <w:rsid w:val="78BC0744"/>
    <w:rsid w:val="7DEE19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9"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semiHidden="0" w:name="toc 1"/>
    <w:lsdException w:uiPriority="39" w:semiHidden="0" w:name="toc 2"/>
    <w:lsdException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iPriority="0" w:semiHidden="0" w:name="Body Text Indent 2"/>
    <w:lsdException w:uiPriority="0" w:name="Body Text Indent 3"/>
    <w:lsdException w:uiPriority="0" w:name="Block Text"/>
    <w:lsdException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7"/>
    <w:qFormat/>
    <w:uiPriority w:val="0"/>
    <w:pPr>
      <w:keepNext/>
      <w:keepLines/>
      <w:spacing w:before="340" w:after="330" w:line="578" w:lineRule="auto"/>
      <w:outlineLvl w:val="0"/>
    </w:pPr>
    <w:rPr>
      <w:b/>
      <w:bCs/>
      <w:kern w:val="44"/>
      <w:sz w:val="44"/>
      <w:szCs w:val="44"/>
    </w:rPr>
  </w:style>
  <w:style w:type="paragraph" w:styleId="3">
    <w:name w:val="heading 4"/>
    <w:basedOn w:val="1"/>
    <w:next w:val="1"/>
    <w:link w:val="31"/>
    <w:qFormat/>
    <w:uiPriority w:val="9"/>
    <w:pPr>
      <w:keepNext/>
      <w:keepLines/>
      <w:spacing w:before="280" w:after="290" w:line="376" w:lineRule="auto"/>
      <w:outlineLvl w:val="3"/>
    </w:pPr>
    <w:rPr>
      <w:rFonts w:ascii="Cambria" w:hAnsi="Cambria"/>
      <w:b/>
      <w:bCs/>
      <w:sz w:val="28"/>
      <w:szCs w:val="28"/>
    </w:rPr>
  </w:style>
  <w:style w:type="paragraph" w:styleId="4">
    <w:name w:val="heading 5"/>
    <w:basedOn w:val="1"/>
    <w:next w:val="1"/>
    <w:link w:val="32"/>
    <w:unhideWhenUsed/>
    <w:qFormat/>
    <w:uiPriority w:val="9"/>
    <w:pPr>
      <w:keepNext/>
      <w:keepLines/>
      <w:jc w:val="left"/>
      <w:outlineLvl w:val="4"/>
    </w:pPr>
    <w:rPr>
      <w:rFonts w:ascii="Times New Roman"/>
      <w:bCs/>
      <w:szCs w:val="28"/>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spacing w:line="500" w:lineRule="exact"/>
      <w:ind w:firstLine="420"/>
    </w:pPr>
    <w:rPr>
      <w:sz w:val="28"/>
      <w:szCs w:val="20"/>
    </w:rPr>
  </w:style>
  <w:style w:type="paragraph" w:styleId="6">
    <w:name w:val="Document Map"/>
    <w:basedOn w:val="1"/>
    <w:link w:val="36"/>
    <w:semiHidden/>
    <w:unhideWhenUsed/>
    <w:uiPriority w:val="0"/>
    <w:rPr>
      <w:rFonts w:ascii="宋体"/>
      <w:sz w:val="18"/>
      <w:szCs w:val="18"/>
    </w:rPr>
  </w:style>
  <w:style w:type="paragraph" w:styleId="7">
    <w:name w:val="toc 3"/>
    <w:basedOn w:val="1"/>
    <w:next w:val="1"/>
    <w:unhideWhenUsed/>
    <w:uiPriority w:val="39"/>
    <w:pPr>
      <w:ind w:left="840" w:leftChars="400"/>
    </w:pPr>
  </w:style>
  <w:style w:type="paragraph" w:styleId="8">
    <w:name w:val="Body Text Indent 2"/>
    <w:basedOn w:val="1"/>
    <w:link w:val="35"/>
    <w:unhideWhenUsed/>
    <w:qFormat/>
    <w:uiPriority w:val="0"/>
    <w:pPr>
      <w:ind w:firstLine="420"/>
    </w:pPr>
    <w:rPr>
      <w:rFonts w:ascii="Times New Roman" w:hAnsi="Times New Roman"/>
      <w:sz w:val="28"/>
      <w:szCs w:val="20"/>
    </w:rPr>
  </w:style>
  <w:style w:type="paragraph" w:styleId="9">
    <w:name w:val="Balloon Text"/>
    <w:basedOn w:val="1"/>
    <w:link w:val="30"/>
    <w:uiPriority w:val="0"/>
    <w:rPr>
      <w:sz w:val="18"/>
      <w:szCs w:val="18"/>
    </w:rPr>
  </w:style>
  <w:style w:type="paragraph" w:styleId="10">
    <w:name w:val="footer"/>
    <w:basedOn w:val="1"/>
    <w:link w:val="34"/>
    <w:qFormat/>
    <w:uiPriority w:val="0"/>
    <w:pPr>
      <w:tabs>
        <w:tab w:val="center" w:pos="4153"/>
        <w:tab w:val="right" w:pos="8306"/>
      </w:tabs>
      <w:snapToGrid w:val="0"/>
      <w:jc w:val="left"/>
    </w:pPr>
    <w:rPr>
      <w:sz w:val="18"/>
    </w:rPr>
  </w:style>
  <w:style w:type="paragraph" w:styleId="11">
    <w:name w:val="header"/>
    <w:basedOn w:val="1"/>
    <w:link w:val="3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unhideWhenUsed/>
    <w:uiPriority w:val="39"/>
  </w:style>
  <w:style w:type="paragraph" w:styleId="13">
    <w:name w:val="toc 2"/>
    <w:basedOn w:val="1"/>
    <w:next w:val="1"/>
    <w:unhideWhenUsed/>
    <w:uiPriority w:val="39"/>
    <w:pPr>
      <w:ind w:left="420" w:leftChars="200"/>
    </w:pPr>
  </w:style>
  <w:style w:type="paragraph" w:styleId="14">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qFormat/>
    <w:uiPriority w:val="0"/>
    <w:rPr>
      <w:rFonts w:cs="Times New Roman"/>
    </w:rPr>
  </w:style>
  <w:style w:type="character" w:styleId="19">
    <w:name w:val="Hyperlink"/>
    <w:basedOn w:val="17"/>
    <w:unhideWhenUsed/>
    <w:uiPriority w:val="99"/>
    <w:rPr>
      <w:color w:val="0000FF"/>
      <w:u w:val="single"/>
    </w:rPr>
  </w:style>
  <w:style w:type="character" w:styleId="20">
    <w:name w:val="annotation reference"/>
    <w:qFormat/>
    <w:uiPriority w:val="0"/>
    <w:rPr>
      <w:sz w:val="21"/>
      <w:szCs w:val="21"/>
    </w:rPr>
  </w:style>
  <w:style w:type="paragraph" w:customStyle="1" w:styleId="21">
    <w:name w:val="何双"/>
    <w:basedOn w:val="1"/>
    <w:qFormat/>
    <w:uiPriority w:val="0"/>
    <w:pPr>
      <w:widowControl/>
      <w:kinsoku w:val="0"/>
      <w:overflowPunct w:val="0"/>
      <w:spacing w:line="560" w:lineRule="exact"/>
      <w:ind w:firstLine="630" w:firstLineChars="225"/>
    </w:pPr>
    <w:rPr>
      <w:rFonts w:hAnsi="宋体"/>
      <w:kern w:val="0"/>
      <w:sz w:val="28"/>
    </w:rPr>
  </w:style>
  <w:style w:type="paragraph" w:customStyle="1" w:styleId="22">
    <w:name w:val="啊、"/>
    <w:basedOn w:val="1"/>
    <w:qFormat/>
    <w:uiPriority w:val="99"/>
    <w:pPr>
      <w:widowControl/>
      <w:overflowPunct w:val="0"/>
      <w:spacing w:line="440" w:lineRule="exact"/>
      <w:ind w:firstLine="540" w:firstLineChars="225"/>
      <w:jc w:val="left"/>
    </w:pPr>
    <w:rPr>
      <w:rFonts w:eastAsia="宋体fal"/>
      <w:kern w:val="0"/>
      <w:sz w:val="24"/>
    </w:rPr>
  </w:style>
  <w:style w:type="paragraph" w:styleId="23">
    <w:name w:val="List Paragraph"/>
    <w:basedOn w:val="1"/>
    <w:qFormat/>
    <w:uiPriority w:val="34"/>
    <w:pPr>
      <w:ind w:firstLine="420" w:firstLineChars="200"/>
    </w:pPr>
  </w:style>
  <w:style w:type="character" w:customStyle="1" w:styleId="24">
    <w:name w:val="font21"/>
    <w:uiPriority w:val="0"/>
    <w:rPr>
      <w:rFonts w:hint="eastAsia" w:ascii="宋体" w:hAnsi="宋体" w:eastAsia="宋体" w:cs="宋体"/>
      <w:color w:val="000000"/>
      <w:sz w:val="22"/>
      <w:szCs w:val="22"/>
      <w:u w:val="none"/>
    </w:rPr>
  </w:style>
  <w:style w:type="character" w:customStyle="1" w:styleId="25">
    <w:name w:val="font01"/>
    <w:qFormat/>
    <w:uiPriority w:val="0"/>
    <w:rPr>
      <w:rFonts w:hint="eastAsia" w:ascii="宋体" w:hAnsi="宋体" w:eastAsia="宋体" w:cs="宋体"/>
      <w:color w:val="000000"/>
      <w:sz w:val="20"/>
      <w:szCs w:val="20"/>
      <w:u w:val="none"/>
      <w:vertAlign w:val="superscript"/>
    </w:rPr>
  </w:style>
  <w:style w:type="character" w:customStyle="1" w:styleId="26">
    <w:name w:val="font31"/>
    <w:basedOn w:val="17"/>
    <w:uiPriority w:val="0"/>
    <w:rPr>
      <w:rFonts w:hint="eastAsia" w:ascii="宋体" w:hAnsi="宋体" w:eastAsia="宋体" w:cs="宋体"/>
      <w:color w:val="000000"/>
      <w:sz w:val="18"/>
      <w:szCs w:val="18"/>
      <w:u w:val="none"/>
    </w:rPr>
  </w:style>
  <w:style w:type="character" w:customStyle="1" w:styleId="27">
    <w:name w:val="font11"/>
    <w:basedOn w:val="17"/>
    <w:qFormat/>
    <w:uiPriority w:val="0"/>
    <w:rPr>
      <w:rFonts w:hint="eastAsia" w:ascii="宋体" w:hAnsi="宋体" w:eastAsia="宋体" w:cs="宋体"/>
      <w:color w:val="000000"/>
      <w:sz w:val="22"/>
      <w:szCs w:val="22"/>
      <w:u w:val="none"/>
    </w:r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customStyle="1" w:styleId="29">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0">
    <w:name w:val="批注框文本 Char"/>
    <w:basedOn w:val="17"/>
    <w:link w:val="9"/>
    <w:qFormat/>
    <w:uiPriority w:val="0"/>
    <w:rPr>
      <w:rFonts w:ascii="Calibri" w:hAnsi="Calibri"/>
      <w:kern w:val="2"/>
      <w:sz w:val="18"/>
      <w:szCs w:val="18"/>
    </w:rPr>
  </w:style>
  <w:style w:type="character" w:customStyle="1" w:styleId="31">
    <w:name w:val="标题 4 Char"/>
    <w:basedOn w:val="17"/>
    <w:link w:val="3"/>
    <w:qFormat/>
    <w:uiPriority w:val="9"/>
    <w:rPr>
      <w:rFonts w:ascii="Cambria" w:hAnsi="Cambria"/>
      <w:b/>
      <w:bCs/>
      <w:kern w:val="2"/>
      <w:sz w:val="28"/>
      <w:szCs w:val="28"/>
    </w:rPr>
  </w:style>
  <w:style w:type="character" w:customStyle="1" w:styleId="32">
    <w:name w:val="标题 5 Char"/>
    <w:basedOn w:val="17"/>
    <w:link w:val="4"/>
    <w:qFormat/>
    <w:uiPriority w:val="9"/>
    <w:rPr>
      <w:rFonts w:hAnsi="Calibri"/>
      <w:bCs/>
      <w:kern w:val="2"/>
      <w:sz w:val="21"/>
      <w:szCs w:val="28"/>
    </w:rPr>
  </w:style>
  <w:style w:type="character" w:customStyle="1" w:styleId="33">
    <w:name w:val="页眉 Char"/>
    <w:basedOn w:val="17"/>
    <w:link w:val="11"/>
    <w:qFormat/>
    <w:uiPriority w:val="0"/>
    <w:rPr>
      <w:rFonts w:ascii="Calibri" w:hAnsi="Calibri"/>
      <w:kern w:val="2"/>
      <w:sz w:val="18"/>
      <w:szCs w:val="24"/>
    </w:rPr>
  </w:style>
  <w:style w:type="character" w:customStyle="1" w:styleId="34">
    <w:name w:val="页脚 Char"/>
    <w:basedOn w:val="17"/>
    <w:link w:val="10"/>
    <w:qFormat/>
    <w:uiPriority w:val="0"/>
    <w:rPr>
      <w:rFonts w:ascii="Calibri" w:hAnsi="Calibri"/>
      <w:kern w:val="2"/>
      <w:sz w:val="18"/>
      <w:szCs w:val="24"/>
    </w:rPr>
  </w:style>
  <w:style w:type="character" w:customStyle="1" w:styleId="35">
    <w:name w:val="正文文本缩进 2 Char"/>
    <w:basedOn w:val="17"/>
    <w:link w:val="8"/>
    <w:uiPriority w:val="0"/>
    <w:rPr>
      <w:kern w:val="2"/>
      <w:sz w:val="28"/>
    </w:rPr>
  </w:style>
  <w:style w:type="character" w:customStyle="1" w:styleId="36">
    <w:name w:val="文档结构图 Char"/>
    <w:basedOn w:val="17"/>
    <w:link w:val="6"/>
    <w:semiHidden/>
    <w:qFormat/>
    <w:uiPriority w:val="0"/>
    <w:rPr>
      <w:rFonts w:ascii="宋体" w:hAnsi="Calibri" w:eastAsia="宋体" w:cs="Times New Roman"/>
      <w:kern w:val="2"/>
      <w:sz w:val="18"/>
      <w:szCs w:val="18"/>
    </w:rPr>
  </w:style>
  <w:style w:type="character" w:customStyle="1" w:styleId="37">
    <w:name w:val="标题 1 Char"/>
    <w:basedOn w:val="17"/>
    <w:link w:val="2"/>
    <w:uiPriority w:val="0"/>
    <w:rPr>
      <w:rFonts w:ascii="Calibri" w:hAnsi="Calibri" w:eastAsia="宋体" w:cs="Times New Roman"/>
      <w:b/>
      <w:bCs/>
      <w:kern w:val="44"/>
      <w:sz w:val="44"/>
      <w:szCs w:val="44"/>
    </w:rPr>
  </w:style>
  <w:style w:type="paragraph" w:customStyle="1" w:styleId="38">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5"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4098"/>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4054EA-287D-4888-A7B3-2210F1E2284F}">
  <ds:schemaRefs/>
</ds:datastoreItem>
</file>

<file path=docProps/app.xml><?xml version="1.0" encoding="utf-8"?>
<Properties xmlns="http://schemas.openxmlformats.org/officeDocument/2006/extended-properties" xmlns:vt="http://schemas.openxmlformats.org/officeDocument/2006/docPropsVTypes">
  <Template>Normal</Template>
  <Pages>35</Pages>
  <Words>12484</Words>
  <Characters>13932</Characters>
  <Lines>123</Lines>
  <Paragraphs>34</Paragraphs>
  <TotalTime>0</TotalTime>
  <ScaleCrop>false</ScaleCrop>
  <LinksUpToDate>false</LinksUpToDate>
  <CharactersWithSpaces>14202</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2020-10-21T05:31:00Z</dcterms:created>
  <dc:creator>chl</dc:creator>
  <cp:lastModifiedBy>Administrator</cp:lastModifiedBy>
  <cp:lastPrinted>2020-10-21T11:17:00Z</cp:lastPrinted>
  <dcterms:modified xsi:type="dcterms:W3CDTF">2022-08-25T06:50:00Z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631D0F16086F4AA7AD99C98B0B52B4A5</vt:lpwstr>
  </property>
</Properties>
</file>