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55961"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/>
        <w:ind w:firstLine="0" w:firstLineChars="0"/>
        <w:jc w:val="center"/>
        <w:textAlignment w:val="baseline"/>
        <w:rPr>
          <w:rFonts w:hint="default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《关于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修改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&lt;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鞍山市刚性支出困难家庭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认定办法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&gt;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的通知（征求意见稿）》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的解读</w:t>
      </w:r>
    </w:p>
    <w:p w14:paraId="3919E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7AE5E2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修改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 w14:paraId="5A860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为进一步完善社会救助体系，加大低收入人口救助帮扶力度</w:t>
      </w: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根据辽宁省民政厅《关于进一步做好刚性支出困难家庭认定工作的指导意见》（辽民发〔2024〕65号），结合鞍山市实际情况，对《鞍山市刚性支出困难家庭认定办法》（鞍民发〔2024〕10号）进行调整。</w:t>
      </w:r>
    </w:p>
    <w:p w14:paraId="5C3836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0"/>
        <w:textAlignment w:val="auto"/>
        <w:rPr>
          <w:rFonts w:hint="default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修改情况</w:t>
      </w:r>
    </w:p>
    <w:p w14:paraId="49A3B8EB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napToGrid/>
          <w:spacing w:val="0"/>
          <w:kern w:val="2"/>
          <w:sz w:val="32"/>
          <w:szCs w:val="32"/>
          <w:highlight w:val="none"/>
          <w:lang w:eastAsia="zh-CN"/>
        </w:rPr>
        <w:t>第七条 认定条件调整</w:t>
      </w:r>
    </w:p>
    <w:p w14:paraId="2995CF9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财产标准放宽</w:t>
      </w: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非经营性机动车辆、船舶、大型农机具评估价值在当地城市低保年标准的5倍以内其他财产仍符合低保边缘家庭标准</w:t>
      </w: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。</w:t>
      </w:r>
    </w:p>
    <w:p w14:paraId="49617887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计算周期明确</w:t>
      </w: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生活必需支出与家庭总收入均按申请前12个月核算</w:t>
      </w: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。</w:t>
      </w:r>
    </w:p>
    <w:p w14:paraId="09D2A9E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napToGrid/>
          <w:spacing w:val="0"/>
          <w:kern w:val="2"/>
          <w:sz w:val="32"/>
          <w:szCs w:val="32"/>
          <w:highlight w:val="none"/>
          <w:lang w:eastAsia="zh-CN"/>
        </w:rPr>
        <w:t>第九条 生活必需支出范围扩大</w:t>
      </w:r>
    </w:p>
    <w:p w14:paraId="5F844AE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生活支出：基本生活支出、基本居住支出和取暖费用支出</w:t>
      </w:r>
    </w:p>
    <w:p w14:paraId="08DB35C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医疗支出：合规医疗费用，以及40%住院自费费用</w:t>
      </w:r>
    </w:p>
    <w:p w14:paraId="53DC2FDD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教育支出：保教费、学费和住宿费</w:t>
      </w:r>
    </w:p>
    <w:p w14:paraId="40EE1DC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残疾康复支出：基本康复训练、辅助器具适配费用</w:t>
      </w:r>
    </w:p>
    <w:p w14:paraId="73FBA6A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其他支出：由县级民政部门认定</w:t>
      </w:r>
    </w:p>
    <w:p w14:paraId="535AC05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napToGrid/>
          <w:spacing w:val="0"/>
          <w:kern w:val="2"/>
          <w:sz w:val="32"/>
          <w:szCs w:val="32"/>
          <w:highlight w:val="none"/>
          <w:lang w:eastAsia="zh-CN"/>
        </w:rPr>
        <w:t>第十六条 救助待遇细化</w:t>
      </w:r>
    </w:p>
    <w:p w14:paraId="20F7D22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发放临时救助金</w:t>
      </w: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 w14:paraId="5C7EEE5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可申请专项社会救助</w:t>
      </w: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。</w:t>
      </w:r>
    </w:p>
    <w:p w14:paraId="7BA37C4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napToGrid/>
          <w:spacing w:val="0"/>
          <w:kern w:val="2"/>
          <w:sz w:val="32"/>
          <w:szCs w:val="32"/>
          <w:highlight w:val="none"/>
          <w:lang w:eastAsia="zh-CN"/>
        </w:rPr>
        <w:t>第十八条 有效期规定</w:t>
      </w:r>
    </w:p>
    <w:p w14:paraId="4CBA221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有效期明确：刚性支出困难家庭认定有效期为12个月。</w:t>
      </w:r>
    </w:p>
    <w:p w14:paraId="0D10033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期满需重新申请：无变化材料无需重复提交。</w:t>
      </w:r>
    </w:p>
    <w:p w14:paraId="3A551E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0"/>
        <w:textAlignment w:val="auto"/>
        <w:rPr>
          <w:rFonts w:hint="default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修改亮点</w:t>
      </w:r>
    </w:p>
    <w:p w14:paraId="5C84DEB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1.财产认定标准更加人性化</w:t>
      </w:r>
    </w:p>
    <w:p w14:paraId="018716E5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2.支出分类更加科学合理</w:t>
      </w:r>
    </w:p>
    <w:p w14:paraId="56308F6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  <w:t>3.救助金计算更加准确</w:t>
      </w:r>
    </w:p>
    <w:p w14:paraId="4D39E381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snapToGrid/>
          <w:spacing w:val="0"/>
          <w:kern w:val="2"/>
          <w:sz w:val="32"/>
          <w:szCs w:val="32"/>
          <w:highlight w:val="none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850" w:gutter="0"/>
      <w:cols w:space="0" w:num="1"/>
      <w:titlePg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037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2760345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38E576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7.35pt;margin-top:-7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vz3I09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38E576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I5Njk5MGNkNjAyNzVjZjM5NmY0NjQ5YzAxNjYifQ=="/>
  </w:docVars>
  <w:rsids>
    <w:rsidRoot w:val="7F3DB497"/>
    <w:rsid w:val="252950C4"/>
    <w:rsid w:val="3DA24EA1"/>
    <w:rsid w:val="3DF7E05C"/>
    <w:rsid w:val="532164E8"/>
    <w:rsid w:val="5B2B172F"/>
    <w:rsid w:val="5FBB4AED"/>
    <w:rsid w:val="69FFCE07"/>
    <w:rsid w:val="79BF5191"/>
    <w:rsid w:val="7AB049C5"/>
    <w:rsid w:val="7CB40EAF"/>
    <w:rsid w:val="7EFF710E"/>
    <w:rsid w:val="7F3DB497"/>
    <w:rsid w:val="7FF4ED80"/>
    <w:rsid w:val="7FFFE60B"/>
    <w:rsid w:val="B7EF8F7B"/>
    <w:rsid w:val="BFAD68A3"/>
    <w:rsid w:val="CFEF6BB6"/>
    <w:rsid w:val="DCD7D630"/>
    <w:rsid w:val="DDAB365F"/>
    <w:rsid w:val="DFFF7EAE"/>
    <w:rsid w:val="EFFD5FF7"/>
    <w:rsid w:val="F69F16DB"/>
    <w:rsid w:val="F7BECB08"/>
    <w:rsid w:val="F7FFC80B"/>
    <w:rsid w:val="FC8F3287"/>
    <w:rsid w:val="FDFBCD17"/>
    <w:rsid w:val="FDFF7804"/>
    <w:rsid w:val="FE2F25B4"/>
    <w:rsid w:val="FFEF1EDD"/>
    <w:rsid w:val="FF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 w:eastAsia="仿宋_GB2312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4-大标题"/>
    <w:basedOn w:val="10"/>
    <w:qFormat/>
    <w:uiPriority w:val="0"/>
    <w:rPr>
      <w:rFonts w:eastAsia="黑体"/>
    </w:rPr>
  </w:style>
  <w:style w:type="paragraph" w:customStyle="1" w:styleId="10">
    <w:name w:val="3-正文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4818</Words>
  <Characters>4889</Characters>
  <Lines>0</Lines>
  <Paragraphs>0</Paragraphs>
  <TotalTime>0</TotalTime>
  <ScaleCrop>false</ScaleCrop>
  <LinksUpToDate>false</LinksUpToDate>
  <CharactersWithSpaces>4918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2025-01-11T10:38:00Z</dcterms:created>
  <dc:creator>phoenie</dc:creator>
  <cp:lastModifiedBy>玄奕天</cp:lastModifiedBy>
  <cp:lastPrinted>2025-04-14T09:43:00Z</cp:lastPrinted>
  <dcterms:modified xsi:type="dcterms:W3CDTF">2025-04-16T01:38:54Z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9CE9158E6922110599367F67637C6E9D_41</vt:lpwstr>
  </property>
  <property fmtid="{D5CDD505-2E9C-101B-9397-08002B2CF9AE}" pid="4" name="KSOTemplateDocerSaveRecord">
    <vt:lpwstr>eyJoZGlkIjoiMDFlN2ViMTA3NjBhZjZkNzJlMDY2YjNkMjBiZjM5NjEiLCJ1c2VySWQiOiIyMzI4NDU4NDAifQ==</vt:lpwstr>
  </property>
</Properties>
</file>