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关于印发《鞍山市推进老年助餐服务实施方案》的通知（征求意见稿）</w:t>
      </w:r>
    </w:p>
    <w:p>
      <w:pPr>
        <w:spacing w:before="193" w:line="223" w:lineRule="auto"/>
        <w:rPr>
          <w:rFonts w:hint="eastAsia" w:ascii="仿宋_GB2312" w:hAnsi="仿宋_GB2312" w:eastAsia="仿宋_GB2312" w:cs="仿宋_GB2312"/>
          <w:i w:val="0"/>
          <w:iCs w:val="0"/>
          <w:caps w:val="0"/>
          <w:color w:val="000000"/>
          <w:spacing w:val="0"/>
          <w:sz w:val="32"/>
          <w:szCs w:val="32"/>
          <w:shd w:val="clear" w:fill="FFFFFF"/>
        </w:rPr>
      </w:pPr>
    </w:p>
    <w:p>
      <w:pPr>
        <w:spacing w:before="193" w:line="223" w:lineRule="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各</w:t>
      </w:r>
      <w:r>
        <w:rPr>
          <w:rFonts w:hint="eastAsia" w:ascii="仿宋_GB2312" w:hAnsi="仿宋_GB2312" w:eastAsia="仿宋_GB2312" w:cs="仿宋_GB2312"/>
          <w:i w:val="0"/>
          <w:iCs w:val="0"/>
          <w:caps w:val="0"/>
          <w:color w:val="000000"/>
          <w:spacing w:val="0"/>
          <w:sz w:val="32"/>
          <w:szCs w:val="32"/>
          <w:shd w:val="clear" w:fill="FFFFFF"/>
          <w:lang w:eastAsia="zh-CN"/>
        </w:rPr>
        <w:t>县（市）区</w:t>
      </w:r>
      <w:r>
        <w:rPr>
          <w:rFonts w:hint="eastAsia" w:ascii="仿宋_GB2312" w:hAnsi="仿宋_GB2312" w:eastAsia="仿宋_GB2312" w:cs="仿宋_GB2312"/>
          <w:i w:val="0"/>
          <w:iCs w:val="0"/>
          <w:caps w:val="0"/>
          <w:color w:val="000000"/>
          <w:spacing w:val="0"/>
          <w:sz w:val="32"/>
          <w:szCs w:val="32"/>
          <w:shd w:val="clear" w:fill="FFFFFF"/>
        </w:rPr>
        <w:t>民政局</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lang w:eastAsia="zh-CN"/>
        </w:rPr>
        <w:t>各开发区、社会事业办</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、发展改革委、公安局、财政局、人力资源社会保障局、自然资源局、住房城乡建设局、农业农村局、商务局、市场监管局、税务局、消防救援支队：</w:t>
      </w:r>
    </w:p>
    <w:p>
      <w:pPr>
        <w:spacing w:before="193" w:line="223" w:lineRule="auto"/>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现将《</w:t>
      </w:r>
      <w:r>
        <w:rPr>
          <w:rFonts w:hint="eastAsia" w:ascii="仿宋_GB2312" w:hAnsi="仿宋_GB2312" w:eastAsia="仿宋_GB2312" w:cs="仿宋_GB2312"/>
          <w:i w:val="0"/>
          <w:iCs w:val="0"/>
          <w:caps w:val="0"/>
          <w:color w:val="000000"/>
          <w:spacing w:val="0"/>
          <w:sz w:val="32"/>
          <w:szCs w:val="32"/>
          <w:shd w:val="clear" w:fill="FFFFFF"/>
          <w:lang w:eastAsia="zh-CN"/>
        </w:rPr>
        <w:t>鞍山市推进</w:t>
      </w:r>
      <w:r>
        <w:rPr>
          <w:rFonts w:hint="eastAsia" w:ascii="仿宋_GB2312" w:hAnsi="仿宋_GB2312" w:eastAsia="仿宋_GB2312" w:cs="仿宋_GB2312"/>
          <w:i w:val="0"/>
          <w:iCs w:val="0"/>
          <w:caps w:val="0"/>
          <w:color w:val="000000"/>
          <w:spacing w:val="0"/>
          <w:sz w:val="32"/>
          <w:szCs w:val="32"/>
          <w:shd w:val="clear" w:fill="FFFFFF"/>
        </w:rPr>
        <w:t>老年助餐服务实施方案》印发给你们，</w:t>
      </w:r>
      <w:r>
        <w:rPr>
          <w:rFonts w:hint="eastAsia" w:ascii="仿宋_GB2312" w:hAnsi="仿宋_GB2312" w:eastAsia="仿宋_GB2312" w:cs="仿宋_GB2312"/>
          <w:i w:val="0"/>
          <w:iCs w:val="0"/>
          <w:caps w:val="0"/>
          <w:color w:val="000000"/>
          <w:spacing w:val="0"/>
          <w:sz w:val="32"/>
          <w:szCs w:val="32"/>
          <w:shd w:val="clear" w:fill="FFFFFF"/>
          <w:lang w:eastAsia="zh-CN"/>
        </w:rPr>
        <w:t>请结合实际，组织贯彻实施。</w:t>
      </w:r>
    </w:p>
    <w:p>
      <w:pPr>
        <w:spacing w:before="100" w:line="352" w:lineRule="auto"/>
        <w:ind w:left="40" w:right="50"/>
        <w:jc w:val="both"/>
        <w:rPr>
          <w:rFonts w:ascii="仿宋" w:hAnsi="仿宋" w:eastAsia="仿宋" w:cs="仿宋"/>
          <w:sz w:val="31"/>
          <w:szCs w:val="31"/>
        </w:rPr>
      </w:pPr>
    </w:p>
    <w:p>
      <w:pPr>
        <w:spacing w:before="100" w:line="352" w:lineRule="auto"/>
        <w:ind w:left="40" w:right="50"/>
        <w:jc w:val="both"/>
        <w:rPr>
          <w:rFonts w:ascii="仿宋" w:hAnsi="仿宋" w:eastAsia="仿宋" w:cs="仿宋"/>
          <w:sz w:val="31"/>
          <w:szCs w:val="31"/>
        </w:rPr>
      </w:pPr>
    </w:p>
    <w:p>
      <w:pPr>
        <w:spacing w:before="100" w:line="352" w:lineRule="auto"/>
        <w:ind w:left="40" w:right="50"/>
        <w:jc w:val="both"/>
        <w:rPr>
          <w:rFonts w:ascii="仿宋" w:hAnsi="仿宋" w:eastAsia="仿宋" w:cs="仿宋"/>
          <w:sz w:val="31"/>
          <w:szCs w:val="3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鞍 山 市 民 政 局            鞍山市发展和改革委员会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鞍 山 市 公 安 局            鞍  山  市  财  政  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鞍山市人力资源和社会保障局  鞍 山 市 自 然 资 源 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鞍山市住房和城乡建设局      鞍 山 市 农 业 农 村 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鞍  山  市  商  务  局      鞍山市市场监督管理局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国家税务总局鞍山市税务局    鞍山市消防救援支队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sectPr>
          <w:footerReference r:id="rId5" w:type="default"/>
          <w:pgSz w:w="11906" w:h="16838"/>
          <w:pgMar w:top="1440" w:right="1800" w:bottom="1440" w:left="1800"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lang w:val="en-US" w:eastAsia="zh-CN"/>
        </w:rPr>
      </w:pPr>
      <w:r>
        <w:rPr>
          <w:rFonts w:hint="eastAsia" w:ascii="方正小标宋简体" w:hAnsi="方正小标宋简体" w:eastAsia="方正小标宋简体" w:cs="方正小标宋简体"/>
          <w:sz w:val="44"/>
          <w:szCs w:val="44"/>
          <w:lang w:val="en-US" w:eastAsia="zh-CN"/>
        </w:rPr>
        <w:t>鞍山市推进老年助餐服务实施方案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shd w:val="clear" w:fill="FFFFFF"/>
        </w:rPr>
      </w:pPr>
    </w:p>
    <w:p>
      <w:pPr>
        <w:spacing w:before="193" w:line="223" w:lineRule="auto"/>
        <w:ind w:firstLine="640" w:firstLineChars="20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为贯彻落实民政部等十一部门联合印发《积极发展老年助餐服务行动方案》（民发2023〔58〕号）</w:t>
      </w:r>
      <w:r>
        <w:rPr>
          <w:rFonts w:hint="eastAsia" w:ascii="仿宋_GB2312" w:hAnsi="仿宋_GB2312" w:eastAsia="仿宋_GB2312" w:cs="仿宋_GB2312"/>
          <w:i w:val="0"/>
          <w:iCs w:val="0"/>
          <w:caps w:val="0"/>
          <w:color w:val="000000"/>
          <w:spacing w:val="0"/>
          <w:sz w:val="32"/>
          <w:szCs w:val="32"/>
          <w:shd w:val="clear" w:fill="FFFFFF"/>
          <w:lang w:eastAsia="zh-CN"/>
        </w:rPr>
        <w:t>和省民政厅等十五部门联合印发</w:t>
      </w:r>
      <w:r>
        <w:rPr>
          <w:rFonts w:hint="eastAsia" w:ascii="仿宋_GB2312" w:hAnsi="仿宋_GB2312" w:eastAsia="仿宋_GB2312" w:cs="仿宋_GB2312"/>
          <w:i w:val="0"/>
          <w:iCs w:val="0"/>
          <w:caps w:val="0"/>
          <w:color w:val="000000"/>
          <w:spacing w:val="0"/>
          <w:sz w:val="32"/>
          <w:szCs w:val="32"/>
          <w:shd w:val="clear" w:fill="FFFFFF"/>
        </w:rPr>
        <w:t>《辽宁省积极发展老年助餐服务实施方案》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辽民发〔2024〕5号</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精神，</w:t>
      </w:r>
      <w:r>
        <w:rPr>
          <w:rFonts w:hint="eastAsia" w:ascii="仿宋_GB2312" w:hAnsi="仿宋_GB2312" w:eastAsia="仿宋_GB2312" w:cs="仿宋_GB2312"/>
          <w:i w:val="0"/>
          <w:iCs w:val="0"/>
          <w:caps w:val="0"/>
          <w:color w:val="000000"/>
          <w:spacing w:val="0"/>
          <w:sz w:val="32"/>
          <w:szCs w:val="32"/>
          <w:shd w:val="clear" w:fill="FFFFFF"/>
        </w:rPr>
        <w:t>持续推进老年人助餐服务工作，提升老年人的获得感和满意度</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一、指导思想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以习近平新时代中国特色社会主义思想为指导，全面贯彻落实党的二十大精神，坚持以人民为中心的发展思想，聚焦老年人就餐实际困难，以普惠性、多样化为发展路径，坚持政府统筹、保障基本，因地制宜、精准施策，尽力而为、量力而行，充分发挥市场机制作用，积极构建覆盖城乡、布局合理、共建共享的老年助餐服务网络，推动老年助餐服务方便可及、经济实惠、安全可靠、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二、工作目标</w:t>
      </w:r>
    </w:p>
    <w:p>
      <w:pPr>
        <w:pStyle w:val="4"/>
        <w:keepNext w:val="0"/>
        <w:keepLines w:val="0"/>
        <w:pageBreakBefore w:val="0"/>
        <w:widowControl w:val="0"/>
        <w:kinsoku/>
        <w:wordWrap/>
        <w:overflowPunct/>
        <w:topLinePunct w:val="0"/>
        <w:autoSpaceDE/>
        <w:autoSpaceDN/>
        <w:bidi w:val="0"/>
        <w:adjustRightInd/>
        <w:snapToGrid/>
        <w:spacing w:line="560" w:lineRule="exact"/>
        <w:ind w:right="40" w:firstLine="634"/>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到2024年底，全</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实施老年助餐服务政策，</w:t>
      </w:r>
      <w:r>
        <w:rPr>
          <w:rFonts w:hint="eastAsia" w:ascii="仿宋_GB2312" w:hAnsi="仿宋_GB2312" w:eastAsia="仿宋_GB2312" w:cs="仿宋_GB2312"/>
          <w:i w:val="0"/>
          <w:iCs w:val="0"/>
          <w:caps w:val="0"/>
          <w:color w:val="000000"/>
          <w:spacing w:val="0"/>
          <w:sz w:val="32"/>
          <w:szCs w:val="32"/>
          <w:shd w:val="clear" w:fill="FFFFFF"/>
          <w:lang w:eastAsia="zh-CN"/>
        </w:rPr>
        <w:t>各县（市）区</w:t>
      </w:r>
      <w:r>
        <w:rPr>
          <w:rFonts w:hint="eastAsia" w:ascii="仿宋_GB2312" w:hAnsi="仿宋_GB2312" w:eastAsia="仿宋_GB2312" w:cs="仿宋_GB2312"/>
          <w:i w:val="0"/>
          <w:iCs w:val="0"/>
          <w:caps w:val="0"/>
          <w:color w:val="000000"/>
          <w:spacing w:val="0"/>
          <w:sz w:val="32"/>
          <w:szCs w:val="32"/>
          <w:shd w:val="clear" w:fill="FFFFFF"/>
        </w:rPr>
        <w:t>根据市场需求</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规划老年助餐服务，开展对特殊困难老年人的助餐服务，惠及有需求的其他老年人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default"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月30日前各地出台配套政策。</w:t>
      </w:r>
    </w:p>
    <w:p>
      <w:pPr>
        <w:pStyle w:val="4"/>
        <w:keepNext w:val="0"/>
        <w:keepLines w:val="0"/>
        <w:pageBreakBefore w:val="0"/>
        <w:widowControl w:val="0"/>
        <w:kinsoku/>
        <w:wordWrap/>
        <w:overflowPunct/>
        <w:topLinePunct w:val="0"/>
        <w:autoSpaceDE/>
        <w:autoSpaceDN/>
        <w:bidi w:val="0"/>
        <w:adjustRightInd/>
        <w:snapToGrid/>
        <w:spacing w:line="560" w:lineRule="exact"/>
        <w:ind w:right="40" w:firstLine="634"/>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到2025年底，全</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城乡社区老年助餐服务覆盖率实现较大幅度提升，服务网络形成一定规模，服务扩面增量实现新突破。对特殊困难老年人的助餐服务力度进一步加大，面向其他老年人的助餐服务广泛开展，老年助餐服务供需体系基本建立。</w:t>
      </w:r>
    </w:p>
    <w:p>
      <w:pPr>
        <w:pStyle w:val="4"/>
        <w:keepNext w:val="0"/>
        <w:keepLines w:val="0"/>
        <w:pageBreakBefore w:val="0"/>
        <w:widowControl w:val="0"/>
        <w:kinsoku/>
        <w:wordWrap/>
        <w:overflowPunct/>
        <w:topLinePunct w:val="0"/>
        <w:autoSpaceDE/>
        <w:autoSpaceDN/>
        <w:bidi w:val="0"/>
        <w:adjustRightInd/>
        <w:snapToGrid/>
        <w:spacing w:line="560" w:lineRule="exact"/>
        <w:ind w:right="40" w:firstLine="634"/>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到2026年底，全</w:t>
      </w:r>
      <w:r>
        <w:rPr>
          <w:rFonts w:hint="eastAsia" w:ascii="仿宋_GB2312" w:hAnsi="仿宋_GB2312" w:eastAsia="仿宋_GB2312" w:cs="仿宋_GB2312"/>
          <w:i w:val="0"/>
          <w:iCs w:val="0"/>
          <w:caps w:val="0"/>
          <w:color w:val="000000"/>
          <w:spacing w:val="0"/>
          <w:sz w:val="32"/>
          <w:szCs w:val="32"/>
          <w:shd w:val="clear" w:fill="FFFFFF"/>
          <w:lang w:val="en-US" w:eastAsia="zh-CN"/>
        </w:rPr>
        <w:t>市</w:t>
      </w:r>
      <w:r>
        <w:rPr>
          <w:rFonts w:hint="eastAsia" w:ascii="仿宋_GB2312" w:hAnsi="仿宋_GB2312" w:eastAsia="仿宋_GB2312" w:cs="仿宋_GB2312"/>
          <w:i w:val="0"/>
          <w:iCs w:val="0"/>
          <w:caps w:val="0"/>
          <w:color w:val="000000"/>
          <w:spacing w:val="0"/>
          <w:sz w:val="32"/>
          <w:szCs w:val="32"/>
          <w:shd w:val="clear" w:fill="FFFFFF"/>
        </w:rPr>
        <w:t>城乡社区老年助餐服务覆盖率进一步提升，服务网络更加完善，多元供给格局基本形成，可持续发展能力得到巩固，有需求的老年人就餐便利度、满意度明显提升。在此基础上，持续完善服务网络，不断提高老年助餐服务质量和水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rightChars="0"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三、基本原则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（一）政府</w:t>
      </w:r>
      <w:r>
        <w:rPr>
          <w:rFonts w:hint="eastAsia" w:ascii="楷体_GB2312" w:hAnsi="楷体_GB2312" w:eastAsia="楷体_GB2312" w:cs="楷体_GB2312"/>
          <w:i w:val="0"/>
          <w:iCs w:val="0"/>
          <w:caps w:val="0"/>
          <w:color w:val="000000"/>
          <w:spacing w:val="0"/>
          <w:sz w:val="32"/>
          <w:szCs w:val="32"/>
          <w:shd w:val="clear" w:fill="FFFFFF"/>
          <w:lang w:val="en-US" w:eastAsia="zh-CN"/>
        </w:rPr>
        <w:t>统筹。</w:t>
      </w:r>
      <w:r>
        <w:rPr>
          <w:rFonts w:hint="eastAsia" w:ascii="仿宋_GB2312" w:hAnsi="仿宋_GB2312" w:eastAsia="仿宋_GB2312" w:cs="仿宋_GB2312"/>
          <w:i w:val="0"/>
          <w:iCs w:val="0"/>
          <w:caps w:val="0"/>
          <w:color w:val="000000"/>
          <w:spacing w:val="0"/>
          <w:sz w:val="32"/>
          <w:szCs w:val="32"/>
          <w:shd w:val="clear" w:fill="FFFFFF"/>
          <w:lang w:eastAsia="zh-CN"/>
        </w:rPr>
        <w:t>合理</w:t>
      </w:r>
      <w:r>
        <w:rPr>
          <w:rFonts w:hint="eastAsia" w:ascii="仿宋_GB2312" w:hAnsi="仿宋_GB2312" w:eastAsia="仿宋_GB2312" w:cs="仿宋_GB2312"/>
          <w:i w:val="0"/>
          <w:iCs w:val="0"/>
          <w:caps w:val="0"/>
          <w:color w:val="000000"/>
          <w:spacing w:val="0"/>
          <w:sz w:val="32"/>
          <w:szCs w:val="32"/>
          <w:shd w:val="clear" w:fill="FFFFFF"/>
        </w:rPr>
        <w:t>规划老年</w:t>
      </w:r>
      <w:r>
        <w:rPr>
          <w:rFonts w:hint="eastAsia" w:ascii="仿宋_GB2312" w:hAnsi="仿宋_GB2312" w:eastAsia="仿宋_GB2312" w:cs="仿宋_GB2312"/>
          <w:i w:val="0"/>
          <w:iCs w:val="0"/>
          <w:caps w:val="0"/>
          <w:color w:val="000000"/>
          <w:spacing w:val="0"/>
          <w:sz w:val="32"/>
          <w:szCs w:val="32"/>
          <w:shd w:val="clear" w:fill="FFFFFF"/>
          <w:lang w:eastAsia="zh-CN"/>
        </w:rPr>
        <w:t>助餐点</w:t>
      </w:r>
      <w:r>
        <w:rPr>
          <w:rFonts w:hint="eastAsia" w:ascii="仿宋_GB2312" w:hAnsi="仿宋_GB2312" w:eastAsia="仿宋_GB2312" w:cs="仿宋_GB2312"/>
          <w:i w:val="0"/>
          <w:iCs w:val="0"/>
          <w:caps w:val="0"/>
          <w:color w:val="000000"/>
          <w:spacing w:val="0"/>
          <w:sz w:val="32"/>
          <w:szCs w:val="32"/>
          <w:shd w:val="clear" w:fill="FFFFFF"/>
        </w:rPr>
        <w:t>布局，加强政策供给，依托养老服务机构、社区综合服务体推动老年</w:t>
      </w:r>
      <w:r>
        <w:rPr>
          <w:rFonts w:hint="eastAsia" w:ascii="仿宋_GB2312" w:hAnsi="仿宋_GB2312" w:eastAsia="仿宋_GB2312" w:cs="仿宋_GB2312"/>
          <w:i w:val="0"/>
          <w:iCs w:val="0"/>
          <w:caps w:val="0"/>
          <w:color w:val="000000"/>
          <w:spacing w:val="0"/>
          <w:sz w:val="32"/>
          <w:szCs w:val="32"/>
          <w:shd w:val="clear" w:fill="FFFFFF"/>
          <w:lang w:eastAsia="zh-CN"/>
        </w:rPr>
        <w:t>助餐点</w:t>
      </w:r>
      <w:r>
        <w:rPr>
          <w:rFonts w:hint="eastAsia" w:ascii="仿宋_GB2312" w:hAnsi="仿宋_GB2312" w:eastAsia="仿宋_GB2312" w:cs="仿宋_GB2312"/>
          <w:i w:val="0"/>
          <w:iCs w:val="0"/>
          <w:caps w:val="0"/>
          <w:color w:val="000000"/>
          <w:spacing w:val="0"/>
          <w:sz w:val="32"/>
          <w:szCs w:val="32"/>
          <w:shd w:val="clear" w:fill="FFFFFF"/>
        </w:rPr>
        <w:t>规范建设、长效运营。鼓励餐饮企业、物业服务企业、社会组织、慈善力量等参与老年</w:t>
      </w:r>
      <w:r>
        <w:rPr>
          <w:rFonts w:hint="eastAsia" w:ascii="仿宋_GB2312" w:hAnsi="仿宋_GB2312" w:eastAsia="仿宋_GB2312" w:cs="仿宋_GB2312"/>
          <w:i w:val="0"/>
          <w:iCs w:val="0"/>
          <w:caps w:val="0"/>
          <w:color w:val="000000"/>
          <w:spacing w:val="0"/>
          <w:sz w:val="32"/>
          <w:szCs w:val="32"/>
          <w:shd w:val="clear" w:fill="FFFFFF"/>
          <w:lang w:eastAsia="zh-CN"/>
        </w:rPr>
        <w:t>助餐点</w:t>
      </w:r>
      <w:r>
        <w:rPr>
          <w:rFonts w:hint="eastAsia" w:ascii="仿宋_GB2312" w:hAnsi="仿宋_GB2312" w:eastAsia="仿宋_GB2312" w:cs="仿宋_GB2312"/>
          <w:i w:val="0"/>
          <w:iCs w:val="0"/>
          <w:caps w:val="0"/>
          <w:color w:val="000000"/>
          <w:spacing w:val="0"/>
          <w:sz w:val="32"/>
          <w:szCs w:val="32"/>
          <w:shd w:val="clear" w:fill="FFFFFF"/>
        </w:rPr>
        <w:t>建设运营，实现服务可获得、价格可负担、发展可持续。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shd w:val="clear" w:fill="FFFFFF"/>
        </w:rPr>
        <w:t>（二）因地制宜。</w:t>
      </w:r>
      <w:r>
        <w:rPr>
          <w:rFonts w:hint="eastAsia" w:ascii="仿宋_GB2312" w:hAnsi="仿宋_GB2312" w:eastAsia="仿宋_GB2312" w:cs="仿宋_GB2312"/>
          <w:i w:val="0"/>
          <w:iCs w:val="0"/>
          <w:caps w:val="0"/>
          <w:color w:val="000000"/>
          <w:spacing w:val="0"/>
          <w:sz w:val="32"/>
          <w:szCs w:val="32"/>
          <w:shd w:val="clear" w:fill="FFFFFF"/>
        </w:rPr>
        <w:t>充分考虑当地经济发展水平、社区成熟程度、老人基本状况、市场发育程度等因素，充分整合利用现有资源，探索老年</w:t>
      </w:r>
      <w:r>
        <w:rPr>
          <w:rFonts w:hint="eastAsia" w:ascii="仿宋_GB2312" w:hAnsi="仿宋_GB2312" w:eastAsia="仿宋_GB2312" w:cs="仿宋_GB2312"/>
          <w:i w:val="0"/>
          <w:iCs w:val="0"/>
          <w:caps w:val="0"/>
          <w:color w:val="000000"/>
          <w:spacing w:val="0"/>
          <w:sz w:val="32"/>
          <w:szCs w:val="32"/>
          <w:shd w:val="clear" w:fill="FFFFFF"/>
          <w:lang w:eastAsia="zh-CN"/>
        </w:rPr>
        <w:t>助餐点</w:t>
      </w:r>
      <w:r>
        <w:rPr>
          <w:rFonts w:hint="eastAsia" w:ascii="仿宋_GB2312" w:hAnsi="仿宋_GB2312" w:eastAsia="仿宋_GB2312" w:cs="仿宋_GB2312"/>
          <w:i w:val="0"/>
          <w:iCs w:val="0"/>
          <w:caps w:val="0"/>
          <w:color w:val="000000"/>
          <w:spacing w:val="0"/>
          <w:sz w:val="32"/>
          <w:szCs w:val="32"/>
          <w:shd w:val="clear" w:fill="FFFFFF"/>
        </w:rPr>
        <w:t>建设模式、补贴标准，确保政府、市场、社会权责边界清晰，集中力量把补助用在刀刃上。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rPr>
        <w:t>（三）</w:t>
      </w:r>
      <w:r>
        <w:rPr>
          <w:rFonts w:hint="eastAsia" w:ascii="楷体_GB2312" w:hAnsi="楷体_GB2312" w:eastAsia="楷体_GB2312" w:cs="楷体_GB2312"/>
          <w:i w:val="0"/>
          <w:iCs w:val="0"/>
          <w:caps w:val="0"/>
          <w:color w:val="000000"/>
          <w:spacing w:val="0"/>
          <w:sz w:val="32"/>
          <w:szCs w:val="32"/>
          <w:shd w:val="clear" w:fill="FFFFFF"/>
          <w:lang w:eastAsia="zh-CN"/>
        </w:rPr>
        <w:t>精准施策。</w:t>
      </w:r>
      <w:r>
        <w:rPr>
          <w:rFonts w:hint="eastAsia" w:ascii="仿宋_GB2312" w:hAnsi="仿宋_GB2312" w:eastAsia="仿宋_GB2312" w:cs="仿宋_GB2312"/>
          <w:i w:val="0"/>
          <w:iCs w:val="0"/>
          <w:caps w:val="0"/>
          <w:color w:val="000000"/>
          <w:spacing w:val="0"/>
          <w:sz w:val="32"/>
          <w:szCs w:val="32"/>
          <w:shd w:val="clear" w:fill="FFFFFF"/>
        </w:rPr>
        <w:t>优先满足经济困难的失能、残疾、高龄、无人照顾等老年人的助餐刚需，优惠服务中低收入老年群体就餐需求，倡导优待其他老年群体就餐。在此基础上，为其他社区居民提供便利服务。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lang w:val="en-US" w:eastAsia="zh-CN"/>
        </w:rPr>
        <w:t>（四）市场化运营。</w:t>
      </w:r>
      <w:r>
        <w:rPr>
          <w:rFonts w:hint="eastAsia" w:ascii="仿宋_GB2312" w:hAnsi="仿宋_GB2312" w:eastAsia="仿宋_GB2312" w:cs="仿宋_GB2312"/>
          <w:i w:val="0"/>
          <w:iCs w:val="0"/>
          <w:caps w:val="0"/>
          <w:color w:val="000000"/>
          <w:spacing w:val="0"/>
          <w:sz w:val="32"/>
          <w:szCs w:val="32"/>
          <w:shd w:val="clear" w:fill="FFFFFF"/>
        </w:rPr>
        <w:t>充分发挥市场在资源配置中的决定性作用，以老年人需求为导向，尊重市场规律，培育经营主体，激发内生活力，拓展消费市场，满足老年人多样化、个性化服务需求。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rightChars="0" w:firstLine="640" w:firstLineChars="200"/>
        <w:jc w:val="both"/>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四、工作措施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（一）科学规划选址。</w:t>
      </w:r>
      <w:r>
        <w:rPr>
          <w:rFonts w:hint="eastAsia" w:ascii="仿宋_GB2312" w:hAnsi="仿宋_GB2312" w:eastAsia="仿宋_GB2312" w:cs="仿宋_GB2312"/>
          <w:sz w:val="32"/>
          <w:szCs w:val="32"/>
          <w:lang w:val="en-US" w:eastAsia="zh-CN"/>
        </w:rPr>
        <w:t>老年助餐点应</w:t>
      </w:r>
      <w:r>
        <w:rPr>
          <w:rFonts w:hint="eastAsia" w:ascii="仿宋_GB2312" w:hAnsi="仿宋_GB2312" w:eastAsia="仿宋_GB2312" w:cs="仿宋_GB2312"/>
          <w:sz w:val="32"/>
          <w:szCs w:val="32"/>
          <w:lang w:eastAsia="zh-CN"/>
        </w:rPr>
        <w:t>在充分调研论证的基础上，综合考虑人口规模、助餐服务需求、服务半径等因素，通过统筹利用现有资源和适度新建相结合的方式，</w:t>
      </w:r>
      <w:r>
        <w:rPr>
          <w:rFonts w:hint="eastAsia" w:ascii="仿宋_GB2312" w:hAnsi="仿宋_GB2312" w:eastAsia="仿宋_GB2312" w:cs="仿宋_GB2312"/>
          <w:sz w:val="32"/>
          <w:szCs w:val="32"/>
          <w:lang w:val="en-US" w:eastAsia="zh-CN"/>
        </w:rPr>
        <w:t>要优先选择人群相对聚居、服务需求迫切、辐射周边能力强的社区进行规划建设。老年助餐点</w:t>
      </w:r>
      <w:r>
        <w:rPr>
          <w:rFonts w:hint="eastAsia" w:ascii="仿宋_GB2312" w:hAnsi="仿宋_GB2312" w:eastAsia="仿宋_GB2312" w:cs="仿宋_GB2312"/>
          <w:sz w:val="32"/>
          <w:szCs w:val="32"/>
          <w:lang w:eastAsia="zh-CN"/>
        </w:rPr>
        <w:t>尽量选取一层或低层，并配置适合老年人的生理特点和生活需要的无障碍设施。鼓励各类房屋产权所有者采取无偿或低偿的方式提供社区</w:t>
      </w:r>
      <w:r>
        <w:rPr>
          <w:rFonts w:hint="eastAsia" w:ascii="仿宋_GB2312" w:hAnsi="仿宋_GB2312" w:eastAsia="仿宋_GB2312" w:cs="仿宋_GB2312"/>
          <w:sz w:val="32"/>
          <w:szCs w:val="32"/>
          <w:lang w:val="en-US" w:eastAsia="zh-CN"/>
        </w:rPr>
        <w:t>老年助餐</w:t>
      </w:r>
      <w:r>
        <w:rPr>
          <w:rFonts w:hint="eastAsia" w:ascii="仿宋_GB2312" w:hAnsi="仿宋_GB2312" w:eastAsia="仿宋_GB2312" w:cs="仿宋_GB2312"/>
          <w:sz w:val="32"/>
          <w:szCs w:val="32"/>
          <w:lang w:eastAsia="zh-CN"/>
        </w:rPr>
        <w:t>场所，支持助餐活动开展。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eastAsia="zh-CN"/>
        </w:rPr>
        <w:t>（二）明确</w:t>
      </w:r>
      <w:r>
        <w:rPr>
          <w:rFonts w:hint="eastAsia" w:ascii="楷体_GB2312" w:hAnsi="楷体_GB2312" w:eastAsia="楷体_GB2312" w:cs="楷体_GB2312"/>
          <w:color w:val="000000"/>
          <w:sz w:val="32"/>
          <w:szCs w:val="32"/>
          <w:lang w:val="en-US" w:eastAsia="zh-CN"/>
        </w:rPr>
        <w:t>建设</w:t>
      </w:r>
      <w:r>
        <w:rPr>
          <w:rFonts w:hint="eastAsia" w:ascii="楷体_GB2312" w:hAnsi="楷体_GB2312" w:eastAsia="楷体_GB2312" w:cs="楷体_GB2312"/>
          <w:color w:val="000000"/>
          <w:sz w:val="32"/>
          <w:szCs w:val="32"/>
          <w:lang w:eastAsia="zh-CN"/>
        </w:rPr>
        <w:t>标准。</w:t>
      </w:r>
      <w:r>
        <w:rPr>
          <w:rFonts w:hint="eastAsia" w:ascii="仿宋_GB2312" w:eastAsia="仿宋_GB2312" w:cs="仿宋_GB2312"/>
          <w:color w:val="000000"/>
          <w:sz w:val="32"/>
          <w:szCs w:val="32"/>
          <w:lang w:eastAsia="zh-CN"/>
        </w:rPr>
        <w:t>开展</w:t>
      </w:r>
      <w:r>
        <w:rPr>
          <w:rFonts w:hint="eastAsia" w:ascii="仿宋_GB2312" w:hAnsi="仿宋_GB2312" w:eastAsia="仿宋_GB2312" w:cs="仿宋_GB2312"/>
          <w:sz w:val="32"/>
          <w:szCs w:val="32"/>
          <w:lang w:val="en-US" w:eastAsia="zh-CN"/>
        </w:rPr>
        <w:t>老年助餐服务的</w:t>
      </w:r>
      <w:r>
        <w:rPr>
          <w:rFonts w:hint="eastAsia" w:ascii="仿宋_GB2312" w:eastAsia="仿宋_GB2312" w:cs="仿宋_GB2312"/>
          <w:color w:val="000000"/>
          <w:kern w:val="2"/>
          <w:sz w:val="32"/>
          <w:szCs w:val="32"/>
          <w:lang w:val="en-US" w:eastAsia="zh-CN" w:bidi="ar-SA"/>
        </w:rPr>
        <w:t>建筑应</w:t>
      </w:r>
      <w:r>
        <w:rPr>
          <w:rFonts w:ascii="仿宋_GB2312" w:eastAsia="仿宋_GB2312" w:cs="仿宋_GB2312"/>
          <w:color w:val="000000"/>
          <w:kern w:val="2"/>
          <w:sz w:val="32"/>
          <w:szCs w:val="32"/>
          <w:lang w:val="en-US" w:eastAsia="zh-CN" w:bidi="ar-SA"/>
        </w:rPr>
        <w:t>符合</w:t>
      </w:r>
      <w:r>
        <w:rPr>
          <w:rFonts w:hint="eastAsia" w:ascii="仿宋_GB2312" w:eastAsia="仿宋_GB2312" w:cs="仿宋_GB2312"/>
          <w:color w:val="000000"/>
          <w:kern w:val="2"/>
          <w:sz w:val="32"/>
          <w:szCs w:val="32"/>
          <w:lang w:val="en-US" w:eastAsia="zh-CN" w:bidi="ar-SA"/>
        </w:rPr>
        <w:t>房屋结构安全要求</w:t>
      </w:r>
      <w:r>
        <w:rPr>
          <w:rFonts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val="en-US" w:eastAsia="zh-CN" w:bidi="ar-SA"/>
        </w:rPr>
        <w:t>消防安全标准及环保要求，</w:t>
      </w:r>
      <w:r>
        <w:rPr>
          <w:rFonts w:hint="eastAsia" w:ascii="仿宋_GB2312" w:eastAsia="仿宋_GB2312" w:cs="仿宋_GB2312"/>
          <w:color w:val="000000"/>
          <w:kern w:val="2"/>
          <w:sz w:val="32"/>
          <w:szCs w:val="32"/>
        </w:rPr>
        <w:t>远离污染源</w:t>
      </w:r>
      <w:r>
        <w:rPr>
          <w:rFonts w:hint="eastAsia" w:ascii="仿宋_GB2312" w:eastAsia="仿宋_GB2312" w:cs="仿宋_GB2312"/>
          <w:color w:val="000000"/>
          <w:kern w:val="2"/>
          <w:sz w:val="32"/>
          <w:szCs w:val="32"/>
          <w:lang w:eastAsia="zh-CN"/>
        </w:rPr>
        <w:t>；</w:t>
      </w:r>
      <w:r>
        <w:rPr>
          <w:rFonts w:hint="eastAsia" w:ascii="仿宋_GB2312" w:eastAsia="仿宋_GB2312" w:cs="仿宋_GB2312"/>
          <w:color w:val="000000"/>
          <w:kern w:val="2"/>
          <w:sz w:val="32"/>
          <w:szCs w:val="32"/>
        </w:rPr>
        <w:t>经营场所应配置视频监控、燃气报警装置、电器火灾监控等安全设备</w:t>
      </w:r>
      <w:r>
        <w:rPr>
          <w:rFonts w:hint="eastAsia" w:ascii="仿宋_GB2312" w:eastAsia="仿宋_GB2312" w:cs="仿宋_GB2312"/>
          <w:color w:val="000000"/>
          <w:kern w:val="2"/>
          <w:sz w:val="32"/>
          <w:szCs w:val="32"/>
          <w:lang w:eastAsia="zh-CN"/>
        </w:rPr>
        <w:t>。</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lang w:val="en-US" w:eastAsia="zh-CN"/>
        </w:rPr>
        <w:t>老年助餐服务</w:t>
      </w:r>
      <w:r>
        <w:rPr>
          <w:rFonts w:hint="eastAsia" w:ascii="仿宋_GB2312" w:hAnsi="仿宋_GB2312" w:eastAsia="仿宋_GB2312" w:cs="仿宋_GB2312"/>
          <w:sz w:val="32"/>
          <w:szCs w:val="32"/>
          <w:lang w:eastAsia="zh-CN"/>
        </w:rPr>
        <w:t>建设和运营的</w:t>
      </w:r>
      <w:r>
        <w:rPr>
          <w:rFonts w:hint="eastAsia" w:ascii="仿宋_GB2312" w:eastAsia="仿宋_GB2312" w:cs="仿宋_GB2312"/>
          <w:color w:val="000000"/>
          <w:sz w:val="32"/>
          <w:szCs w:val="32"/>
          <w:lang w:val="en-US" w:eastAsia="zh-CN"/>
        </w:rPr>
        <w:t>企业</w:t>
      </w:r>
      <w:r>
        <w:rPr>
          <w:rFonts w:hint="eastAsia" w:ascii="仿宋_GB2312" w:eastAsia="仿宋_GB2312" w:cs="仿宋_GB2312"/>
          <w:bCs/>
          <w:color w:val="000000"/>
          <w:kern w:val="2"/>
          <w:sz w:val="32"/>
          <w:szCs w:val="32"/>
          <w:lang w:val="en-US" w:eastAsia="zh-CN"/>
        </w:rPr>
        <w:t>或社会组织，须按照餐饮服务机构相关法律法规的要求开展经营活动。符合条件的</w:t>
      </w:r>
      <w:r>
        <w:rPr>
          <w:rFonts w:hint="eastAsia" w:ascii="仿宋_GB2312" w:hAnsi="仿宋_GB2312" w:eastAsia="仿宋_GB2312" w:cs="仿宋_GB2312"/>
          <w:sz w:val="32"/>
          <w:szCs w:val="32"/>
          <w:lang w:val="en-US" w:eastAsia="zh-CN"/>
        </w:rPr>
        <w:t>老年助餐点</w:t>
      </w:r>
      <w:r>
        <w:rPr>
          <w:rFonts w:hint="eastAsia" w:ascii="仿宋_GB2312" w:eastAsia="仿宋_GB2312" w:cs="仿宋_GB2312"/>
          <w:bCs/>
          <w:color w:val="000000"/>
          <w:kern w:val="2"/>
          <w:sz w:val="32"/>
          <w:szCs w:val="32"/>
          <w:highlight w:val="none"/>
          <w:lang w:val="en-US" w:eastAsia="zh-CN"/>
        </w:rPr>
        <w:t>要统一标识</w:t>
      </w:r>
      <w:r>
        <w:rPr>
          <w:rFonts w:hint="eastAsia" w:ascii="仿宋_GB2312" w:eastAsia="仿宋_GB2312" w:cs="仿宋_GB2312"/>
          <w:bCs/>
          <w:color w:val="000000"/>
          <w:kern w:val="2"/>
          <w:sz w:val="32"/>
          <w:szCs w:val="32"/>
          <w:lang w:val="en-US" w:eastAsia="zh-CN"/>
        </w:rPr>
        <w:t>、统一名称、统一备案。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color w:val="000000"/>
          <w:kern w:val="2"/>
          <w:sz w:val="32"/>
          <w:szCs w:val="32"/>
          <w:lang w:val="en-US" w:eastAsia="zh-CN"/>
        </w:rPr>
      </w:pPr>
      <w:r>
        <w:rPr>
          <w:rFonts w:hint="eastAsia" w:ascii="楷体_GB2312" w:hAnsi="楷体_GB2312" w:eastAsia="楷体_GB2312" w:cs="楷体_GB2312"/>
          <w:sz w:val="32"/>
          <w:szCs w:val="32"/>
          <w:lang w:eastAsia="zh-CN"/>
        </w:rPr>
        <w:t>（三）规范服务供给。</w:t>
      </w:r>
      <w:r>
        <w:rPr>
          <w:rFonts w:hint="eastAsia" w:ascii="仿宋_GB2312" w:eastAsia="仿宋_GB2312" w:cs="仿宋_GB2312"/>
          <w:bCs/>
          <w:color w:val="000000"/>
          <w:kern w:val="2"/>
          <w:sz w:val="32"/>
          <w:szCs w:val="32"/>
          <w:lang w:val="en-US" w:eastAsia="zh-CN"/>
        </w:rPr>
        <w:t>各地可结合实际制定本辖区内的</w:t>
      </w:r>
      <w:r>
        <w:rPr>
          <w:rFonts w:hint="eastAsia" w:ascii="仿宋_GB2312" w:hAnsi="仿宋_GB2312" w:eastAsia="仿宋_GB2312" w:cs="仿宋_GB2312"/>
          <w:sz w:val="32"/>
          <w:szCs w:val="32"/>
          <w:lang w:val="en-US" w:eastAsia="zh-CN"/>
        </w:rPr>
        <w:t>老年助餐</w:t>
      </w:r>
      <w:r>
        <w:rPr>
          <w:rFonts w:hint="eastAsia" w:ascii="仿宋_GB2312" w:eastAsia="仿宋_GB2312" w:cs="仿宋_GB2312"/>
          <w:bCs/>
          <w:color w:val="000000"/>
          <w:kern w:val="2"/>
          <w:sz w:val="32"/>
          <w:szCs w:val="32"/>
          <w:lang w:val="en-US" w:eastAsia="zh-CN"/>
        </w:rPr>
        <w:t>服务规范，为老人提供“一日三餐”服务，并保证助餐服务的连续性、稳定性。</w:t>
      </w:r>
      <w:r>
        <w:rPr>
          <w:rFonts w:hint="eastAsia" w:ascii="仿宋_GB2312" w:hAnsi="仿宋_GB2312" w:eastAsia="仿宋_GB2312" w:cs="仿宋_GB2312"/>
          <w:sz w:val="32"/>
          <w:szCs w:val="32"/>
          <w:lang w:val="en-US" w:eastAsia="zh-CN"/>
        </w:rPr>
        <w:t>助餐</w:t>
      </w:r>
      <w:r>
        <w:rPr>
          <w:rFonts w:hint="eastAsia" w:ascii="仿宋_GB2312" w:eastAsia="仿宋_GB2312" w:cs="仿宋_GB2312"/>
          <w:bCs/>
          <w:color w:val="000000"/>
          <w:kern w:val="2"/>
          <w:sz w:val="32"/>
          <w:szCs w:val="32"/>
          <w:lang w:val="en-US" w:eastAsia="zh-CN"/>
        </w:rPr>
        <w:t>服务要根据周边老年人需求、消费能力、饮食习惯，合理搭配食材，科学制定食谱并定期更新，优先供应大众化家常菜。有条件的可配备专兼职营养师。要提供</w:t>
      </w:r>
      <w:r>
        <w:rPr>
          <w:rFonts w:hint="eastAsia" w:ascii="仿宋_GB2312" w:eastAsia="仿宋_GB2312" w:cs="仿宋_GB2312"/>
          <w:color w:val="000000"/>
          <w:kern w:val="2"/>
          <w:sz w:val="32"/>
          <w:szCs w:val="32"/>
          <w:lang w:val="en-US" w:eastAsia="zh-CN" w:bidi="ar-SA"/>
        </w:rPr>
        <w:t>线下+线上、堂食+外卖+外送、家庭包餐等多种经营服务，</w:t>
      </w:r>
      <w:r>
        <w:rPr>
          <w:rFonts w:ascii="仿宋_GB2312" w:eastAsia="仿宋_GB2312" w:cs="仿宋_GB2312"/>
          <w:color w:val="000000"/>
          <w:kern w:val="2"/>
          <w:sz w:val="32"/>
          <w:szCs w:val="32"/>
        </w:rPr>
        <w:t>在</w:t>
      </w:r>
      <w:r>
        <w:rPr>
          <w:rFonts w:hint="eastAsia" w:ascii="仿宋_GB2312" w:eastAsia="仿宋_GB2312" w:cs="仿宋_GB2312"/>
          <w:color w:val="000000"/>
          <w:sz w:val="32"/>
          <w:szCs w:val="32"/>
          <w:lang w:val="en-US" w:eastAsia="zh-CN"/>
        </w:rPr>
        <w:t>有条件的老年</w:t>
      </w:r>
      <w:r>
        <w:rPr>
          <w:rFonts w:hint="eastAsia" w:ascii="仿宋_GB2312" w:hAnsi="仿宋_GB2312" w:eastAsia="仿宋_GB2312" w:cs="仿宋_GB2312"/>
          <w:sz w:val="32"/>
          <w:szCs w:val="32"/>
          <w:lang w:val="en-US" w:eastAsia="zh-CN"/>
        </w:rPr>
        <w:t>助餐</w:t>
      </w:r>
      <w:r>
        <w:rPr>
          <w:rFonts w:hint="eastAsia" w:ascii="仿宋_GB2312" w:eastAsia="仿宋_GB2312" w:cs="仿宋_GB2312"/>
          <w:bCs/>
          <w:color w:val="000000"/>
          <w:kern w:val="2"/>
          <w:sz w:val="32"/>
          <w:szCs w:val="32"/>
          <w:lang w:val="en-US" w:eastAsia="zh-CN"/>
        </w:rPr>
        <w:t>服务点</w:t>
      </w:r>
      <w:r>
        <w:rPr>
          <w:rFonts w:hint="eastAsia" w:ascii="仿宋_GB2312" w:eastAsia="仿宋_GB2312" w:cs="仿宋_GB2312"/>
          <w:color w:val="000000"/>
          <w:sz w:val="32"/>
          <w:szCs w:val="32"/>
          <w:lang w:val="en-US" w:eastAsia="zh-CN"/>
        </w:rPr>
        <w:t>可拓展“店中店”便民服务。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color w:val="000000"/>
          <w:kern w:val="2"/>
          <w:sz w:val="32"/>
          <w:szCs w:val="32"/>
          <w:lang w:val="en-US" w:eastAsia="zh-CN"/>
        </w:rPr>
      </w:pPr>
      <w:r>
        <w:rPr>
          <w:rFonts w:hint="eastAsia" w:ascii="楷体_GB2312" w:hAnsi="楷体_GB2312" w:eastAsia="楷体_GB2312" w:cs="楷体_GB2312"/>
          <w:b w:val="0"/>
          <w:bCs w:val="0"/>
          <w:color w:val="auto"/>
          <w:sz w:val="32"/>
          <w:szCs w:val="32"/>
          <w:lang w:val="en-US" w:eastAsia="zh-CN"/>
        </w:rPr>
        <w:t>（四）积极拓展老年助餐发展模式。</w:t>
      </w:r>
      <w:r>
        <w:rPr>
          <w:rFonts w:hint="default" w:ascii="仿宋_GB2312" w:eastAsia="仿宋_GB2312" w:cs="仿宋_GB2312"/>
          <w:bCs/>
          <w:color w:val="000000"/>
          <w:kern w:val="2"/>
          <w:sz w:val="32"/>
          <w:szCs w:val="32"/>
          <w:lang w:val="en-US" w:eastAsia="zh-CN"/>
        </w:rPr>
        <w:t>整合用好街镇村社、养老服务机构、社会组织、餐饮机构、社工志愿者等各方资源，</w:t>
      </w:r>
      <w:r>
        <w:rPr>
          <w:rFonts w:hint="eastAsia" w:ascii="仿宋_GB2312" w:eastAsia="仿宋_GB2312" w:cs="仿宋_GB2312"/>
          <w:bCs/>
          <w:color w:val="000000"/>
          <w:kern w:val="2"/>
          <w:sz w:val="32"/>
          <w:szCs w:val="32"/>
          <w:lang w:val="en-US" w:eastAsia="zh-CN"/>
        </w:rPr>
        <w:t>积极探索“幸福老年助餐点+委托运营”、“机构辐射+专业助餐”等社会化运营模式，充分对接品牌优质、信誉良好、服务创新的助餐服务公司，择优将其引入老人助餐服务领域，鼓励养老机构“破围墙、增功能”，为周边社区老年人提供适合口味的餐食，鼓励社会慈善力量筹集资金建立“爱心厨房”，为需要帮助的老年人提供“爱心便民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（五）积极探索数字支撑。</w:t>
      </w:r>
      <w:r>
        <w:rPr>
          <w:rFonts w:hint="eastAsia" w:ascii="仿宋_GB2312" w:eastAsia="仿宋_GB2312" w:cs="仿宋_GB2312"/>
          <w:color w:val="000000"/>
          <w:kern w:val="2"/>
          <w:sz w:val="32"/>
          <w:szCs w:val="32"/>
          <w:lang w:val="en-US" w:eastAsia="zh-CN" w:bidi="ar-SA"/>
        </w:rPr>
        <w:t>开发老年助餐服务信息平台</w:t>
      </w:r>
      <w:r>
        <w:rPr>
          <w:rFonts w:hint="default" w:ascii="仿宋_GB2312" w:eastAsia="仿宋_GB2312" w:cs="仿宋_GB2312"/>
          <w:color w:val="000000"/>
          <w:kern w:val="2"/>
          <w:sz w:val="32"/>
          <w:szCs w:val="32"/>
          <w:lang w:val="en-US" w:eastAsia="zh-CN" w:bidi="ar-SA"/>
        </w:rPr>
        <w:t>，集成老年人基本信息、老年</w:t>
      </w:r>
      <w:r>
        <w:rPr>
          <w:rFonts w:hint="eastAsia" w:ascii="仿宋_GB2312" w:hAnsi="仿宋_GB2312" w:eastAsia="仿宋_GB2312" w:cs="仿宋_GB2312"/>
          <w:sz w:val="32"/>
          <w:szCs w:val="32"/>
          <w:lang w:val="en-US" w:eastAsia="zh-CN"/>
        </w:rPr>
        <w:t>助餐服务点</w:t>
      </w:r>
      <w:r>
        <w:rPr>
          <w:rFonts w:hint="default" w:ascii="仿宋_GB2312" w:eastAsia="仿宋_GB2312" w:cs="仿宋_GB2312"/>
          <w:color w:val="000000"/>
          <w:kern w:val="2"/>
          <w:sz w:val="32"/>
          <w:szCs w:val="32"/>
          <w:lang w:val="en-US" w:eastAsia="zh-CN" w:bidi="ar-SA"/>
        </w:rPr>
        <w:t>地图、</w:t>
      </w:r>
      <w:r>
        <w:rPr>
          <w:rFonts w:hint="eastAsia" w:ascii="仿宋_GB2312" w:hAnsi="仿宋_GB2312" w:eastAsia="仿宋_GB2312" w:cs="仿宋_GB2312"/>
          <w:sz w:val="32"/>
          <w:szCs w:val="32"/>
          <w:lang w:val="en-US" w:eastAsia="zh-CN"/>
        </w:rPr>
        <w:t>老年助餐服务点</w:t>
      </w:r>
      <w:r>
        <w:rPr>
          <w:rFonts w:hint="default" w:ascii="仿宋_GB2312" w:eastAsia="仿宋_GB2312" w:cs="仿宋_GB2312"/>
          <w:color w:val="000000"/>
          <w:kern w:val="2"/>
          <w:sz w:val="32"/>
          <w:szCs w:val="32"/>
          <w:lang w:val="en-US" w:eastAsia="zh-CN" w:bidi="ar-SA"/>
        </w:rPr>
        <w:t>菜单、订餐就餐送餐等数据信息，试点老年助餐服务信息化支付结算工作。引导老年人及代理人通过各类平台APP开展订餐、配餐、送餐，由网络平台直接将餐品配送到老年人家中，鼓励网络平台提供优惠服务。</w:t>
      </w:r>
      <w:r>
        <w:rPr>
          <w:rFonts w:hint="eastAsia" w:ascii="仿宋_GB2312" w:eastAsia="仿宋_GB2312" w:cs="仿宋_GB2312"/>
          <w:color w:val="000000"/>
          <w:kern w:val="2"/>
          <w:sz w:val="32"/>
          <w:szCs w:val="32"/>
          <w:lang w:val="en-US" w:eastAsia="zh-CN" w:bidi="ar-SA"/>
        </w:rPr>
        <w:t>鼓励外卖平台依托自身优势，</w:t>
      </w:r>
      <w:r>
        <w:rPr>
          <w:rFonts w:hint="default" w:ascii="仿宋_GB2312" w:eastAsia="仿宋_GB2312" w:cs="仿宋_GB2312"/>
          <w:color w:val="000000"/>
          <w:kern w:val="2"/>
          <w:sz w:val="32"/>
          <w:szCs w:val="32"/>
          <w:lang w:val="en-US" w:eastAsia="zh-CN" w:bidi="ar-SA"/>
        </w:rPr>
        <w:t>尝试通过数字平台构建</w:t>
      </w:r>
      <w:r>
        <w:rPr>
          <w:rFonts w:hint="eastAsia" w:ascii="仿宋_GB2312" w:eastAsia="仿宋_GB2312" w:cs="仿宋_GB2312"/>
          <w:color w:val="000000"/>
          <w:kern w:val="2"/>
          <w:sz w:val="32"/>
          <w:szCs w:val="32"/>
          <w:lang w:val="en-US" w:eastAsia="zh-CN" w:bidi="ar-SA"/>
        </w:rPr>
        <w:t>“</w:t>
      </w:r>
      <w:r>
        <w:rPr>
          <w:rFonts w:hint="default" w:ascii="仿宋_GB2312" w:eastAsia="仿宋_GB2312" w:cs="仿宋_GB2312"/>
          <w:color w:val="000000"/>
          <w:kern w:val="2"/>
          <w:sz w:val="32"/>
          <w:szCs w:val="32"/>
          <w:lang w:val="en-US" w:eastAsia="zh-CN" w:bidi="ar-SA"/>
        </w:rPr>
        <w:t>15分钟数字生活圈</w:t>
      </w:r>
      <w:r>
        <w:rPr>
          <w:rFonts w:hint="eastAsia" w:ascii="仿宋_GB2312" w:eastAsia="仿宋_GB2312" w:cs="仿宋_GB2312"/>
          <w:color w:val="000000"/>
          <w:kern w:val="2"/>
          <w:sz w:val="32"/>
          <w:szCs w:val="32"/>
          <w:lang w:val="en-US" w:eastAsia="zh-CN" w:bidi="ar-SA"/>
        </w:rPr>
        <w:t>”</w:t>
      </w:r>
      <w:r>
        <w:rPr>
          <w:rFonts w:hint="default" w:ascii="仿宋_GB2312" w:eastAsia="仿宋_GB2312" w:cs="仿宋_GB2312"/>
          <w:color w:val="000000"/>
          <w:kern w:val="2"/>
          <w:sz w:val="32"/>
          <w:szCs w:val="32"/>
          <w:lang w:val="en-US" w:eastAsia="zh-CN" w:bidi="ar-SA"/>
        </w:rPr>
        <w:t>打通老年助餐</w:t>
      </w:r>
      <w:r>
        <w:rPr>
          <w:rFonts w:hint="eastAsia" w:ascii="仿宋_GB2312" w:eastAsia="仿宋_GB2312" w:cs="仿宋_GB2312"/>
          <w:color w:val="000000"/>
          <w:kern w:val="2"/>
          <w:sz w:val="32"/>
          <w:szCs w:val="32"/>
          <w:lang w:val="en-US" w:eastAsia="zh-CN" w:bidi="ar-SA"/>
        </w:rPr>
        <w:t>“</w:t>
      </w:r>
      <w:r>
        <w:rPr>
          <w:rFonts w:hint="default" w:ascii="仿宋_GB2312" w:eastAsia="仿宋_GB2312" w:cs="仿宋_GB2312"/>
          <w:color w:val="000000"/>
          <w:kern w:val="2"/>
          <w:sz w:val="32"/>
          <w:szCs w:val="32"/>
          <w:lang w:val="en-US" w:eastAsia="zh-CN" w:bidi="ar-SA"/>
        </w:rPr>
        <w:t>最后1米</w:t>
      </w:r>
      <w:r>
        <w:rPr>
          <w:rFonts w:hint="eastAsia" w:ascii="仿宋_GB2312" w:eastAsia="仿宋_GB2312" w:cs="仿宋_GB2312"/>
          <w:color w:val="000000"/>
          <w:kern w:val="2"/>
          <w:sz w:val="32"/>
          <w:szCs w:val="32"/>
          <w:lang w:val="en-US" w:eastAsia="zh-CN" w:bidi="ar-SA"/>
        </w:rPr>
        <w:t>”。</w:t>
      </w:r>
    </w:p>
    <w:p>
      <w:pPr>
        <w:pStyle w:val="4"/>
        <w:keepNext w:val="0"/>
        <w:keepLines w:val="0"/>
        <w:pageBreakBefore w:val="0"/>
        <w:kinsoku/>
        <w:wordWrap/>
        <w:overflowPunct/>
        <w:topLinePunct w:val="0"/>
        <w:autoSpaceDE/>
        <w:autoSpaceDN/>
        <w:bidi w:val="0"/>
        <w:adjustRightInd/>
        <w:snapToGrid/>
        <w:spacing w:line="560" w:lineRule="exact"/>
        <w:ind w:right="2" w:firstLine="640" w:firstLineChars="200"/>
        <w:jc w:val="both"/>
        <w:textAlignment w:val="auto"/>
        <w:rPr>
          <w:rFonts w:hint="default" w:ascii="仿宋_GB2312" w:eastAsia="仿宋_GB2312" w:cs="仿宋_GB2312" w:hAnsiTheme="minorHAns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（六）加强农村助餐服务。</w:t>
      </w:r>
      <w:r>
        <w:rPr>
          <w:rFonts w:hint="default" w:ascii="仿宋_GB2312" w:eastAsia="仿宋_GB2312" w:cs="仿宋_GB2312" w:hAnsiTheme="minorHAnsi"/>
          <w:color w:val="000000"/>
          <w:kern w:val="2"/>
          <w:sz w:val="32"/>
          <w:szCs w:val="32"/>
          <w:lang w:val="en-US" w:eastAsia="zh-CN" w:bidi="ar-SA"/>
        </w:rPr>
        <w:t>发挥居(村)委会和基层群众作用，探索邻里互助、设立“中心户”多户搭伙、结对帮扶等模式，灵活多样解决农村老年人助餐服务需求。支持农村地区扩大助餐服务供给，依托有条件的村部、日间照料站、农村幸福院等载体开</w:t>
      </w:r>
      <w:r>
        <w:rPr>
          <w:rFonts w:hint="eastAsia" w:ascii="仿宋_GB2312" w:eastAsia="仿宋_GB2312" w:cs="仿宋_GB2312" w:hAnsiTheme="minorHAnsi"/>
          <w:color w:val="000000"/>
          <w:kern w:val="2"/>
          <w:sz w:val="32"/>
          <w:szCs w:val="32"/>
          <w:lang w:val="en-US" w:eastAsia="zh-CN" w:bidi="ar-SA"/>
        </w:rPr>
        <w:t>展</w:t>
      </w:r>
      <w:r>
        <w:rPr>
          <w:rFonts w:hint="default" w:ascii="仿宋_GB2312" w:eastAsia="仿宋_GB2312" w:cs="仿宋_GB2312" w:hAnsiTheme="minorHAnsi"/>
          <w:color w:val="000000"/>
          <w:kern w:val="2"/>
          <w:sz w:val="32"/>
          <w:szCs w:val="32"/>
          <w:lang w:val="en-US" w:eastAsia="zh-CN" w:bidi="ar-SA"/>
        </w:rPr>
        <w:t>老年</w:t>
      </w:r>
      <w:r>
        <w:rPr>
          <w:rFonts w:hint="eastAsia" w:ascii="仿宋_GB2312" w:eastAsia="仿宋_GB2312" w:cs="仿宋_GB2312" w:hAnsiTheme="minorHAnsi"/>
          <w:color w:val="000000"/>
          <w:kern w:val="2"/>
          <w:sz w:val="32"/>
          <w:szCs w:val="32"/>
          <w:lang w:val="en-US" w:eastAsia="zh-CN" w:bidi="ar-SA"/>
        </w:rPr>
        <w:t>助餐服务</w:t>
      </w:r>
      <w:r>
        <w:rPr>
          <w:rFonts w:hint="default" w:ascii="仿宋_GB2312" w:eastAsia="仿宋_GB2312" w:cs="仿宋_GB2312" w:hAnsiTheme="minorHAnsi"/>
          <w:color w:val="000000"/>
          <w:kern w:val="2"/>
          <w:sz w:val="32"/>
          <w:szCs w:val="32"/>
          <w:lang w:val="en-US" w:eastAsia="zh-CN" w:bidi="ar-SA"/>
        </w:rPr>
        <w:t>、设置老年助餐点。有条件的村集体经济组织经民主议事程序决定，可使用集体经济收入支持老年助餐服务。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kern w:val="2"/>
          <w:sz w:val="32"/>
          <w:szCs w:val="32"/>
          <w:u w:val="none"/>
          <w:lang w:val="en-US" w:eastAsia="zh-CN" w:bidi="ar-SA"/>
        </w:rPr>
      </w:pP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color w:val="000000"/>
          <w:kern w:val="0"/>
          <w:sz w:val="32"/>
          <w:szCs w:val="32"/>
          <w:lang w:val="en-US" w:eastAsia="zh-CN" w:bidi="ar"/>
        </w:rPr>
        <w:t>落实扶持优惠政策</w:t>
      </w:r>
      <w:r>
        <w:rPr>
          <w:rFonts w:hint="eastAsia" w:ascii="楷体_GB2312" w:hAnsi="楷体_GB2312" w:eastAsia="楷体_GB2312" w:cs="楷体_GB2312"/>
          <w:color w:val="000000"/>
          <w:kern w:val="2"/>
          <w:sz w:val="32"/>
          <w:szCs w:val="32"/>
          <w:lang w:val="en-US" w:eastAsia="zh-CN" w:bidi="ar-SA"/>
        </w:rPr>
        <w:t>。</w:t>
      </w:r>
      <w:r>
        <w:rPr>
          <w:rFonts w:hint="eastAsia" w:ascii="仿宋_GB2312" w:eastAsia="仿宋_GB2312" w:cs="仿宋_GB2312"/>
          <w:color w:val="000000"/>
          <w:kern w:val="2"/>
          <w:sz w:val="32"/>
          <w:szCs w:val="32"/>
          <w:u w:val="none"/>
          <w:lang w:val="en-US" w:eastAsia="zh-CN" w:bidi="ar-SA"/>
        </w:rPr>
        <w:t>按照财政部等6部委《关于养老、托育、家政等社区家庭服务业税费优惠政策的公告》(财政部公告2019年第76号)相关规定，提供社区养老服务取得的收入免征增值税；在计算应纳税所得额时，减按90%计入收入总额；承受房屋、土地用于提供社区养老服务的，免征契税；为社区提供养老服务的机构自有或其通过承租、无偿使用等方式取得并用于提供社区养老服务的房产、土地，免征房产税、城镇土地使用税</w:t>
      </w:r>
      <w:r>
        <w:rPr>
          <w:rFonts w:hint="default" w:ascii="仿宋_GB2312" w:eastAsia="仿宋_GB2312" w:cs="仿宋_GB2312"/>
          <w:color w:val="000000"/>
          <w:kern w:val="2"/>
          <w:sz w:val="32"/>
          <w:szCs w:val="32"/>
          <w:u w:val="none"/>
          <w:lang w:val="en-US" w:eastAsia="zh-CN" w:bidi="ar-SA"/>
        </w:rPr>
        <w:t>,</w:t>
      </w:r>
      <w:r>
        <w:rPr>
          <w:rFonts w:hint="eastAsia" w:ascii="仿宋_GB2312" w:eastAsia="仿宋_GB2312" w:cs="仿宋_GB2312"/>
          <w:color w:val="000000"/>
          <w:kern w:val="2"/>
          <w:sz w:val="32"/>
          <w:szCs w:val="32"/>
          <w:u w:val="none"/>
          <w:lang w:val="en-US" w:eastAsia="zh-CN" w:bidi="ar-SA"/>
        </w:rPr>
        <w:t>按规定免征不动产登记费、土地闲置费、城市基础设施配套费等费用。对符合条件的社区养老服务机构，用水、用电、用气、用热执行居民生活类价格。社区养老服务是指为老年人提供的生活照料、康复护理、助餐助行、紧急救援、精神慰藉等服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2"/>
          <w:sz w:val="32"/>
          <w:szCs w:val="32"/>
          <w:highlight w:val="none"/>
          <w:lang w:val="en-US" w:eastAsia="zh-CN" w:bidi="ar-SA"/>
        </w:rPr>
      </w:pPr>
      <w:r>
        <w:rPr>
          <w:rFonts w:hint="eastAsia" w:ascii="楷体_GB2312" w:hAnsi="楷体_GB2312" w:eastAsia="楷体_GB2312" w:cs="楷体_GB2312"/>
          <w:sz w:val="32"/>
          <w:szCs w:val="32"/>
          <w:lang w:val="en-US" w:eastAsia="zh-CN"/>
        </w:rPr>
        <w:t>（八）明确补助标准</w:t>
      </w:r>
      <w:r>
        <w:rPr>
          <w:rFonts w:hint="eastAsia" w:ascii="楷体_GB2312" w:hAnsi="楷体_GB2312" w:eastAsia="楷体_GB2312" w:cs="楷体_GB2312"/>
          <w:color w:val="000000"/>
          <w:kern w:val="2"/>
          <w:sz w:val="32"/>
          <w:szCs w:val="32"/>
          <w:highlight w:val="none"/>
          <w:lang w:val="en-US" w:eastAsia="zh-CN" w:bidi="ar-SA"/>
        </w:rPr>
        <w:t>。对</w:t>
      </w:r>
      <w:r>
        <w:rPr>
          <w:rFonts w:hint="eastAsia" w:ascii="仿宋_GB2312" w:hAnsi="仿宋_GB2312" w:eastAsia="仿宋_GB2312" w:cs="仿宋_GB2312"/>
          <w:color w:val="000000"/>
          <w:kern w:val="0"/>
          <w:sz w:val="32"/>
          <w:szCs w:val="32"/>
          <w:highlight w:val="none"/>
          <w:lang w:val="en-US" w:eastAsia="zh-CN" w:bidi="ar"/>
        </w:rPr>
        <w:t>60周岁及以上特困分散供养、低保、低保边缘家庭、计划生育特殊家庭中的老年人。每人每天补助3餐，早餐补助1元、中餐补助</w:t>
      </w:r>
      <w:r>
        <w:rPr>
          <w:rFonts w:hint="default" w:ascii="仿宋_GB2312" w:hAnsi="仿宋_GB2312" w:eastAsia="仿宋_GB2312" w:cs="仿宋_GB2312"/>
          <w:color w:val="000000"/>
          <w:kern w:val="0"/>
          <w:sz w:val="32"/>
          <w:szCs w:val="32"/>
          <w:highlight w:val="none"/>
          <w:lang w:val="en-US" w:eastAsia="zh-CN" w:bidi="ar"/>
        </w:rPr>
        <w:t>1</w:t>
      </w:r>
      <w:r>
        <w:rPr>
          <w:rFonts w:hint="eastAsia" w:ascii="仿宋_GB2312" w:hAnsi="仿宋_GB2312" w:eastAsia="仿宋_GB2312" w:cs="仿宋_GB2312"/>
          <w:color w:val="000000"/>
          <w:kern w:val="0"/>
          <w:sz w:val="32"/>
          <w:szCs w:val="32"/>
          <w:highlight w:val="none"/>
          <w:lang w:val="en-US" w:eastAsia="zh-CN" w:bidi="ar"/>
        </w:rPr>
        <w:t>元、晚餐补助</w:t>
      </w:r>
      <w:r>
        <w:rPr>
          <w:rFonts w:hint="default" w:ascii="仿宋_GB2312" w:hAnsi="仿宋_GB2312" w:eastAsia="仿宋_GB2312" w:cs="仿宋_GB2312"/>
          <w:color w:val="000000"/>
          <w:kern w:val="0"/>
          <w:sz w:val="32"/>
          <w:szCs w:val="32"/>
          <w:highlight w:val="none"/>
          <w:lang w:val="en-US" w:eastAsia="zh-CN" w:bidi="ar"/>
        </w:rPr>
        <w:t>1</w:t>
      </w:r>
      <w:r>
        <w:rPr>
          <w:rFonts w:hint="eastAsia" w:ascii="仿宋_GB2312" w:hAnsi="仿宋_GB2312" w:eastAsia="仿宋_GB2312" w:cs="仿宋_GB2312"/>
          <w:color w:val="000000"/>
          <w:kern w:val="0"/>
          <w:sz w:val="32"/>
          <w:szCs w:val="32"/>
          <w:highlight w:val="none"/>
          <w:lang w:val="en-US" w:eastAsia="zh-CN" w:bidi="ar"/>
        </w:rPr>
        <w:t xml:space="preserve">元。就餐补助不发放现金，不能累计使用和转赠。已入住养老机构的老年人在入住机构内用餐不享受就餐补助政策。由助餐点运营主体在与符合就餐补助政策的老年人就餐结算时，直接给予扣减。各县（市）区民政部门每月与助餐点进行据实结算。助餐点当年实际运营满240天，并且为60周岁及以上老年人服务人次占总服务人次比例达到30%及以上的，可向区民政部门申请运营补助。其中，日均助餐人数在20-50人次的，给予每年2万元运营补助；日均助餐人数51-100人次的，给予每年3万元运营补助；日均助餐人数100人次以上的，给予每年4万元运营补助。受不可抗力因素影响，导致助餐点每年实际运营不足240天的，由各县（市）区政府根据实际情况另行出台助企纾困政策。运营补助由各县（市）区民政部门每年与助餐点进行据实结算。各县（市）区民政部门要根据助餐点服务人次、服务质量、群众满意度等，对助餐点运营情况进行评估，发放相应补助。 </w:t>
      </w:r>
    </w:p>
    <w:p>
      <w:pPr>
        <w:pStyle w:val="3"/>
        <w:ind w:firstLine="640" w:firstLineChars="200"/>
        <w:rPr>
          <w:rFonts w:hint="default" w:ascii="仿宋_GB2312" w:hAnsi="仿宋_GB2312" w:eastAsia="仿宋_GB2312" w:cs="仿宋_GB2312"/>
          <w:color w:val="FF0000"/>
          <w:sz w:val="32"/>
          <w:szCs w:val="32"/>
          <w:u w:val="single"/>
          <w:lang w:val="en-US" w:eastAsia="zh-CN"/>
        </w:rPr>
      </w:pPr>
      <w:r>
        <w:rPr>
          <w:rFonts w:hint="eastAsia" w:ascii="楷体_GB2312" w:hAnsi="楷体_GB2312" w:eastAsia="楷体_GB2312" w:cs="楷体_GB2312"/>
          <w:sz w:val="32"/>
          <w:szCs w:val="32"/>
          <w:highlight w:val="none"/>
          <w:lang w:val="en-US" w:eastAsia="zh-CN"/>
        </w:rPr>
        <w:t>（九）强化监督管理。</w:t>
      </w:r>
      <w:r>
        <w:rPr>
          <w:rFonts w:hint="eastAsia" w:ascii="仿宋_GB2312" w:hAnsi="仿宋_GB2312" w:eastAsia="仿宋_GB2312" w:cs="仿宋_GB2312"/>
          <w:sz w:val="32"/>
          <w:szCs w:val="32"/>
          <w:highlight w:val="none"/>
          <w:lang w:val="en-US" w:eastAsia="zh-CN"/>
        </w:rPr>
        <w:t>强化属地管理责任，加强对老年助餐点提供的商品价格、食品安全、质量监控，制定管理细则，确保规范运营，严格落实食品安全主体监管责任。可委托第三方机构，定期对老年助餐点经营状况、服务质量、市民反响等开展评估评价，结合用餐群众满意度等情况，适时动态调整扶持政策。县（市）区民政部门可会同市场监管部门对辖区的老年助餐服务设施统一编号，统一悬挂标识，统一建立台账，以适当方式向社会公布名单。鼓励具备条件的老年助餐机构采用透明可视方式公开展示餐饮服务相关过程，通过“互联网+明厨亮灶”等方式接受社会督促。鼓励具备条件的助餐点邀请“两代表、一委员”、社区居民代表等参与食品安全检查，并畅通投诉举报渠道，及时有效解决群众合理诉求。</w:t>
      </w:r>
      <w:r>
        <w:rPr>
          <w:rFonts w:hint="eastAsia" w:ascii="仿宋_GB2312" w:hAnsi="仿宋_GB2312" w:eastAsia="仿宋_GB2312" w:cs="仿宋_GB2312"/>
          <w:color w:val="auto"/>
          <w:sz w:val="32"/>
          <w:szCs w:val="32"/>
          <w:u w:val="none"/>
          <w:lang w:val="en-US" w:eastAsia="zh-CN"/>
        </w:rPr>
        <w:t>适时开展全员消防培训和演练，提升员工“四个能力”和自防自救水平。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（一）加强组织领导。</w:t>
      </w:r>
      <w:r>
        <w:rPr>
          <w:rFonts w:hint="eastAsia" w:ascii="仿宋_GB2312" w:eastAsia="仿宋_GB2312" w:cs="仿宋_GB2312"/>
          <w:color w:val="000000"/>
          <w:kern w:val="2"/>
          <w:sz w:val="32"/>
          <w:szCs w:val="32"/>
          <w:lang w:val="en-US" w:eastAsia="zh-CN" w:bidi="ar-SA"/>
        </w:rPr>
        <w:t>市民政局要做好</w:t>
      </w:r>
      <w:r>
        <w:rPr>
          <w:rFonts w:hint="eastAsia" w:ascii="仿宋_GB2312" w:hAnsi="仿宋_GB2312" w:eastAsia="仿宋_GB2312" w:cs="仿宋_GB2312"/>
          <w:sz w:val="32"/>
          <w:szCs w:val="32"/>
          <w:lang w:val="en-US" w:eastAsia="zh-CN"/>
        </w:rPr>
        <w:t>老年助餐服务点</w:t>
      </w:r>
      <w:r>
        <w:rPr>
          <w:rFonts w:hint="eastAsia" w:ascii="仿宋_GB2312" w:eastAsia="仿宋_GB2312" w:cs="仿宋_GB2312"/>
          <w:color w:val="000000"/>
          <w:kern w:val="2"/>
          <w:sz w:val="32"/>
          <w:szCs w:val="32"/>
          <w:lang w:val="en-US" w:eastAsia="zh-CN" w:bidi="ar-SA"/>
        </w:rPr>
        <w:t>规划建设的统筹协调工作，</w:t>
      </w:r>
      <w:r>
        <w:rPr>
          <w:rFonts w:hint="eastAsia" w:ascii="仿宋_GB2312" w:eastAsia="仿宋_GB2312" w:cs="仿宋_GB2312"/>
          <w:color w:val="000000"/>
          <w:sz w:val="32"/>
          <w:szCs w:val="32"/>
          <w:u w:val="none"/>
          <w:lang w:eastAsia="zh-CN"/>
        </w:rPr>
        <w:t>紧盯国家、省政策导向，积极争取相关政策扶持和资金支持。</w:t>
      </w:r>
      <w:r>
        <w:rPr>
          <w:rFonts w:hint="eastAsia" w:ascii="仿宋_GB2312" w:eastAsia="仿宋_GB2312" w:cs="仿宋_GB2312"/>
          <w:color w:val="000000"/>
          <w:kern w:val="2"/>
          <w:sz w:val="32"/>
          <w:szCs w:val="32"/>
          <w:lang w:val="en-US" w:eastAsia="zh-CN" w:bidi="ar-SA"/>
        </w:rPr>
        <w:t>各地政府要切实加强组织领导，成立工作领导小组，统筹本级发改、财政、税务、住建、市场监管等部门，做好</w:t>
      </w:r>
      <w:r>
        <w:rPr>
          <w:rFonts w:hint="eastAsia" w:ascii="仿宋_GB2312" w:hAnsi="仿宋_GB2312" w:eastAsia="仿宋_GB2312" w:cs="仿宋_GB2312"/>
          <w:sz w:val="32"/>
          <w:szCs w:val="32"/>
          <w:lang w:val="en-US" w:eastAsia="zh-CN"/>
        </w:rPr>
        <w:t>老年助餐服务点</w:t>
      </w:r>
      <w:r>
        <w:rPr>
          <w:rFonts w:hint="eastAsia" w:ascii="仿宋_GB2312" w:eastAsia="仿宋_GB2312" w:cs="仿宋_GB2312"/>
          <w:color w:val="000000"/>
          <w:kern w:val="2"/>
          <w:sz w:val="32"/>
          <w:szCs w:val="32"/>
          <w:lang w:val="en-US" w:eastAsia="zh-CN" w:bidi="ar-SA"/>
        </w:rPr>
        <w:t>规划建设的资源统筹、组织实施等工作，各乡镇(街道)要做好具体实施和落实工作，确保各项工作任务和扶持政策落实落地。</w:t>
      </w:r>
    </w:p>
    <w:p>
      <w:pPr>
        <w:spacing w:before="101" w:line="358" w:lineRule="auto"/>
        <w:ind w:left="139" w:right="148"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楷体_GB2312" w:eastAsia="楷体_GB2312" w:cs="黑体"/>
          <w:color w:val="000000"/>
          <w:kern w:val="0"/>
          <w:sz w:val="32"/>
          <w:szCs w:val="32"/>
          <w:lang w:val="en-US" w:eastAsia="zh-CN"/>
        </w:rPr>
        <w:t>（</w:t>
      </w:r>
      <w:r>
        <w:rPr>
          <w:rFonts w:hint="eastAsia" w:ascii="楷体_GB2312" w:eastAsia="楷体_GB2312" w:cs="黑体"/>
          <w:color w:val="000000"/>
          <w:kern w:val="0"/>
          <w:sz w:val="32"/>
          <w:szCs w:val="32"/>
          <w:lang w:eastAsia="zh-CN"/>
        </w:rPr>
        <w:t>二</w:t>
      </w:r>
      <w:r>
        <w:rPr>
          <w:rFonts w:hint="eastAsia" w:ascii="楷体_GB2312" w:eastAsia="楷体_GB2312" w:cs="黑体"/>
          <w:color w:val="000000"/>
          <w:kern w:val="0"/>
          <w:sz w:val="32"/>
          <w:szCs w:val="32"/>
          <w:lang w:val="en-US" w:eastAsia="zh-CN"/>
        </w:rPr>
        <w:t>）</w:t>
      </w:r>
      <w:r>
        <w:rPr>
          <w:rFonts w:hint="eastAsia" w:ascii="楷体_GB2312" w:eastAsia="楷体_GB2312" w:cs="黑体"/>
          <w:color w:val="000000"/>
          <w:kern w:val="0"/>
          <w:sz w:val="32"/>
          <w:szCs w:val="32"/>
        </w:rPr>
        <w:t>加强部门协同。</w:t>
      </w:r>
      <w:r>
        <w:rPr>
          <w:rFonts w:hint="eastAsia" w:ascii="仿宋_GB2312" w:hAnsi="仿宋_GB2312" w:eastAsia="仿宋_GB2312" w:cs="仿宋_GB2312"/>
          <w:color w:val="000000"/>
          <w:kern w:val="0"/>
          <w:sz w:val="32"/>
          <w:szCs w:val="32"/>
          <w:lang w:val="en-US" w:eastAsia="zh-CN" w:bidi="ar"/>
        </w:rPr>
        <w:t>各相关部门要提高政治站位、主动作为，协同配合，切实形成合力。民政部门要履行好牵头职责，加强组织协调和督促指导。发展改革部门负责把老年助餐服务纳入经济社会发展相关专项规划统筹推进。 公安部门负责依法惩治以老年助餐服务名义开展的非法集资活动，</w:t>
      </w:r>
      <w:r>
        <w:rPr>
          <w:rFonts w:hint="eastAsia" w:ascii="仿宋_GB2312" w:hAnsi="仿宋_GB2312" w:eastAsia="仿宋_GB2312" w:cs="仿宋_GB2312"/>
          <w:color w:val="auto"/>
          <w:kern w:val="0"/>
          <w:sz w:val="32"/>
          <w:szCs w:val="32"/>
          <w:u w:val="none"/>
          <w:lang w:val="en-US" w:eastAsia="zh-CN" w:bidi="ar"/>
        </w:rPr>
        <w:t>指导公安派出所加强对规模较小的老年助餐集中就餐场所的日常消防监督检查和宣传工作。</w:t>
      </w:r>
      <w:r>
        <w:rPr>
          <w:rFonts w:hint="eastAsia" w:ascii="仿宋_GB2312" w:hAnsi="仿宋_GB2312" w:eastAsia="仿宋_GB2312" w:cs="仿宋_GB2312"/>
          <w:color w:val="000000"/>
          <w:kern w:val="0"/>
          <w:sz w:val="32"/>
          <w:szCs w:val="32"/>
          <w:lang w:val="en-US" w:eastAsia="zh-CN" w:bidi="ar"/>
        </w:rPr>
        <w:t>财政部门负责按规定落实财税支持政策，加强资金规范使用监管。人力资源社会保障部门负责落实就业扶持政策，鼓励支持老年助餐服务机构吸纳重点群体就业，并按规定给予补贴。自然资源部门负责统筹规划老年助餐服务设施用地空间布局，保障和规范用地供应。住房城乡建设部门负责结合城镇老旧小区改造、完整社区建设试点等工作，统筹推进老年助餐服务设施建设。农业农村部门负责将农村老年助餐服务工作作为全面推进乡村振兴的重要内容，协调农村公共服务资源向老年助餐服务倾斜。商务部门负责引导有条件的餐饮、商贸物流企业和互联网平台参与老年助餐服务。市场监管部门负责会同相关行业主管部门加强对老年助餐服务的食品安全监管，配合民政部门建立食品安全监管信息共享制度；依据申请为参与助餐服务的养老服务机构扩大主体经营范围，允许开展社会化助餐服务。税务部门负责落实老年助餐服务领域税费优惠政策。消防救援部门负责依法加强对老年助餐服务场所的消防监督检查。其他有关部门按职责做好老年助餐服务相关工作。</w:t>
      </w:r>
    </w:p>
    <w:p>
      <w:pPr>
        <w:spacing w:before="101" w:line="358" w:lineRule="auto"/>
        <w:ind w:left="139" w:right="148"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2"/>
          <w:sz w:val="32"/>
          <w:szCs w:val="32"/>
          <w:lang w:val="en-US" w:eastAsia="zh-CN" w:bidi="ar-SA"/>
        </w:rPr>
        <w:t>（</w:t>
      </w:r>
      <w:r>
        <w:rPr>
          <w:rFonts w:hint="eastAsia" w:ascii="楷体_GB2312" w:eastAsia="楷体_GB2312" w:cs="黑体"/>
          <w:color w:val="000000"/>
          <w:kern w:val="0"/>
          <w:sz w:val="32"/>
          <w:szCs w:val="32"/>
          <w:lang w:val="en-US" w:eastAsia="zh-CN"/>
        </w:rPr>
        <w:t>三</w:t>
      </w:r>
      <w:r>
        <w:rPr>
          <w:rFonts w:hint="eastAsia" w:ascii="楷体_GB2312" w:hAnsi="楷体_GB2312" w:eastAsia="楷体_GB2312" w:cs="楷体_GB2312"/>
          <w:color w:val="000000"/>
          <w:kern w:val="2"/>
          <w:sz w:val="32"/>
          <w:szCs w:val="32"/>
          <w:lang w:val="en-US" w:eastAsia="zh-CN" w:bidi="ar-SA"/>
        </w:rPr>
        <w:t>）做好经费保障。</w:t>
      </w:r>
      <w:r>
        <w:rPr>
          <w:rFonts w:hint="eastAsia" w:ascii="仿宋_GB2312" w:hAnsi="仿宋_GB2312" w:eastAsia="仿宋_GB2312" w:cs="仿宋_GB2312"/>
          <w:color w:val="000000"/>
          <w:kern w:val="0"/>
          <w:sz w:val="32"/>
          <w:szCs w:val="32"/>
          <w:highlight w:val="none"/>
          <w:lang w:val="en-US" w:eastAsia="zh-CN" w:bidi="ar"/>
        </w:rPr>
        <w:t>扶持补助政策所涉及补助资金由 （市）区财政承担，市民政局、市财政局根据实际老年助餐服务人数，向上级申请补助资金</w:t>
      </w:r>
      <w:r>
        <w:rPr>
          <w:rFonts w:hint="eastAsia" w:ascii="仿宋_GB2312" w:hAnsi="仿宋_GB2312" w:eastAsia="仿宋_GB2312" w:cs="仿宋_GB2312"/>
          <w:color w:val="000000"/>
          <w:kern w:val="0"/>
          <w:sz w:val="32"/>
          <w:szCs w:val="32"/>
          <w:lang w:val="en-US" w:eastAsia="zh-CN" w:bidi="ar"/>
        </w:rPr>
        <w:t>。助餐点运营主体要使用市级老年人助餐服务信息管理平台系统，对就餐情况进行采集，作为发放补助资金的重要依据。未经属地民政和市场监管部门备案认定的点位和未接入市助餐服务系统的数据不予补助。各县（市）区民政、财政部门要加强资金监管，对采取弄虚作假、虚报冒领等形式套取补助资金的，一经查实，将依照有关规定如数追回补助资金，并追究相关单位和个人责任，违反法律的，移交司法机关处置。</w:t>
      </w:r>
    </w:p>
    <w:p>
      <w:pPr>
        <w:spacing w:before="101" w:line="358" w:lineRule="auto"/>
        <w:ind w:left="139" w:right="148" w:firstLine="640" w:firstLineChars="200"/>
        <w:jc w:val="both"/>
        <w:rPr>
          <w:rFonts w:hint="eastAsia" w:ascii="仿宋_GB2312" w:eastAsia="仿宋_GB2312" w:cs="仿宋_GB2312"/>
          <w:color w:val="000000"/>
          <w:kern w:val="2"/>
          <w:sz w:val="32"/>
          <w:szCs w:val="32"/>
          <w:u w:val="none"/>
          <w:lang w:val="en-US" w:eastAsia="zh-CN" w:bidi="ar-SA"/>
        </w:rPr>
      </w:pPr>
      <w:r>
        <w:rPr>
          <w:rFonts w:hint="eastAsia" w:ascii="楷体_GB2312" w:eastAsia="楷体_GB2312" w:cs="黑体"/>
          <w:color w:val="000000"/>
          <w:kern w:val="0"/>
          <w:sz w:val="32"/>
          <w:szCs w:val="32"/>
        </w:rPr>
        <w:t>（</w:t>
      </w:r>
      <w:r>
        <w:rPr>
          <w:rFonts w:hint="eastAsia" w:ascii="楷体_GB2312" w:hAnsi="楷体_GB2312" w:eastAsia="楷体_GB2312" w:cs="楷体_GB2312"/>
          <w:color w:val="000000"/>
          <w:kern w:val="2"/>
          <w:sz w:val="32"/>
          <w:szCs w:val="32"/>
          <w:lang w:val="en-US" w:eastAsia="zh-CN" w:bidi="ar-SA"/>
        </w:rPr>
        <w:t>四</w:t>
      </w:r>
      <w:r>
        <w:rPr>
          <w:rFonts w:hint="eastAsia" w:ascii="楷体_GB2312" w:eastAsia="楷体_GB2312" w:cs="黑体"/>
          <w:color w:val="000000"/>
          <w:kern w:val="0"/>
          <w:sz w:val="32"/>
          <w:szCs w:val="32"/>
        </w:rPr>
        <w:t>）</w:t>
      </w:r>
      <w:r>
        <w:rPr>
          <w:rFonts w:hint="eastAsia" w:ascii="楷体_GB2312" w:hAnsi="楷体_GB2312" w:eastAsia="楷体_GB2312" w:cs="楷体_GB2312"/>
          <w:color w:val="000000"/>
          <w:kern w:val="2"/>
          <w:sz w:val="32"/>
          <w:szCs w:val="32"/>
          <w:lang w:val="en-US" w:eastAsia="zh-CN" w:bidi="ar-SA"/>
        </w:rPr>
        <w:t>强化宣传引导。</w:t>
      </w:r>
      <w:r>
        <w:rPr>
          <w:rFonts w:hint="eastAsia" w:ascii="仿宋_GB2312" w:eastAsia="仿宋_GB2312" w:cs="仿宋"/>
          <w:color w:val="000000"/>
          <w:sz w:val="32"/>
          <w:szCs w:val="32"/>
          <w:lang w:val="en-US" w:eastAsia="zh-CN"/>
        </w:rPr>
        <w:t>通过</w:t>
      </w:r>
      <w:r>
        <w:rPr>
          <w:rFonts w:hint="eastAsia" w:ascii="仿宋_GB2312" w:eastAsia="仿宋_GB2312" w:cs="仿宋"/>
          <w:color w:val="000000"/>
          <w:sz w:val="32"/>
          <w:szCs w:val="32"/>
        </w:rPr>
        <w:t>各种宣传媒体，大力宣传</w:t>
      </w:r>
      <w:r>
        <w:rPr>
          <w:rFonts w:hint="eastAsia" w:ascii="仿宋_GB2312" w:hAnsi="仿宋_GB2312" w:eastAsia="仿宋_GB2312" w:cs="仿宋_GB2312"/>
          <w:sz w:val="32"/>
          <w:szCs w:val="32"/>
          <w:lang w:val="en-US" w:eastAsia="zh-CN"/>
        </w:rPr>
        <w:t>老年助餐服务</w:t>
      </w:r>
      <w:r>
        <w:rPr>
          <w:rFonts w:hint="eastAsia" w:ascii="仿宋_GB2312" w:eastAsia="仿宋_GB2312" w:cs="仿宋"/>
          <w:color w:val="000000"/>
          <w:sz w:val="32"/>
          <w:szCs w:val="32"/>
        </w:rPr>
        <w:t>的意义</w:t>
      </w:r>
      <w:r>
        <w:rPr>
          <w:rFonts w:hint="eastAsia" w:ascii="仿宋_GB2312" w:eastAsia="仿宋_GB2312" w:cs="仿宋"/>
          <w:color w:val="000000"/>
          <w:sz w:val="32"/>
          <w:szCs w:val="32"/>
          <w:lang w:eastAsia="zh-CN"/>
        </w:rPr>
        <w:t>和各项优惠政策，</w:t>
      </w:r>
      <w:r>
        <w:rPr>
          <w:rFonts w:hint="eastAsia" w:ascii="仿宋_GB2312" w:eastAsia="仿宋_GB2312" w:cs="仿宋"/>
          <w:color w:val="000000"/>
          <w:sz w:val="32"/>
          <w:szCs w:val="32"/>
        </w:rPr>
        <w:t>调动社会参与的积极性，创建品牌，培育典型</w:t>
      </w:r>
      <w:r>
        <w:rPr>
          <w:rFonts w:ascii="仿宋_GB2312" w:eastAsia="仿宋_GB2312" w:cs="仿宋"/>
          <w:color w:val="000000"/>
          <w:sz w:val="32"/>
          <w:szCs w:val="32"/>
        </w:rPr>
        <w:t>，增强</w:t>
      </w:r>
      <w:r>
        <w:rPr>
          <w:rFonts w:hint="eastAsia" w:ascii="仿宋_GB2312" w:hAnsi="仿宋_GB2312" w:eastAsia="仿宋_GB2312" w:cs="仿宋_GB2312"/>
          <w:sz w:val="32"/>
          <w:szCs w:val="32"/>
          <w:lang w:val="en-US" w:eastAsia="zh-CN"/>
        </w:rPr>
        <w:t>老年助餐服务</w:t>
      </w:r>
      <w:r>
        <w:rPr>
          <w:rFonts w:ascii="仿宋_GB2312" w:eastAsia="仿宋_GB2312" w:cs="仿宋"/>
          <w:color w:val="000000"/>
          <w:sz w:val="32"/>
          <w:szCs w:val="32"/>
        </w:rPr>
        <w:t>的</w:t>
      </w:r>
      <w:r>
        <w:rPr>
          <w:rFonts w:hint="eastAsia" w:ascii="仿宋_GB2312" w:eastAsia="仿宋_GB2312" w:cs="仿宋"/>
          <w:color w:val="000000"/>
          <w:sz w:val="32"/>
          <w:szCs w:val="32"/>
          <w:lang w:val="en-US" w:eastAsia="zh-CN"/>
        </w:rPr>
        <w:t>社会</w:t>
      </w:r>
      <w:r>
        <w:rPr>
          <w:rFonts w:ascii="仿宋_GB2312" w:eastAsia="仿宋_GB2312" w:cs="仿宋"/>
          <w:color w:val="000000"/>
          <w:sz w:val="32"/>
          <w:szCs w:val="32"/>
        </w:rPr>
        <w:t>影响力</w:t>
      </w:r>
      <w:r>
        <w:rPr>
          <w:rFonts w:hint="eastAsia" w:ascii="仿宋_GB2312" w:eastAsia="仿宋_GB2312" w:cs="仿宋"/>
          <w:color w:val="000000"/>
          <w:sz w:val="32"/>
          <w:szCs w:val="32"/>
        </w:rPr>
        <w:t>。</w:t>
      </w:r>
      <w:r>
        <w:rPr>
          <w:rFonts w:hint="eastAsia" w:ascii="仿宋_GB2312" w:eastAsia="仿宋_GB2312" w:cs="仿宋_GB2312"/>
          <w:color w:val="000000"/>
          <w:kern w:val="2"/>
          <w:sz w:val="32"/>
          <w:szCs w:val="32"/>
          <w:lang w:val="en-US" w:eastAsia="zh-CN" w:bidi="ar-SA"/>
        </w:rPr>
        <w:t>各街道、社区（村）要深入居民当中宣传推广助餐服务，提高群众知晓率。</w:t>
      </w:r>
      <w:r>
        <w:rPr>
          <w:rFonts w:hint="eastAsia" w:ascii="仿宋_GB2312" w:eastAsia="仿宋_GB2312" w:cs="仿宋_GB2312"/>
          <w:color w:val="000000"/>
          <w:kern w:val="2"/>
          <w:sz w:val="32"/>
          <w:szCs w:val="32"/>
          <w:u w:val="none"/>
          <w:lang w:val="en-US" w:eastAsia="zh-CN" w:bidi="ar-SA"/>
        </w:rPr>
        <w:t>积极宣传老年助餐服务中的先进典型，充分调动各方力量参与老年助餐的积极性，努力营造全社会关心老年人、支持老年助餐服务的良好氛围。</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rightChars="0" w:firstLine="640" w:firstLineChars="200"/>
        <w:jc w:val="both"/>
        <w:textAlignment w:val="auto"/>
        <w:rPr>
          <w:rFonts w:hint="eastAsia" w:ascii="楷体_GB2312" w:hAnsi="楷体_GB2312" w:eastAsia="楷体_GB2312" w:cs="楷体_GB2312"/>
          <w:color w:val="000000"/>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rightChars="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附件：鞍山市老年助餐服务备案表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40" w:rightChars="0" w:firstLine="6080" w:firstLineChars="1900"/>
        <w:jc w:val="both"/>
        <w:textAlignment w:val="auto"/>
        <w:rPr>
          <w:rFonts w:hint="default" w:ascii="仿宋_GB2312" w:eastAsia="仿宋_GB2312" w:cs="仿宋_GB2312" w:hAnsiTheme="minorHAnsi"/>
          <w:color w:val="000000"/>
          <w:kern w:val="2"/>
          <w:sz w:val="32"/>
          <w:szCs w:val="32"/>
          <w:lang w:val="en-US" w:eastAsia="zh-CN" w:bidi="ar-SA"/>
        </w:rPr>
      </w:pPr>
    </w:p>
    <w:p>
      <w:pPr>
        <w:spacing w:before="101" w:line="227" w:lineRule="auto"/>
        <w:rPr>
          <w:rFonts w:ascii="黑体" w:hAnsi="黑体" w:eastAsia="黑体" w:cs="黑体"/>
          <w:spacing w:val="-4"/>
          <w:sz w:val="32"/>
          <w:szCs w:val="32"/>
        </w:rPr>
      </w:pPr>
    </w:p>
    <w:p>
      <w:pPr>
        <w:spacing w:before="101" w:line="227" w:lineRule="auto"/>
        <w:rPr>
          <w:rFonts w:hint="default" w:ascii="黑体" w:hAnsi="黑体" w:eastAsia="黑体" w:cs="黑体"/>
          <w:sz w:val="32"/>
          <w:szCs w:val="32"/>
          <w:lang w:val="en-US"/>
        </w:rPr>
      </w:pPr>
      <w:bookmarkStart w:id="0" w:name="_GoBack"/>
      <w:bookmarkEnd w:id="0"/>
      <w:r>
        <w:rPr>
          <w:rFonts w:ascii="黑体" w:hAnsi="黑体" w:eastAsia="黑体" w:cs="黑体"/>
          <w:spacing w:val="-4"/>
          <w:sz w:val="32"/>
          <w:szCs w:val="32"/>
        </w:rPr>
        <w:t>附件</w:t>
      </w:r>
      <w:r>
        <w:rPr>
          <w:rFonts w:ascii="黑体" w:hAnsi="黑体" w:eastAsia="黑体" w:cs="黑体"/>
          <w:spacing w:val="-66"/>
          <w:sz w:val="32"/>
          <w:szCs w:val="32"/>
        </w:rPr>
        <w:t xml:space="preserve"> </w:t>
      </w:r>
    </w:p>
    <w:p>
      <w:pPr>
        <w:spacing w:line="247" w:lineRule="auto"/>
        <w:rPr>
          <w:rFonts w:ascii="Arial"/>
          <w:sz w:val="21"/>
        </w:rPr>
      </w:pPr>
    </w:p>
    <w:p>
      <w:pPr>
        <w:spacing w:before="140" w:line="222" w:lineRule="auto"/>
        <w:jc w:val="center"/>
        <w:rPr>
          <w:rFonts w:ascii="宋体" w:hAnsi="宋体" w:eastAsia="宋体" w:cs="宋体"/>
          <w:sz w:val="44"/>
          <w:szCs w:val="44"/>
        </w:rPr>
      </w:pPr>
      <w:r>
        <w:rPr>
          <w:rFonts w:hint="eastAsia" w:ascii="宋体" w:hAnsi="宋体" w:eastAsia="宋体" w:cs="宋体"/>
          <w:spacing w:val="8"/>
          <w:sz w:val="44"/>
          <w:szCs w:val="44"/>
          <w:lang w:val="en-US" w:eastAsia="zh-CN"/>
          <w14:textOutline w14:w="6350" w14:cap="flat" w14:cmpd="sng">
            <w14:solidFill>
              <w14:srgbClr w14:val="000000"/>
            </w14:solidFill>
            <w14:prstDash w14:val="solid"/>
            <w14:miter w14:val="0"/>
          </w14:textOutline>
        </w:rPr>
        <w:t>鞍山</w:t>
      </w:r>
      <w:r>
        <w:rPr>
          <w:rFonts w:ascii="宋体" w:hAnsi="宋体" w:eastAsia="宋体" w:cs="宋体"/>
          <w:spacing w:val="8"/>
          <w:sz w:val="44"/>
          <w:szCs w:val="44"/>
          <w14:textOutline w14:w="6350" w14:cap="flat" w14:cmpd="sng">
            <w14:solidFill>
              <w14:srgbClr w14:val="000000"/>
            </w14:solidFill>
            <w14:prstDash w14:val="solid"/>
            <w14:miter w14:val="0"/>
          </w14:textOutline>
        </w:rPr>
        <w:t>市老年助餐</w:t>
      </w:r>
      <w:r>
        <w:rPr>
          <w:rFonts w:hint="eastAsia" w:ascii="宋体" w:hAnsi="宋体" w:eastAsia="宋体" w:cs="宋体"/>
          <w:spacing w:val="8"/>
          <w:sz w:val="44"/>
          <w:szCs w:val="44"/>
          <w:lang w:val="en-US" w:eastAsia="zh-CN"/>
          <w14:textOutline w14:w="6350" w14:cap="flat" w14:cmpd="sng">
            <w14:solidFill>
              <w14:srgbClr w14:val="000000"/>
            </w14:solidFill>
            <w14:prstDash w14:val="solid"/>
            <w14:miter w14:val="0"/>
          </w14:textOutline>
        </w:rPr>
        <w:t>服务</w:t>
      </w:r>
      <w:r>
        <w:rPr>
          <w:rFonts w:ascii="宋体" w:hAnsi="宋体" w:eastAsia="宋体" w:cs="宋体"/>
          <w:spacing w:val="8"/>
          <w:sz w:val="44"/>
          <w:szCs w:val="44"/>
          <w14:textOutline w14:w="6350" w14:cap="flat" w14:cmpd="sng">
            <w14:solidFill>
              <w14:srgbClr w14:val="000000"/>
            </w14:solidFill>
            <w14:prstDash w14:val="solid"/>
            <w14:miter w14:val="0"/>
          </w14:textOutline>
        </w:rPr>
        <w:t>备案表</w:t>
      </w:r>
    </w:p>
    <w:p>
      <w:pPr>
        <w:spacing w:line="322" w:lineRule="auto"/>
        <w:rPr>
          <w:rFonts w:ascii="Arial"/>
          <w:sz w:val="21"/>
        </w:rPr>
      </w:pPr>
    </w:p>
    <w:p>
      <w:pPr>
        <w:spacing w:before="68" w:line="241" w:lineRule="auto"/>
        <w:rPr>
          <w:rFonts w:ascii="Calibri" w:hAnsi="Calibri" w:eastAsia="Calibri" w:cs="Calibri"/>
          <w:sz w:val="21"/>
          <w:szCs w:val="21"/>
        </w:rPr>
      </w:pPr>
      <w:r>
        <w:rPr>
          <w:rFonts w:ascii="宋体" w:hAnsi="宋体" w:eastAsia="宋体" w:cs="宋体"/>
          <w:spacing w:val="-13"/>
          <w:sz w:val="21"/>
          <w:szCs w:val="21"/>
        </w:rPr>
        <w:t xml:space="preserve">备案编号： </w:t>
      </w:r>
      <w:r>
        <w:rPr>
          <w:rFonts w:ascii="Calibri" w:hAnsi="Calibri" w:eastAsia="Calibri" w:cs="Calibri"/>
          <w:spacing w:val="-13"/>
          <w:sz w:val="21"/>
          <w:szCs w:val="21"/>
        </w:rPr>
        <w:t>No.</w:t>
      </w:r>
      <w:r>
        <w:rPr>
          <w:rFonts w:ascii="Calibri" w:hAnsi="Calibri" w:eastAsia="Calibri" w:cs="Calibri"/>
          <w:sz w:val="21"/>
          <w:szCs w:val="21"/>
          <w:u w:val="single" w:color="auto"/>
        </w:rPr>
        <w:t xml:space="preserve">                    </w:t>
      </w:r>
    </w:p>
    <w:p>
      <w:pPr>
        <w:spacing w:line="17" w:lineRule="exact"/>
      </w:pPr>
    </w:p>
    <w:tbl>
      <w:tblPr>
        <w:tblStyle w:val="28"/>
        <w:tblpPr w:leftFromText="180" w:rightFromText="180" w:vertAnchor="text" w:horzAnchor="page" w:tblpX="1720" w:tblpY="139"/>
        <w:tblOverlap w:val="never"/>
        <w:tblW w:w="88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6"/>
        <w:gridCol w:w="2202"/>
        <w:gridCol w:w="83"/>
        <w:gridCol w:w="1412"/>
        <w:gridCol w:w="475"/>
        <w:gridCol w:w="1012"/>
        <w:gridCol w:w="1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216" w:type="dxa"/>
            <w:vAlign w:val="top"/>
          </w:tcPr>
          <w:p>
            <w:pPr>
              <w:pStyle w:val="31"/>
              <w:spacing w:before="225" w:line="220" w:lineRule="auto"/>
              <w:ind w:left="515"/>
              <w:rPr>
                <w:sz w:val="24"/>
                <w:szCs w:val="24"/>
              </w:rPr>
            </w:pPr>
            <w:r>
              <w:rPr>
                <w:spacing w:val="-2"/>
                <w:sz w:val="24"/>
                <w:szCs w:val="24"/>
              </w:rPr>
              <w:t>助餐点名称</w:t>
            </w:r>
          </w:p>
        </w:tc>
        <w:tc>
          <w:tcPr>
            <w:tcW w:w="3697" w:type="dxa"/>
            <w:gridSpan w:val="3"/>
            <w:vAlign w:val="top"/>
          </w:tcPr>
          <w:p>
            <w:pPr>
              <w:jc w:val="center"/>
              <w:rPr>
                <w:rFonts w:ascii="Arial"/>
                <w:sz w:val="21"/>
              </w:rPr>
            </w:pPr>
          </w:p>
        </w:tc>
        <w:tc>
          <w:tcPr>
            <w:tcW w:w="1487" w:type="dxa"/>
            <w:gridSpan w:val="2"/>
            <w:vAlign w:val="top"/>
          </w:tcPr>
          <w:p>
            <w:pPr>
              <w:pStyle w:val="31"/>
              <w:spacing w:before="225" w:line="220" w:lineRule="auto"/>
              <w:ind w:left="401"/>
              <w:rPr>
                <w:sz w:val="24"/>
                <w:szCs w:val="24"/>
              </w:rPr>
            </w:pPr>
            <w:r>
              <w:rPr>
                <w:spacing w:val="-5"/>
                <w:sz w:val="24"/>
                <w:szCs w:val="24"/>
              </w:rPr>
              <w:t>负责人</w:t>
            </w:r>
          </w:p>
        </w:tc>
        <w:tc>
          <w:tcPr>
            <w:tcW w:w="14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2216" w:type="dxa"/>
            <w:vAlign w:val="top"/>
          </w:tcPr>
          <w:p>
            <w:pPr>
              <w:pStyle w:val="31"/>
              <w:spacing w:before="212" w:line="220" w:lineRule="auto"/>
              <w:ind w:left="515"/>
              <w:rPr>
                <w:sz w:val="24"/>
                <w:szCs w:val="24"/>
              </w:rPr>
            </w:pPr>
            <w:r>
              <w:rPr>
                <w:spacing w:val="-2"/>
                <w:sz w:val="24"/>
                <w:szCs w:val="24"/>
              </w:rPr>
              <w:t>助餐点地址</w:t>
            </w:r>
          </w:p>
        </w:tc>
        <w:tc>
          <w:tcPr>
            <w:tcW w:w="3697" w:type="dxa"/>
            <w:gridSpan w:val="3"/>
            <w:vAlign w:val="top"/>
          </w:tcPr>
          <w:p>
            <w:pPr>
              <w:rPr>
                <w:rFonts w:ascii="Arial"/>
                <w:sz w:val="21"/>
              </w:rPr>
            </w:pPr>
          </w:p>
        </w:tc>
        <w:tc>
          <w:tcPr>
            <w:tcW w:w="1487" w:type="dxa"/>
            <w:gridSpan w:val="2"/>
            <w:vAlign w:val="top"/>
          </w:tcPr>
          <w:p>
            <w:pPr>
              <w:pStyle w:val="31"/>
              <w:spacing w:before="212" w:line="222" w:lineRule="auto"/>
              <w:ind w:left="273"/>
              <w:rPr>
                <w:sz w:val="24"/>
                <w:szCs w:val="24"/>
              </w:rPr>
            </w:pPr>
            <w:r>
              <w:rPr>
                <w:spacing w:val="-2"/>
                <w:sz w:val="24"/>
                <w:szCs w:val="24"/>
              </w:rPr>
              <w:t>联系电话</w:t>
            </w:r>
          </w:p>
        </w:tc>
        <w:tc>
          <w:tcPr>
            <w:tcW w:w="144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216" w:type="dxa"/>
            <w:vAlign w:val="top"/>
          </w:tcPr>
          <w:p>
            <w:pPr>
              <w:pStyle w:val="31"/>
              <w:spacing w:before="222" w:line="220" w:lineRule="auto"/>
              <w:ind w:left="515"/>
              <w:rPr>
                <w:sz w:val="24"/>
                <w:szCs w:val="24"/>
              </w:rPr>
            </w:pPr>
            <w:r>
              <w:rPr>
                <w:spacing w:val="-2"/>
                <w:sz w:val="24"/>
                <w:szCs w:val="24"/>
              </w:rPr>
              <w:t>运营方名称</w:t>
            </w:r>
          </w:p>
        </w:tc>
        <w:tc>
          <w:tcPr>
            <w:tcW w:w="3697" w:type="dxa"/>
            <w:gridSpan w:val="3"/>
            <w:vAlign w:val="top"/>
          </w:tcPr>
          <w:p>
            <w:pPr>
              <w:rPr>
                <w:rFonts w:ascii="Arial"/>
                <w:sz w:val="21"/>
              </w:rPr>
            </w:pPr>
          </w:p>
        </w:tc>
        <w:tc>
          <w:tcPr>
            <w:tcW w:w="1487" w:type="dxa"/>
            <w:gridSpan w:val="2"/>
            <w:vAlign w:val="top"/>
          </w:tcPr>
          <w:p>
            <w:pPr>
              <w:pStyle w:val="31"/>
              <w:spacing w:before="222" w:line="220" w:lineRule="auto"/>
              <w:ind w:left="275"/>
              <w:rPr>
                <w:sz w:val="24"/>
                <w:szCs w:val="24"/>
              </w:rPr>
            </w:pPr>
            <w:r>
              <w:rPr>
                <w:spacing w:val="-3"/>
                <w:sz w:val="24"/>
                <w:szCs w:val="24"/>
              </w:rPr>
              <w:t>工作人员</w:t>
            </w:r>
          </w:p>
        </w:tc>
        <w:tc>
          <w:tcPr>
            <w:tcW w:w="1440" w:type="dxa"/>
            <w:vAlign w:val="top"/>
          </w:tcPr>
          <w:p>
            <w:pPr>
              <w:pStyle w:val="31"/>
              <w:spacing w:before="222" w:line="222" w:lineRule="auto"/>
              <w:ind w:left="858"/>
              <w:rPr>
                <w:sz w:val="24"/>
                <w:szCs w:val="24"/>
              </w:rPr>
            </w:pPr>
            <w:r>
              <w:rPr>
                <w:sz w:val="24"/>
                <w:szCs w:val="2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216" w:type="dxa"/>
            <w:vAlign w:val="top"/>
          </w:tcPr>
          <w:p>
            <w:pPr>
              <w:pStyle w:val="31"/>
              <w:spacing w:before="219" w:line="219" w:lineRule="auto"/>
              <w:ind w:left="122"/>
              <w:rPr>
                <w:sz w:val="24"/>
                <w:szCs w:val="24"/>
              </w:rPr>
            </w:pPr>
            <w:r>
              <w:rPr>
                <w:spacing w:val="7"/>
                <w:sz w:val="24"/>
                <w:szCs w:val="24"/>
              </w:rPr>
              <w:t>统一社会信用代码</w:t>
            </w:r>
          </w:p>
        </w:tc>
        <w:tc>
          <w:tcPr>
            <w:tcW w:w="66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216" w:type="dxa"/>
            <w:vAlign w:val="top"/>
          </w:tcPr>
          <w:p>
            <w:pPr>
              <w:pStyle w:val="31"/>
              <w:spacing w:before="222" w:line="220" w:lineRule="auto"/>
              <w:ind w:left="117"/>
              <w:rPr>
                <w:sz w:val="24"/>
                <w:szCs w:val="24"/>
              </w:rPr>
            </w:pPr>
            <w:r>
              <w:rPr>
                <w:spacing w:val="8"/>
                <w:sz w:val="24"/>
                <w:szCs w:val="24"/>
              </w:rPr>
              <w:t>食品经营许可编号</w:t>
            </w:r>
          </w:p>
        </w:tc>
        <w:tc>
          <w:tcPr>
            <w:tcW w:w="6624" w:type="dxa"/>
            <w:gridSpan w:val="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2216" w:type="dxa"/>
            <w:vAlign w:val="top"/>
          </w:tcPr>
          <w:p>
            <w:pPr>
              <w:spacing w:line="356" w:lineRule="auto"/>
              <w:rPr>
                <w:rFonts w:ascii="Arial"/>
                <w:sz w:val="21"/>
              </w:rPr>
            </w:pPr>
          </w:p>
          <w:p>
            <w:pPr>
              <w:pStyle w:val="31"/>
              <w:spacing w:before="78" w:line="220" w:lineRule="auto"/>
              <w:ind w:left="635"/>
              <w:rPr>
                <w:sz w:val="24"/>
                <w:szCs w:val="24"/>
              </w:rPr>
            </w:pPr>
            <w:r>
              <w:rPr>
                <w:spacing w:val="-2"/>
                <w:sz w:val="24"/>
                <w:szCs w:val="24"/>
              </w:rPr>
              <w:t>助餐模式</w:t>
            </w:r>
          </w:p>
        </w:tc>
        <w:tc>
          <w:tcPr>
            <w:tcW w:w="2285" w:type="dxa"/>
            <w:gridSpan w:val="2"/>
            <w:tcBorders>
              <w:right w:val="nil"/>
            </w:tcBorders>
            <w:vAlign w:val="top"/>
          </w:tcPr>
          <w:p>
            <w:pPr>
              <w:pStyle w:val="31"/>
              <w:spacing w:before="319" w:line="221" w:lineRule="auto"/>
              <w:ind w:left="762" w:right="48"/>
              <w:rPr>
                <w:sz w:val="16"/>
                <w:szCs w:val="16"/>
              </w:rPr>
            </w:pPr>
            <w:r>
              <w:rPr>
                <w:rFonts w:ascii="Segoe UI Symbol" w:hAnsi="Segoe UI Symbol" w:eastAsia="Segoe UI Symbol" w:cs="Segoe UI Symbol"/>
                <w:spacing w:val="-2"/>
                <w:sz w:val="24"/>
                <w:szCs w:val="24"/>
              </w:rPr>
              <w:t>☐</w:t>
            </w:r>
            <w:r>
              <w:rPr>
                <w:spacing w:val="-2"/>
                <w:sz w:val="16"/>
                <w:szCs w:val="16"/>
              </w:rPr>
              <w:t>城乡社区助餐食堂</w:t>
            </w:r>
            <w:r>
              <w:rPr>
                <w:spacing w:val="1"/>
                <w:sz w:val="16"/>
                <w:szCs w:val="16"/>
              </w:rPr>
              <w:t xml:space="preserve"> </w:t>
            </w:r>
            <w:r>
              <w:rPr>
                <w:rFonts w:ascii="Segoe UI Symbol" w:hAnsi="Segoe UI Symbol" w:eastAsia="Segoe UI Symbol" w:cs="Segoe UI Symbol"/>
                <w:spacing w:val="-3"/>
                <w:sz w:val="24"/>
                <w:szCs w:val="24"/>
              </w:rPr>
              <w:t>☐</w:t>
            </w:r>
            <w:r>
              <w:rPr>
                <w:spacing w:val="-3"/>
                <w:sz w:val="16"/>
                <w:szCs w:val="16"/>
              </w:rPr>
              <w:t>物业助餐食堂</w:t>
            </w:r>
          </w:p>
        </w:tc>
        <w:tc>
          <w:tcPr>
            <w:tcW w:w="1887" w:type="dxa"/>
            <w:gridSpan w:val="2"/>
            <w:tcBorders>
              <w:left w:val="nil"/>
              <w:right w:val="nil"/>
            </w:tcBorders>
            <w:vAlign w:val="top"/>
          </w:tcPr>
          <w:p>
            <w:pPr>
              <w:pStyle w:val="31"/>
              <w:spacing w:before="319" w:line="221" w:lineRule="auto"/>
              <w:ind w:left="290" w:right="125"/>
              <w:rPr>
                <w:sz w:val="16"/>
                <w:szCs w:val="16"/>
              </w:rPr>
            </w:pPr>
            <w:r>
              <w:rPr>
                <w:rFonts w:ascii="Segoe UI Symbol" w:hAnsi="Segoe UI Symbol" w:eastAsia="Segoe UI Symbol" w:cs="Segoe UI Symbol"/>
                <w:spacing w:val="-3"/>
                <w:sz w:val="24"/>
                <w:szCs w:val="24"/>
              </w:rPr>
              <w:t>☐</w:t>
            </w:r>
            <w:r>
              <w:rPr>
                <w:spacing w:val="-3"/>
                <w:sz w:val="16"/>
                <w:szCs w:val="16"/>
              </w:rPr>
              <w:t>城乡社区助餐站</w:t>
            </w:r>
            <w:r>
              <w:rPr>
                <w:spacing w:val="2"/>
                <w:sz w:val="16"/>
                <w:szCs w:val="16"/>
              </w:rPr>
              <w:t xml:space="preserve">   </w:t>
            </w:r>
            <w:r>
              <w:rPr>
                <w:rFonts w:ascii="Segoe UI Symbol" w:hAnsi="Segoe UI Symbol" w:eastAsia="Segoe UI Symbol" w:cs="Segoe UI Symbol"/>
                <w:spacing w:val="-2"/>
                <w:sz w:val="24"/>
                <w:szCs w:val="24"/>
              </w:rPr>
              <w:t>☐</w:t>
            </w:r>
            <w:r>
              <w:rPr>
                <w:spacing w:val="-2"/>
                <w:sz w:val="16"/>
                <w:szCs w:val="16"/>
              </w:rPr>
              <w:t>餐饮场所老年餐桌</w:t>
            </w:r>
          </w:p>
        </w:tc>
        <w:tc>
          <w:tcPr>
            <w:tcW w:w="2452" w:type="dxa"/>
            <w:gridSpan w:val="2"/>
            <w:tcBorders>
              <w:left w:val="nil"/>
            </w:tcBorders>
            <w:vAlign w:val="top"/>
          </w:tcPr>
          <w:p>
            <w:pPr>
              <w:pStyle w:val="31"/>
              <w:spacing w:before="319" w:line="202" w:lineRule="auto"/>
              <w:ind w:left="129"/>
              <w:rPr>
                <w:sz w:val="16"/>
                <w:szCs w:val="16"/>
              </w:rPr>
            </w:pPr>
            <w:r>
              <w:rPr>
                <w:rFonts w:ascii="Segoe UI Symbol" w:hAnsi="Segoe UI Symbol" w:eastAsia="Segoe UI Symbol" w:cs="Segoe UI Symbol"/>
                <w:spacing w:val="-2"/>
                <w:sz w:val="24"/>
                <w:szCs w:val="24"/>
              </w:rPr>
              <w:t>☐</w:t>
            </w:r>
            <w:r>
              <w:rPr>
                <w:spacing w:val="-2"/>
                <w:sz w:val="16"/>
                <w:szCs w:val="16"/>
              </w:rPr>
              <w:t>养老服务机构食堂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5" w:hRule="atLeast"/>
        </w:trPr>
        <w:tc>
          <w:tcPr>
            <w:tcW w:w="4418" w:type="dxa"/>
            <w:gridSpan w:val="2"/>
            <w:vAlign w:val="top"/>
          </w:tcPr>
          <w:p>
            <w:pPr>
              <w:pStyle w:val="31"/>
              <w:spacing w:before="54" w:line="221" w:lineRule="auto"/>
              <w:ind w:left="131"/>
            </w:pPr>
            <w:r>
              <w:rPr>
                <w:spacing w:val="-2"/>
              </w:rPr>
              <w:t>县（市）</w:t>
            </w:r>
            <w:r>
              <w:rPr>
                <w:rFonts w:hint="eastAsia"/>
                <w:spacing w:val="-2"/>
                <w:lang w:val="en-US" w:eastAsia="zh-CN"/>
              </w:rPr>
              <w:t>区</w:t>
            </w:r>
            <w:r>
              <w:rPr>
                <w:spacing w:val="-2"/>
              </w:rPr>
              <w:t>市场监管部门意见：</w:t>
            </w:r>
          </w:p>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31"/>
              <w:spacing w:before="68" w:line="220" w:lineRule="auto"/>
              <w:ind w:left="1802"/>
            </w:pPr>
            <w:r>
              <w:rPr>
                <w:spacing w:val="-7"/>
              </w:rPr>
              <w:t>（公章）</w:t>
            </w:r>
          </w:p>
          <w:p>
            <w:pPr>
              <w:pStyle w:val="31"/>
              <w:spacing w:before="61" w:line="221" w:lineRule="auto"/>
              <w:ind w:left="2846"/>
            </w:pPr>
            <w:r>
              <w:rPr>
                <w:spacing w:val="-7"/>
              </w:rPr>
              <w:t>年</w:t>
            </w:r>
            <w:r>
              <w:rPr>
                <w:spacing w:val="3"/>
              </w:rPr>
              <w:t xml:space="preserve">    </w:t>
            </w:r>
            <w:r>
              <w:rPr>
                <w:spacing w:val="-7"/>
              </w:rPr>
              <w:t>月</w:t>
            </w:r>
            <w:r>
              <w:rPr>
                <w:spacing w:val="11"/>
              </w:rPr>
              <w:t xml:space="preserve">    </w:t>
            </w:r>
            <w:r>
              <w:rPr>
                <w:spacing w:val="-7"/>
              </w:rPr>
              <w:t>日</w:t>
            </w:r>
          </w:p>
        </w:tc>
        <w:tc>
          <w:tcPr>
            <w:tcW w:w="4422" w:type="dxa"/>
            <w:gridSpan w:val="5"/>
            <w:vAlign w:val="top"/>
          </w:tcPr>
          <w:p>
            <w:pPr>
              <w:pStyle w:val="31"/>
              <w:spacing w:before="54" w:line="221" w:lineRule="auto"/>
              <w:ind w:left="130"/>
            </w:pPr>
            <w:r>
              <w:rPr>
                <w:spacing w:val="-4"/>
              </w:rPr>
              <w:t>县（市）</w:t>
            </w:r>
            <w:r>
              <w:rPr>
                <w:rFonts w:hint="eastAsia"/>
                <w:spacing w:val="-4"/>
                <w:lang w:val="en-US" w:eastAsia="zh-CN"/>
              </w:rPr>
              <w:t>区</w:t>
            </w:r>
            <w:r>
              <w:rPr>
                <w:spacing w:val="-4"/>
              </w:rPr>
              <w:t>民政部门意见：</w:t>
            </w:r>
          </w:p>
          <w:p>
            <w:pPr>
              <w:spacing w:line="307" w:lineRule="auto"/>
              <w:rPr>
                <w:rFonts w:ascii="Arial"/>
                <w:sz w:val="21"/>
              </w:rPr>
            </w:pPr>
          </w:p>
          <w:p>
            <w:pPr>
              <w:spacing w:line="308" w:lineRule="auto"/>
              <w:rPr>
                <w:rFonts w:ascii="Arial"/>
                <w:sz w:val="21"/>
              </w:rPr>
            </w:pPr>
          </w:p>
          <w:p>
            <w:pPr>
              <w:spacing w:line="308" w:lineRule="auto"/>
              <w:rPr>
                <w:rFonts w:ascii="Arial"/>
                <w:sz w:val="21"/>
              </w:rPr>
            </w:pPr>
          </w:p>
          <w:p>
            <w:pPr>
              <w:pStyle w:val="31"/>
              <w:spacing w:before="68" w:line="220" w:lineRule="auto"/>
              <w:ind w:left="1801"/>
            </w:pPr>
            <w:r>
              <w:rPr>
                <w:spacing w:val="-7"/>
              </w:rPr>
              <w:t>（公章）</w:t>
            </w:r>
          </w:p>
          <w:p>
            <w:pPr>
              <w:pStyle w:val="31"/>
              <w:spacing w:before="61" w:line="221" w:lineRule="auto"/>
              <w:ind w:left="2847"/>
            </w:pPr>
            <w:r>
              <w:rPr>
                <w:spacing w:val="-7"/>
              </w:rPr>
              <w:t>年</w:t>
            </w:r>
            <w:r>
              <w:rPr>
                <w:spacing w:val="3"/>
              </w:rPr>
              <w:t xml:space="preserve">    </w:t>
            </w:r>
            <w:r>
              <w:rPr>
                <w:spacing w:val="-7"/>
              </w:rPr>
              <w:t>月</w:t>
            </w:r>
            <w:r>
              <w:rPr>
                <w:spacing w:val="11"/>
              </w:rPr>
              <w:t xml:space="preserve">    </w:t>
            </w:r>
            <w:r>
              <w:rPr>
                <w:spacing w:val="-7"/>
              </w:rPr>
              <w:t>日</w:t>
            </w:r>
          </w:p>
        </w:tc>
      </w:tr>
    </w:tbl>
    <w:p>
      <w:pPr>
        <w:spacing w:before="50" w:line="221" w:lineRule="auto"/>
        <w:ind w:left="458"/>
        <w:rPr>
          <w:rFonts w:ascii="宋体" w:hAnsi="宋体" w:eastAsia="宋体" w:cs="宋体"/>
          <w:sz w:val="24"/>
          <w:szCs w:val="24"/>
        </w:rPr>
      </w:pPr>
      <w:r>
        <w:rPr>
          <w:rFonts w:ascii="宋体" w:hAnsi="宋体" w:eastAsia="宋体" w:cs="宋体"/>
          <w:spacing w:val="-15"/>
          <w:sz w:val="24"/>
          <w:szCs w:val="24"/>
        </w:rPr>
        <w:t>备注：</w:t>
      </w:r>
    </w:p>
    <w:p>
      <w:pPr>
        <w:spacing w:before="49" w:line="244" w:lineRule="auto"/>
        <w:ind w:left="455" w:right="112" w:firstLine="16"/>
        <w:rPr>
          <w:rFonts w:ascii="宋体" w:hAnsi="宋体" w:eastAsia="宋体" w:cs="宋体"/>
          <w:sz w:val="22"/>
          <w:szCs w:val="22"/>
        </w:rPr>
      </w:pPr>
      <w:r>
        <w:rPr>
          <w:rFonts w:ascii="宋体" w:hAnsi="宋体" w:eastAsia="宋体" w:cs="宋体"/>
          <w:sz w:val="22"/>
          <w:szCs w:val="22"/>
        </w:rPr>
        <w:t>1.此表一式三份，助餐点、出具意见部门各一份。</w:t>
      </w:r>
    </w:p>
    <w:p>
      <w:pPr>
        <w:spacing w:before="60" w:line="220" w:lineRule="auto"/>
        <w:ind w:left="458"/>
        <w:rPr>
          <w:rFonts w:ascii="宋体" w:hAnsi="宋体" w:eastAsia="宋体" w:cs="宋体"/>
          <w:sz w:val="22"/>
          <w:szCs w:val="22"/>
        </w:rPr>
      </w:pPr>
      <w:r>
        <w:rPr>
          <w:rFonts w:ascii="宋体" w:hAnsi="宋体" w:eastAsia="宋体" w:cs="宋体"/>
          <w:spacing w:val="-1"/>
          <w:sz w:val="22"/>
          <w:szCs w:val="22"/>
        </w:rPr>
        <w:t>2.各出具意见部门应当在备案前联合进行实地勘验。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lang w:eastAsia="zh-CN"/>
        </w:rPr>
      </w:pPr>
      <w:r>
        <w:rPr>
          <w:rFonts w:ascii="宋体" w:hAnsi="宋体" w:eastAsia="宋体" w:cs="宋体"/>
          <w:spacing w:val="-3"/>
          <w:sz w:val="22"/>
          <w:szCs w:val="22"/>
        </w:rPr>
        <w:t>3.备案编号规则，备案编号为</w:t>
      </w:r>
      <w:r>
        <w:rPr>
          <w:rFonts w:ascii="宋体" w:hAnsi="宋体" w:eastAsia="宋体" w:cs="宋体"/>
          <w:spacing w:val="-22"/>
          <w:sz w:val="22"/>
          <w:szCs w:val="22"/>
        </w:rPr>
        <w:t xml:space="preserve"> </w:t>
      </w:r>
      <w:r>
        <w:rPr>
          <w:rFonts w:ascii="宋体" w:hAnsi="宋体" w:eastAsia="宋体" w:cs="宋体"/>
          <w:spacing w:val="-3"/>
          <w:sz w:val="22"/>
          <w:szCs w:val="22"/>
        </w:rPr>
        <w:t>5</w:t>
      </w:r>
      <w:r>
        <w:rPr>
          <w:rFonts w:ascii="宋体" w:hAnsi="宋体" w:eastAsia="宋体" w:cs="宋体"/>
          <w:spacing w:val="-27"/>
          <w:sz w:val="22"/>
          <w:szCs w:val="22"/>
        </w:rPr>
        <w:t xml:space="preserve"> </w:t>
      </w:r>
      <w:r>
        <w:rPr>
          <w:rFonts w:ascii="宋体" w:hAnsi="宋体" w:eastAsia="宋体" w:cs="宋体"/>
          <w:spacing w:val="-3"/>
          <w:sz w:val="22"/>
          <w:szCs w:val="22"/>
        </w:rPr>
        <w:t>位，</w:t>
      </w:r>
      <w:r>
        <w:rPr>
          <w:rFonts w:ascii="宋体" w:hAnsi="宋体" w:eastAsia="宋体" w:cs="宋体"/>
          <w:spacing w:val="-24"/>
          <w:sz w:val="22"/>
          <w:szCs w:val="22"/>
        </w:rPr>
        <w:t xml:space="preserve"> </w:t>
      </w:r>
      <w:r>
        <w:rPr>
          <w:rFonts w:ascii="宋体" w:hAnsi="宋体" w:eastAsia="宋体" w:cs="宋体"/>
          <w:spacing w:val="-3"/>
          <w:sz w:val="22"/>
          <w:szCs w:val="22"/>
        </w:rPr>
        <w:t>前两位为所在地区编码，后三位为顺序号；所在地区</w:t>
      </w:r>
      <w:r>
        <w:rPr>
          <w:rFonts w:ascii="宋体" w:hAnsi="宋体" w:eastAsia="宋体" w:cs="宋体"/>
          <w:sz w:val="22"/>
          <w:szCs w:val="22"/>
        </w:rPr>
        <w:t xml:space="preserve"> </w:t>
      </w:r>
      <w:r>
        <w:rPr>
          <w:rFonts w:ascii="宋体" w:hAnsi="宋体" w:eastAsia="宋体" w:cs="宋体"/>
          <w:spacing w:val="-13"/>
          <w:sz w:val="22"/>
          <w:szCs w:val="22"/>
        </w:rPr>
        <w:t>编码如下：01</w:t>
      </w:r>
      <w:r>
        <w:rPr>
          <w:rFonts w:ascii="宋体" w:hAnsi="宋体" w:eastAsia="宋体" w:cs="宋体"/>
          <w:spacing w:val="-16"/>
          <w:sz w:val="22"/>
          <w:szCs w:val="22"/>
        </w:rPr>
        <w:t xml:space="preserve"> </w:t>
      </w:r>
      <w:r>
        <w:rPr>
          <w:rFonts w:hint="eastAsia" w:ascii="宋体" w:hAnsi="宋体" w:eastAsia="宋体" w:cs="宋体"/>
          <w:spacing w:val="-13"/>
          <w:sz w:val="22"/>
          <w:szCs w:val="22"/>
          <w:lang w:val="en-US" w:eastAsia="zh-CN"/>
        </w:rPr>
        <w:t>海城市</w:t>
      </w:r>
      <w:r>
        <w:rPr>
          <w:rFonts w:ascii="宋体" w:hAnsi="宋体" w:eastAsia="宋体" w:cs="宋体"/>
          <w:spacing w:val="-13"/>
          <w:sz w:val="22"/>
          <w:szCs w:val="22"/>
        </w:rPr>
        <w:t>，02</w:t>
      </w:r>
      <w:r>
        <w:rPr>
          <w:rFonts w:ascii="宋体" w:hAnsi="宋体" w:eastAsia="宋体" w:cs="宋体"/>
          <w:spacing w:val="-31"/>
          <w:sz w:val="22"/>
          <w:szCs w:val="22"/>
        </w:rPr>
        <w:t xml:space="preserve"> </w:t>
      </w:r>
      <w:r>
        <w:rPr>
          <w:rFonts w:hint="eastAsia" w:ascii="宋体" w:hAnsi="宋体" w:eastAsia="宋体" w:cs="宋体"/>
          <w:spacing w:val="-13"/>
          <w:sz w:val="22"/>
          <w:szCs w:val="22"/>
          <w:lang w:val="en-US" w:eastAsia="zh-CN"/>
        </w:rPr>
        <w:t>台安县</w:t>
      </w:r>
      <w:r>
        <w:rPr>
          <w:rFonts w:ascii="宋体" w:hAnsi="宋体" w:eastAsia="宋体" w:cs="宋体"/>
          <w:spacing w:val="-13"/>
          <w:sz w:val="22"/>
          <w:szCs w:val="22"/>
        </w:rPr>
        <w:t>， 03</w:t>
      </w:r>
      <w:r>
        <w:rPr>
          <w:rFonts w:ascii="宋体" w:hAnsi="宋体" w:eastAsia="宋体" w:cs="宋体"/>
          <w:spacing w:val="-32"/>
          <w:sz w:val="22"/>
          <w:szCs w:val="22"/>
        </w:rPr>
        <w:t xml:space="preserve"> </w:t>
      </w:r>
      <w:r>
        <w:rPr>
          <w:rFonts w:hint="eastAsia" w:ascii="宋体" w:hAnsi="宋体" w:eastAsia="宋体" w:cs="宋体"/>
          <w:spacing w:val="-13"/>
          <w:sz w:val="22"/>
          <w:szCs w:val="22"/>
          <w:lang w:val="en-US" w:eastAsia="zh-CN"/>
        </w:rPr>
        <w:t>岫岩县，</w:t>
      </w:r>
      <w:r>
        <w:rPr>
          <w:rFonts w:ascii="宋体" w:hAnsi="宋体" w:eastAsia="宋体" w:cs="宋体"/>
          <w:spacing w:val="-13"/>
          <w:sz w:val="22"/>
          <w:szCs w:val="22"/>
        </w:rPr>
        <w:t>04</w:t>
      </w:r>
      <w:r>
        <w:rPr>
          <w:rFonts w:ascii="宋体" w:hAnsi="宋体" w:eastAsia="宋体" w:cs="宋体"/>
          <w:spacing w:val="-30"/>
          <w:sz w:val="22"/>
          <w:szCs w:val="22"/>
        </w:rPr>
        <w:t xml:space="preserve"> </w:t>
      </w:r>
      <w:r>
        <w:rPr>
          <w:rFonts w:hint="eastAsia" w:ascii="宋体" w:hAnsi="宋体" w:eastAsia="宋体" w:cs="宋体"/>
          <w:spacing w:val="-13"/>
          <w:sz w:val="22"/>
          <w:szCs w:val="22"/>
          <w:lang w:val="en-US" w:eastAsia="zh-CN"/>
        </w:rPr>
        <w:t>铁东区</w:t>
      </w:r>
      <w:r>
        <w:rPr>
          <w:rFonts w:ascii="宋体" w:hAnsi="宋体" w:eastAsia="宋体" w:cs="宋体"/>
          <w:spacing w:val="-13"/>
          <w:sz w:val="22"/>
          <w:szCs w:val="22"/>
        </w:rPr>
        <w:t>， 05</w:t>
      </w:r>
      <w:r>
        <w:rPr>
          <w:rFonts w:ascii="宋体" w:hAnsi="宋体" w:eastAsia="宋体" w:cs="宋体"/>
          <w:spacing w:val="-29"/>
          <w:sz w:val="22"/>
          <w:szCs w:val="22"/>
        </w:rPr>
        <w:t xml:space="preserve"> </w:t>
      </w:r>
      <w:r>
        <w:rPr>
          <w:rFonts w:hint="eastAsia" w:ascii="宋体" w:hAnsi="宋体" w:eastAsia="宋体" w:cs="宋体"/>
          <w:spacing w:val="-13"/>
          <w:sz w:val="22"/>
          <w:szCs w:val="22"/>
          <w:lang w:val="en-US" w:eastAsia="zh-CN"/>
        </w:rPr>
        <w:t>铁西区</w:t>
      </w:r>
      <w:r>
        <w:rPr>
          <w:rFonts w:ascii="宋体" w:hAnsi="宋体" w:eastAsia="宋体" w:cs="宋体"/>
          <w:spacing w:val="-13"/>
          <w:sz w:val="22"/>
          <w:szCs w:val="22"/>
        </w:rPr>
        <w:t>，</w:t>
      </w:r>
      <w:r>
        <w:rPr>
          <w:rFonts w:ascii="宋体" w:hAnsi="宋体" w:eastAsia="宋体" w:cs="宋体"/>
          <w:spacing w:val="-20"/>
          <w:sz w:val="22"/>
          <w:szCs w:val="22"/>
        </w:rPr>
        <w:t xml:space="preserve"> </w:t>
      </w:r>
      <w:r>
        <w:rPr>
          <w:rFonts w:ascii="宋体" w:hAnsi="宋体" w:eastAsia="宋体" w:cs="宋体"/>
          <w:spacing w:val="-13"/>
          <w:sz w:val="22"/>
          <w:szCs w:val="22"/>
        </w:rPr>
        <w:t>06</w:t>
      </w:r>
      <w:r>
        <w:rPr>
          <w:rFonts w:ascii="宋体" w:hAnsi="宋体" w:eastAsia="宋体" w:cs="宋体"/>
          <w:spacing w:val="-30"/>
          <w:sz w:val="22"/>
          <w:szCs w:val="22"/>
        </w:rPr>
        <w:t xml:space="preserve"> </w:t>
      </w:r>
      <w:r>
        <w:rPr>
          <w:rFonts w:hint="eastAsia" w:ascii="宋体" w:hAnsi="宋体" w:eastAsia="宋体" w:cs="宋体"/>
          <w:spacing w:val="-13"/>
          <w:sz w:val="22"/>
          <w:szCs w:val="22"/>
          <w:lang w:val="en-US" w:eastAsia="zh-CN"/>
        </w:rPr>
        <w:t>立山区</w:t>
      </w:r>
      <w:r>
        <w:rPr>
          <w:rFonts w:ascii="宋体" w:hAnsi="宋体" w:eastAsia="宋体" w:cs="宋体"/>
          <w:spacing w:val="-13"/>
          <w:sz w:val="22"/>
          <w:szCs w:val="22"/>
        </w:rPr>
        <w:t>，</w:t>
      </w:r>
      <w:r>
        <w:rPr>
          <w:rFonts w:ascii="宋体" w:hAnsi="宋体" w:eastAsia="宋体" w:cs="宋体"/>
          <w:spacing w:val="-20"/>
          <w:sz w:val="22"/>
          <w:szCs w:val="22"/>
        </w:rPr>
        <w:t xml:space="preserve"> </w:t>
      </w:r>
      <w:r>
        <w:rPr>
          <w:rFonts w:ascii="宋体" w:hAnsi="宋体" w:eastAsia="宋体" w:cs="宋体"/>
          <w:spacing w:val="-13"/>
          <w:sz w:val="22"/>
          <w:szCs w:val="22"/>
        </w:rPr>
        <w:t>07</w:t>
      </w:r>
      <w:r>
        <w:rPr>
          <w:rFonts w:ascii="宋体" w:hAnsi="宋体" w:eastAsia="宋体" w:cs="宋体"/>
          <w:spacing w:val="-28"/>
          <w:sz w:val="22"/>
          <w:szCs w:val="22"/>
        </w:rPr>
        <w:t xml:space="preserve"> </w:t>
      </w:r>
      <w:r>
        <w:rPr>
          <w:rFonts w:hint="eastAsia" w:ascii="宋体" w:hAnsi="宋体" w:eastAsia="宋体" w:cs="宋体"/>
          <w:spacing w:val="-13"/>
          <w:sz w:val="22"/>
          <w:szCs w:val="22"/>
          <w:lang w:val="en-US" w:eastAsia="zh-CN"/>
        </w:rPr>
        <w:t>千山区</w:t>
      </w:r>
      <w:r>
        <w:rPr>
          <w:rFonts w:ascii="宋体" w:hAnsi="宋体" w:eastAsia="宋体" w:cs="宋体"/>
          <w:spacing w:val="-13"/>
          <w:sz w:val="22"/>
          <w:szCs w:val="22"/>
        </w:rPr>
        <w:t>， 08</w:t>
      </w:r>
      <w:r>
        <w:rPr>
          <w:rFonts w:ascii="宋体" w:hAnsi="宋体" w:eastAsia="宋体" w:cs="宋体"/>
          <w:spacing w:val="-47"/>
          <w:sz w:val="22"/>
          <w:szCs w:val="22"/>
        </w:rPr>
        <w:t xml:space="preserve"> </w:t>
      </w:r>
      <w:r>
        <w:rPr>
          <w:rFonts w:hint="eastAsia" w:ascii="宋体" w:hAnsi="宋体" w:eastAsia="宋体" w:cs="宋体"/>
          <w:spacing w:val="-13"/>
          <w:sz w:val="22"/>
          <w:szCs w:val="22"/>
          <w:lang w:val="en-US" w:eastAsia="zh-CN"/>
        </w:rPr>
        <w:t>高新区</w:t>
      </w:r>
      <w:r>
        <w:rPr>
          <w:rFonts w:ascii="宋体" w:hAnsi="宋体" w:eastAsia="宋体" w:cs="宋体"/>
          <w:spacing w:val="-13"/>
          <w:sz w:val="22"/>
          <w:szCs w:val="22"/>
        </w:rPr>
        <w:t>， 09</w:t>
      </w:r>
      <w:r>
        <w:rPr>
          <w:rFonts w:ascii="宋体" w:hAnsi="宋体" w:eastAsia="宋体" w:cs="宋体"/>
          <w:spacing w:val="-44"/>
          <w:sz w:val="22"/>
          <w:szCs w:val="22"/>
        </w:rPr>
        <w:t xml:space="preserve"> </w:t>
      </w:r>
      <w:r>
        <w:rPr>
          <w:rFonts w:hint="eastAsia" w:ascii="宋体" w:hAnsi="宋体" w:eastAsia="宋体" w:cs="宋体"/>
          <w:spacing w:val="-13"/>
          <w:sz w:val="22"/>
          <w:szCs w:val="22"/>
          <w:lang w:val="en-US" w:eastAsia="zh-CN"/>
        </w:rPr>
        <w:t>经济开发区，10千山风景区。</w:t>
      </w:r>
    </w:p>
    <w:sectPr>
      <w:footerReference r:id="rId6" w:type="default"/>
      <w:pgSz w:w="11906" w:h="16838"/>
      <w:pgMar w:top="1440" w:right="1800" w:bottom="1440" w:left="1800" w:header="851" w:footer="992" w:gutter="0"/>
      <w:pgNumType w:fmt="decimal" w:start="2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3000509000000000000"/>
    <w:charset w:val="00"/>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微软雅黑"/>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eastAsia="微软雅黑"/>
                        <w:lang w:val="en-US"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2799080</wp:posOffset>
              </wp:positionH>
              <wp:positionV relativeFrom="paragraph">
                <wp:posOffset>3131820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4pt;margin-top:246.6pt;height:144pt;width:144pt;mso-position-horizontal-relative:margin;mso-wrap-style:none;z-index:251661312;mso-width-relative:page;mso-height-relative:page;" filled="f" stroked="f" coordsize="21600,21600" o:gfxdata="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o8yUNcAAAALAQAADwAAAAAAAAABACAAAAAiAAAAZHJzL2Rvd25yZXYueG1s&#10;UEsBAhQAFAAAAAgAh07iQC5WZn4yAgAAYwQAAA4AAAAAAAAAAQAgAAAAJgEAAGRycy9lMm9Eb2Mu&#10;eG1sUEsFBgAAAAAGAAYAWQEAAMoFAAAAAA==&#10;">
              <v:fill on="f" focussize="0,0"/>
              <v:stroke on="f" weight="0.5pt"/>
              <v:imagedata o:title=""/>
              <o:lock v:ext="edit" aspectratio="f"/>
              <v:textbox inset="0mm,0mm,0mm,0mm" style="mso-fit-shape-to-text:t;">
                <w:txbxContent>
                  <w:p>
                    <w:pPr>
                      <w:pStyle w:val="5"/>
                      <w:rPr>
                        <w:rFonts w:hint="default" w:eastAsia="微软雅黑"/>
                        <w:lang w:val="en-US" w:eastAsia="zh-CN"/>
                      </w:rPr>
                    </w:pPr>
                    <w:r>
                      <w:rPr>
                        <w:rFonts w:hint="eastAsia"/>
                        <w:lang w:val="en-US" w:eastAsia="zh-CN"/>
                      </w:rPr>
                      <w:t>10</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2800985</wp:posOffset>
              </wp:positionH>
              <wp:positionV relativeFrom="paragraph">
                <wp:posOffset>3131820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微软雅黑"/>
                              <w:lang w:val="en-US" w:eastAsia="zh-CN"/>
                            </w:rPr>
                          </w:pPr>
                          <w:r>
                            <w:rPr>
                              <w:rFonts w:hint="eastAsia"/>
                              <w:lang w:val="en-US" w:eastAsia="zh-CN"/>
                            </w:rPr>
                            <w:t>10</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55pt;margin-top:246.6pt;height:144pt;width:144pt;mso-position-horizontal-relative:margin;mso-wrap-style:none;z-index:251660288;mso-width-relative:page;mso-height-relative:page;" filled="f" stroked="f" coordsize="21600,21600" o:gfxdata="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wMxYdcAAAAL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pPr>
                      <w:pStyle w:val="5"/>
                      <w:rPr>
                        <w:rFonts w:hint="default" w:eastAsia="微软雅黑"/>
                        <w:lang w:val="en-US" w:eastAsia="zh-CN"/>
                      </w:rPr>
                    </w:pPr>
                    <w:r>
                      <w:rPr>
                        <w:rFonts w:hint="eastAsia"/>
                        <w:lang w:val="en-US" w:eastAsia="zh-CN"/>
                      </w:rPr>
                      <w:t>10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GYzNWI0NmQ5YzgyZmRjM2FlMzNjYjBlMDg4NDYifQ=="/>
  </w:docVars>
  <w:rsids>
    <w:rsidRoot w:val="00D86151"/>
    <w:rsid w:val="00004990"/>
    <w:rsid w:val="0010778F"/>
    <w:rsid w:val="00145E4A"/>
    <w:rsid w:val="00275E9F"/>
    <w:rsid w:val="00277BFA"/>
    <w:rsid w:val="002E28FF"/>
    <w:rsid w:val="00314514"/>
    <w:rsid w:val="00373151"/>
    <w:rsid w:val="0041019A"/>
    <w:rsid w:val="00520A73"/>
    <w:rsid w:val="00540EFA"/>
    <w:rsid w:val="005821AC"/>
    <w:rsid w:val="00624FB9"/>
    <w:rsid w:val="006401A4"/>
    <w:rsid w:val="00690BEE"/>
    <w:rsid w:val="006B46EA"/>
    <w:rsid w:val="007327A4"/>
    <w:rsid w:val="00814A1E"/>
    <w:rsid w:val="00825D06"/>
    <w:rsid w:val="008B4FC4"/>
    <w:rsid w:val="008D49A0"/>
    <w:rsid w:val="009302DA"/>
    <w:rsid w:val="00941402"/>
    <w:rsid w:val="0099389A"/>
    <w:rsid w:val="009F3264"/>
    <w:rsid w:val="00A612F0"/>
    <w:rsid w:val="00A6753F"/>
    <w:rsid w:val="00AD29A4"/>
    <w:rsid w:val="00BF3900"/>
    <w:rsid w:val="00C02070"/>
    <w:rsid w:val="00C62CA3"/>
    <w:rsid w:val="00D86151"/>
    <w:rsid w:val="00DB63A6"/>
    <w:rsid w:val="00DD374A"/>
    <w:rsid w:val="00DE541D"/>
    <w:rsid w:val="00E01C2A"/>
    <w:rsid w:val="00E3177D"/>
    <w:rsid w:val="00E34AF3"/>
    <w:rsid w:val="00F15C60"/>
    <w:rsid w:val="00FE7FC5"/>
    <w:rsid w:val="07D25C5A"/>
    <w:rsid w:val="0CE95936"/>
    <w:rsid w:val="154F2222"/>
    <w:rsid w:val="1A54014C"/>
    <w:rsid w:val="1CDF7425"/>
    <w:rsid w:val="1CEF3154"/>
    <w:rsid w:val="1D6A776B"/>
    <w:rsid w:val="1D896B07"/>
    <w:rsid w:val="1EF04049"/>
    <w:rsid w:val="23ED7C73"/>
    <w:rsid w:val="24CD7217"/>
    <w:rsid w:val="27AA1070"/>
    <w:rsid w:val="2DAE25D0"/>
    <w:rsid w:val="2FDE4F6C"/>
    <w:rsid w:val="31B06F2B"/>
    <w:rsid w:val="35FF6981"/>
    <w:rsid w:val="3BAF6CD4"/>
    <w:rsid w:val="3C832228"/>
    <w:rsid w:val="3D70C173"/>
    <w:rsid w:val="3DFFC808"/>
    <w:rsid w:val="3E756148"/>
    <w:rsid w:val="3FDF28DB"/>
    <w:rsid w:val="3FFE3C5B"/>
    <w:rsid w:val="40647CF0"/>
    <w:rsid w:val="40B97058"/>
    <w:rsid w:val="467E3F38"/>
    <w:rsid w:val="49575E12"/>
    <w:rsid w:val="49C9673C"/>
    <w:rsid w:val="4AF07B1A"/>
    <w:rsid w:val="4B693329"/>
    <w:rsid w:val="53803801"/>
    <w:rsid w:val="53A34DFD"/>
    <w:rsid w:val="54A40F6F"/>
    <w:rsid w:val="57F60CEA"/>
    <w:rsid w:val="5D9A75A1"/>
    <w:rsid w:val="5DBF4FD1"/>
    <w:rsid w:val="5EBBC45D"/>
    <w:rsid w:val="5ECA5FE2"/>
    <w:rsid w:val="5FF9019F"/>
    <w:rsid w:val="5FFF46AB"/>
    <w:rsid w:val="62750445"/>
    <w:rsid w:val="677E2946"/>
    <w:rsid w:val="69316973"/>
    <w:rsid w:val="6ADEC1BD"/>
    <w:rsid w:val="6B75087A"/>
    <w:rsid w:val="6BDD1F07"/>
    <w:rsid w:val="6E3C163D"/>
    <w:rsid w:val="6E7969E0"/>
    <w:rsid w:val="6EB93C7E"/>
    <w:rsid w:val="6EDE2AA3"/>
    <w:rsid w:val="6FB74FB4"/>
    <w:rsid w:val="6FFF19BE"/>
    <w:rsid w:val="72E87479"/>
    <w:rsid w:val="73D91DBF"/>
    <w:rsid w:val="75FB3D8E"/>
    <w:rsid w:val="75FF7F78"/>
    <w:rsid w:val="76F03D82"/>
    <w:rsid w:val="76F54591"/>
    <w:rsid w:val="770958CC"/>
    <w:rsid w:val="770E49D1"/>
    <w:rsid w:val="775037FC"/>
    <w:rsid w:val="77E48F98"/>
    <w:rsid w:val="78616D80"/>
    <w:rsid w:val="79F5D63C"/>
    <w:rsid w:val="7A3DC156"/>
    <w:rsid w:val="7A77EEDA"/>
    <w:rsid w:val="7A7D6723"/>
    <w:rsid w:val="7AEED00F"/>
    <w:rsid w:val="7AF83BC5"/>
    <w:rsid w:val="7AFB0130"/>
    <w:rsid w:val="7BCFFCB7"/>
    <w:rsid w:val="7BDF0D54"/>
    <w:rsid w:val="7BF7BC8E"/>
    <w:rsid w:val="7BFD7011"/>
    <w:rsid w:val="7CF7705B"/>
    <w:rsid w:val="7DDE8697"/>
    <w:rsid w:val="7E6F4396"/>
    <w:rsid w:val="7E7D8B26"/>
    <w:rsid w:val="7ED950FD"/>
    <w:rsid w:val="7EEF5623"/>
    <w:rsid w:val="7F1B7993"/>
    <w:rsid w:val="7F9D6459"/>
    <w:rsid w:val="7FBE7F59"/>
    <w:rsid w:val="7FF61C3A"/>
    <w:rsid w:val="7FFB77E0"/>
    <w:rsid w:val="7FFBB449"/>
    <w:rsid w:val="93DA0571"/>
    <w:rsid w:val="9DDF324B"/>
    <w:rsid w:val="9FBF9B10"/>
    <w:rsid w:val="9FF8F13E"/>
    <w:rsid w:val="A9BE81C7"/>
    <w:rsid w:val="AFB79237"/>
    <w:rsid w:val="AFFED7A8"/>
    <w:rsid w:val="B9BA5017"/>
    <w:rsid w:val="BAFB5031"/>
    <w:rsid w:val="BBEF9123"/>
    <w:rsid w:val="BDFBB070"/>
    <w:rsid w:val="BF77EEA5"/>
    <w:rsid w:val="BF7FCDCB"/>
    <w:rsid w:val="BFD43D4B"/>
    <w:rsid w:val="BFDA990F"/>
    <w:rsid w:val="BFDB1BC3"/>
    <w:rsid w:val="BFDFE535"/>
    <w:rsid w:val="BFEFEA22"/>
    <w:rsid w:val="BFF657EB"/>
    <w:rsid w:val="C3DF59E6"/>
    <w:rsid w:val="D3BFE36D"/>
    <w:rsid w:val="D7937180"/>
    <w:rsid w:val="DEEBD7E6"/>
    <w:rsid w:val="DF3A0DEF"/>
    <w:rsid w:val="DFBF340A"/>
    <w:rsid w:val="DFC3C3CC"/>
    <w:rsid w:val="DFF7E459"/>
    <w:rsid w:val="E4F963C3"/>
    <w:rsid w:val="EB5B8433"/>
    <w:rsid w:val="EBF7D5DF"/>
    <w:rsid w:val="ED7FACB4"/>
    <w:rsid w:val="EDD5B2D7"/>
    <w:rsid w:val="EEED5DF4"/>
    <w:rsid w:val="EF6FC17A"/>
    <w:rsid w:val="EF7F043D"/>
    <w:rsid w:val="EFAACE38"/>
    <w:rsid w:val="EFEEEB07"/>
    <w:rsid w:val="EFFE3D6A"/>
    <w:rsid w:val="F1F39518"/>
    <w:rsid w:val="F5FC864C"/>
    <w:rsid w:val="F7DFB1EF"/>
    <w:rsid w:val="F97FBF62"/>
    <w:rsid w:val="F9DEA1AD"/>
    <w:rsid w:val="F9FD620B"/>
    <w:rsid w:val="FB7BE148"/>
    <w:rsid w:val="FBD45B24"/>
    <w:rsid w:val="FBDFE091"/>
    <w:rsid w:val="FBFDB27F"/>
    <w:rsid w:val="FDAECFB5"/>
    <w:rsid w:val="FDF7E15C"/>
    <w:rsid w:val="FDFDCE59"/>
    <w:rsid w:val="FE4B4EA1"/>
    <w:rsid w:val="FEDDEF94"/>
    <w:rsid w:val="FEEDD8E8"/>
    <w:rsid w:val="FEF35D62"/>
    <w:rsid w:val="FF5F26F6"/>
    <w:rsid w:val="FF6F8B37"/>
    <w:rsid w:val="FF7F3E51"/>
    <w:rsid w:val="FF96587B"/>
    <w:rsid w:val="FFA77EF4"/>
    <w:rsid w:val="FFFDF349"/>
    <w:rsid w:val="FFFEA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pPr>
      <w:spacing w:after="120"/>
    </w:pPr>
  </w:style>
  <w:style w:type="paragraph" w:styleId="5">
    <w:name w:val="footer"/>
    <w:basedOn w:val="1"/>
    <w:link w:val="14"/>
    <w:semiHidden/>
    <w:unhideWhenUsed/>
    <w:qFormat/>
    <w:uiPriority w:val="99"/>
    <w:pPr>
      <w:tabs>
        <w:tab w:val="center" w:pos="4153"/>
        <w:tab w:val="right" w:pos="8306"/>
      </w:tabs>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bCs/>
    </w:rPr>
  </w:style>
  <w:style w:type="paragraph" w:styleId="11">
    <w:name w:val="No Spacing"/>
    <w:qFormat/>
    <w:uiPriority w:val="1"/>
    <w:pPr>
      <w:adjustRightInd w:val="0"/>
      <w:snapToGrid w:val="0"/>
      <w:spacing w:line="240" w:lineRule="auto"/>
    </w:pPr>
    <w:rPr>
      <w:rFonts w:ascii="Tahoma" w:hAnsi="Tahoma" w:eastAsia="微软雅黑" w:cstheme="minorBidi"/>
      <w:sz w:val="22"/>
      <w:szCs w:val="22"/>
      <w:lang w:val="en-US" w:eastAsia="zh-CN" w:bidi="ar-SA"/>
    </w:rPr>
  </w:style>
  <w:style w:type="paragraph" w:styleId="12">
    <w:name w:val="List Paragraph"/>
    <w:basedOn w:val="1"/>
    <w:qFormat/>
    <w:uiPriority w:val="34"/>
    <w:pPr>
      <w:ind w:firstLine="420" w:firstLineChars="200"/>
    </w:pPr>
  </w:style>
  <w:style w:type="character" w:customStyle="1" w:styleId="13">
    <w:name w:val="页眉 Char"/>
    <w:basedOn w:val="9"/>
    <w:link w:val="6"/>
    <w:semiHidden/>
    <w:qFormat/>
    <w:uiPriority w:val="99"/>
    <w:rPr>
      <w:rFonts w:ascii="Tahoma" w:hAnsi="Tahoma"/>
      <w:sz w:val="18"/>
      <w:szCs w:val="18"/>
    </w:rPr>
  </w:style>
  <w:style w:type="character" w:customStyle="1" w:styleId="14">
    <w:name w:val="页脚 Char"/>
    <w:basedOn w:val="9"/>
    <w:link w:val="5"/>
    <w:semiHidden/>
    <w:qFormat/>
    <w:uiPriority w:val="99"/>
    <w:rPr>
      <w:rFonts w:ascii="Tahoma" w:hAnsi="Tahoma"/>
      <w:sz w:val="18"/>
      <w:szCs w:val="18"/>
    </w:rPr>
  </w:style>
  <w:style w:type="paragraph" w:customStyle="1" w:styleId="15">
    <w:name w:val="1-主要标题"/>
    <w:next w:val="1"/>
    <w:qFormat/>
    <w:uiPriority w:val="0"/>
    <w:pPr>
      <w:widowControl w:val="0"/>
      <w:spacing w:line="560" w:lineRule="exact"/>
      <w:jc w:val="center"/>
    </w:pPr>
    <w:rPr>
      <w:rFonts w:ascii="Times New Roman" w:hAnsi="Times New Roman" w:eastAsia="方正小标宋简体" w:cstheme="minorBidi"/>
      <w:kern w:val="44"/>
      <w:sz w:val="44"/>
      <w:szCs w:val="44"/>
      <w:lang w:val="en-US" w:eastAsia="zh-CN" w:bidi="ar-SA"/>
    </w:rPr>
  </w:style>
  <w:style w:type="paragraph" w:customStyle="1" w:styleId="16">
    <w:name w:val="3-正文"/>
    <w:link w:val="21"/>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 w:type="paragraph" w:customStyle="1" w:styleId="17">
    <w:name w:val="2-主送"/>
    <w:next w:val="1"/>
    <w:qFormat/>
    <w:uiPriority w:val="0"/>
    <w:pPr>
      <w:widowControl w:val="0"/>
      <w:spacing w:line="560" w:lineRule="exact"/>
    </w:pPr>
    <w:rPr>
      <w:rFonts w:ascii="Times New Roman" w:hAnsi="Times New Roman" w:eastAsia="仿宋_GB2312" w:cstheme="minorBidi"/>
      <w:kern w:val="2"/>
      <w:sz w:val="32"/>
      <w:szCs w:val="22"/>
      <w:lang w:val="en-US" w:eastAsia="zh-CN" w:bidi="ar-SA"/>
    </w:rPr>
  </w:style>
  <w:style w:type="paragraph" w:customStyle="1" w:styleId="18">
    <w:name w:val="4-大标题"/>
    <w:basedOn w:val="16"/>
    <w:qFormat/>
    <w:uiPriority w:val="0"/>
    <w:rPr>
      <w:rFonts w:eastAsia="黑体"/>
    </w:rPr>
  </w:style>
  <w:style w:type="character" w:customStyle="1" w:styleId="19">
    <w:name w:val="5-小标题 Char"/>
    <w:link w:val="20"/>
    <w:qFormat/>
    <w:uiPriority w:val="0"/>
    <w:rPr>
      <w:rFonts w:ascii="Times New Roman" w:hAnsi="Times New Roman" w:eastAsia="楷体_GB2312" w:cstheme="minorBidi"/>
      <w:kern w:val="2"/>
      <w:sz w:val="32"/>
      <w:szCs w:val="22"/>
      <w:lang w:val="en-US" w:eastAsia="zh-CN" w:bidi="ar-SA"/>
    </w:rPr>
  </w:style>
  <w:style w:type="paragraph" w:customStyle="1" w:styleId="20">
    <w:name w:val="5-小标题"/>
    <w:next w:val="16"/>
    <w:link w:val="19"/>
    <w:qFormat/>
    <w:uiPriority w:val="0"/>
    <w:pPr>
      <w:spacing w:line="560" w:lineRule="exact"/>
      <w:ind w:firstLine="200" w:firstLineChars="200"/>
    </w:pPr>
    <w:rPr>
      <w:rFonts w:ascii="Times New Roman" w:hAnsi="Times New Roman" w:eastAsia="楷体_GB2312" w:cstheme="minorBidi"/>
      <w:kern w:val="2"/>
      <w:sz w:val="32"/>
      <w:szCs w:val="22"/>
      <w:lang w:val="en-US" w:eastAsia="zh-CN" w:bidi="ar-SA"/>
    </w:rPr>
  </w:style>
  <w:style w:type="character" w:customStyle="1" w:styleId="21">
    <w:name w:val="3-正文 Char"/>
    <w:link w:val="16"/>
    <w:qFormat/>
    <w:uiPriority w:val="0"/>
    <w:rPr>
      <w:rFonts w:ascii="Times New Roman" w:hAnsi="Times New Roman" w:eastAsia="仿宋_GB2312" w:cstheme="minorBidi"/>
      <w:kern w:val="2"/>
      <w:sz w:val="32"/>
      <w:szCs w:val="22"/>
      <w:lang w:val="en-US" w:eastAsia="zh-CN" w:bidi="ar-SA"/>
    </w:rPr>
  </w:style>
  <w:style w:type="paragraph" w:customStyle="1" w:styleId="22">
    <w:name w:val="Body text|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23">
    <w:name w:val="Body text|3"/>
    <w:basedOn w:val="1"/>
    <w:qFormat/>
    <w:uiPriority w:val="0"/>
    <w:pPr>
      <w:widowControl w:val="0"/>
      <w:shd w:val="clear" w:color="auto" w:fill="auto"/>
      <w:spacing w:before="580" w:after="520" w:line="614" w:lineRule="exact"/>
      <w:jc w:val="center"/>
    </w:pPr>
    <w:rPr>
      <w:rFonts w:ascii="宋体" w:hAnsi="宋体" w:eastAsia="宋体" w:cs="宋体"/>
      <w:sz w:val="44"/>
      <w:szCs w:val="44"/>
      <w:u w:val="none"/>
      <w:shd w:val="clear" w:color="auto" w:fill="auto"/>
      <w:lang w:val="zh-TW" w:eastAsia="zh-TW" w:bidi="zh-TW"/>
    </w:rPr>
  </w:style>
  <w:style w:type="paragraph" w:customStyle="1" w:styleId="24">
    <w:name w:val="Header or footer|1"/>
    <w:basedOn w:val="1"/>
    <w:qFormat/>
    <w:uiPriority w:val="0"/>
    <w:pPr>
      <w:widowControl w:val="0"/>
      <w:shd w:val="clear" w:color="auto" w:fill="auto"/>
    </w:pPr>
    <w:rPr>
      <w:u w:val="none"/>
      <w:shd w:val="clear" w:color="auto" w:fill="auto"/>
      <w:lang w:val="zh-TW" w:eastAsia="zh-TW" w:bidi="zh-TW"/>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6">
    <w:name w:val="Other|1"/>
    <w:basedOn w:val="1"/>
    <w:qFormat/>
    <w:uiPriority w:val="0"/>
    <w:pPr>
      <w:widowControl w:val="0"/>
      <w:shd w:val="clear" w:color="auto" w:fill="auto"/>
      <w:spacing w:line="427" w:lineRule="auto"/>
      <w:ind w:firstLine="400"/>
    </w:pPr>
    <w:rPr>
      <w:rFonts w:ascii="宋体" w:hAnsi="宋体" w:eastAsia="宋体" w:cs="宋体"/>
      <w:sz w:val="28"/>
      <w:szCs w:val="28"/>
      <w:u w:val="none"/>
      <w:shd w:val="clear" w:color="auto" w:fill="auto"/>
      <w:lang w:val="zh-TW" w:eastAsia="zh-TW" w:bidi="zh-TW"/>
    </w:rPr>
  </w:style>
  <w:style w:type="paragraph" w:customStyle="1" w:styleId="27">
    <w:name w:val="Heading #3|1"/>
    <w:basedOn w:val="1"/>
    <w:qFormat/>
    <w:uiPriority w:val="0"/>
    <w:pPr>
      <w:widowControl w:val="0"/>
      <w:shd w:val="clear" w:color="auto" w:fill="auto"/>
      <w:outlineLvl w:val="2"/>
    </w:pPr>
    <w:rPr>
      <w:rFonts w:ascii="宋体" w:hAnsi="宋体" w:eastAsia="宋体" w:cs="宋体"/>
      <w:sz w:val="44"/>
      <w:szCs w:val="44"/>
      <w:u w:val="none"/>
      <w:shd w:val="clear" w:color="auto" w:fill="auto"/>
      <w:lang w:val="zh-TW" w:eastAsia="zh-TW" w:bidi="zh-TW"/>
    </w:rPr>
  </w:style>
  <w:style w:type="table" w:customStyle="1" w:styleId="28">
    <w:name w:val="Table Normal"/>
    <w:semiHidden/>
    <w:unhideWhenUsed/>
    <w:qFormat/>
    <w:uiPriority w:val="0"/>
    <w:tblPr>
      <w:tblCellMar>
        <w:top w:w="0" w:type="dxa"/>
        <w:left w:w="0" w:type="dxa"/>
        <w:bottom w:w="0" w:type="dxa"/>
        <w:right w:w="0" w:type="dxa"/>
      </w:tblCellMar>
    </w:tblPr>
  </w:style>
  <w:style w:type="paragraph" w:customStyle="1" w:styleId="29">
    <w:name w:val="Other|2"/>
    <w:basedOn w:val="1"/>
    <w:qFormat/>
    <w:uiPriority w:val="0"/>
    <w:pPr>
      <w:widowControl w:val="0"/>
      <w:shd w:val="clear" w:color="auto" w:fill="auto"/>
      <w:spacing w:before="540" w:line="230" w:lineRule="exact"/>
      <w:jc w:val="center"/>
    </w:pPr>
    <w:rPr>
      <w:rFonts w:ascii="宋体" w:hAnsi="宋体" w:eastAsia="宋体" w:cs="宋体"/>
      <w:u w:val="none"/>
      <w:shd w:val="clear" w:color="auto" w:fill="auto"/>
      <w:lang w:val="zh-TW" w:eastAsia="zh-TW" w:bidi="zh-TW"/>
    </w:rPr>
  </w:style>
  <w:style w:type="paragraph" w:customStyle="1" w:styleId="30">
    <w:name w:val="Heading #2|1"/>
    <w:basedOn w:val="1"/>
    <w:qFormat/>
    <w:uiPriority w:val="0"/>
    <w:pPr>
      <w:widowControl w:val="0"/>
      <w:shd w:val="clear" w:color="auto" w:fill="auto"/>
      <w:spacing w:after="140"/>
      <w:jc w:val="center"/>
      <w:outlineLvl w:val="1"/>
    </w:pPr>
    <w:rPr>
      <w:rFonts w:ascii="宋体" w:hAnsi="宋体" w:eastAsia="宋体" w:cs="宋体"/>
      <w:sz w:val="44"/>
      <w:szCs w:val="44"/>
      <w:u w:val="none"/>
      <w:shd w:val="clear" w:color="auto" w:fill="auto"/>
      <w:lang w:val="zh-TW" w:eastAsia="zh-TW" w:bidi="zh-TW"/>
    </w:rPr>
  </w:style>
  <w:style w:type="paragraph" w:customStyle="1" w:styleId="31">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5533</Words>
  <Characters>5593</Characters>
  <Lines>19</Lines>
  <Paragraphs>5</Paragraphs>
  <TotalTime>2</TotalTime>
  <ScaleCrop>false</ScaleCrop>
  <LinksUpToDate>false</LinksUpToDate>
  <CharactersWithSpaces>5638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2019-07-26T13:54:00Z</dcterms:created>
  <dc:creator>mujiawei</dc:creator>
  <cp:lastModifiedBy>Administrator</cp:lastModifiedBy>
  <cp:lastPrinted>2024-03-23T07:17:00Z</cp:lastPrinted>
  <dcterms:modified xsi:type="dcterms:W3CDTF">2024-07-15T07:44:16Z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63CFA89B4C434EBA883D4233E314EA8B_13</vt:lpwstr>
  </property>
</Properties>
</file>