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kinsoku/>
        <w:autoSpaceDE/>
        <w:autoSpaceDN/>
        <w:adjustRightInd/>
        <w:snapToGrid/>
        <w:spacing w:line="540" w:lineRule="exact"/>
        <w:jc w:val="center"/>
        <w:textAlignment w:val="auto"/>
        <w:rPr>
          <w:rFonts w:hint="eastAsia" w:ascii="方正小标宋简体" w:hAnsi="方正小标宋简体" w:eastAsia="方正小标宋简体" w:cs="方正小标宋简体"/>
          <w:b w:val="0"/>
          <w:bCs w:val="0"/>
          <w:snapToGrid/>
          <w:kern w:val="2"/>
          <w:sz w:val="44"/>
          <w:szCs w:val="44"/>
          <w:lang w:val="en-US" w:eastAsia="zh-CN" w:bidi="ar-SA"/>
        </w:rPr>
      </w:pPr>
      <w:r>
        <w:rPr>
          <w:rFonts w:hint="eastAsia" w:ascii="方正小标宋简体" w:hAnsi="方正小标宋简体" w:eastAsia="方正小标宋简体" w:cs="方正小标宋简体"/>
          <w:b w:val="0"/>
          <w:bCs w:val="0"/>
          <w:snapToGrid/>
          <w:kern w:val="2"/>
          <w:sz w:val="44"/>
          <w:szCs w:val="44"/>
          <w:lang w:val="en-US" w:eastAsia="zh-CN" w:bidi="ar-SA"/>
        </w:rPr>
        <w:t>鞍山市“精康融合行动”方案(</w:t>
      </w:r>
      <w:r>
        <w:rPr>
          <w:rFonts w:hint="eastAsia" w:asciiTheme="majorEastAsia" w:hAnsiTheme="majorEastAsia" w:eastAsiaTheme="majorEastAsia" w:cstheme="majorEastAsia"/>
          <w:b w:val="0"/>
          <w:bCs w:val="0"/>
          <w:snapToGrid/>
          <w:kern w:val="2"/>
          <w:sz w:val="44"/>
          <w:szCs w:val="44"/>
          <w:lang w:val="en-US" w:eastAsia="zh-CN" w:bidi="ar-SA"/>
        </w:rPr>
        <w:t>2023-2025</w:t>
      </w:r>
      <w:r>
        <w:rPr>
          <w:rFonts w:hint="eastAsia" w:ascii="方正小标宋简体" w:hAnsi="方正小标宋简体" w:eastAsia="方正小标宋简体" w:cs="方正小标宋简体"/>
          <w:b w:val="0"/>
          <w:bCs w:val="0"/>
          <w:snapToGrid/>
          <w:kern w:val="2"/>
          <w:sz w:val="44"/>
          <w:szCs w:val="44"/>
          <w:lang w:val="en-US" w:eastAsia="zh-CN" w:bidi="ar-SA"/>
        </w:rPr>
        <w:t>)</w:t>
      </w:r>
    </w:p>
    <w:p>
      <w:pPr>
        <w:widowControl w:val="0"/>
        <w:shd w:val="clear"/>
        <w:kinsoku/>
        <w:autoSpaceDE/>
        <w:autoSpaceDN/>
        <w:adjustRightInd/>
        <w:snapToGrid/>
        <w:spacing w:line="540" w:lineRule="exact"/>
        <w:jc w:val="center"/>
        <w:textAlignment w:val="auto"/>
      </w:pPr>
      <w:r>
        <w:rPr>
          <w:rFonts w:hint="eastAsia" w:ascii="方正小标宋简体" w:hAnsi="方正小标宋简体" w:eastAsia="方正小标宋简体" w:cs="方正小标宋简体"/>
          <w:b w:val="0"/>
          <w:bCs w:val="0"/>
          <w:snapToGrid/>
          <w:kern w:val="2"/>
          <w:sz w:val="44"/>
          <w:szCs w:val="44"/>
          <w:lang w:val="en-US" w:eastAsia="zh-CN" w:bidi="ar-SA"/>
        </w:rPr>
        <w:t>（征求意见稿）</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为深入贯彻落实习近平总书记“关心关爱精神障碍人员”的重要指示精神，进一步提高全市精神障碍社区康复服务质量和水平，</w:t>
      </w:r>
      <w:r>
        <w:rPr>
          <w:rFonts w:hint="eastAsia" w:ascii="仿宋_GB2312" w:hAnsi="仿宋_GB2312" w:eastAsia="仿宋_GB2312" w:cs="仿宋_GB2312"/>
          <w:sz w:val="32"/>
          <w:szCs w:val="32"/>
          <w:lang w:val="en-US" w:eastAsia="zh-CN"/>
        </w:rPr>
        <w:t>根据《关于印发&lt;辽宁省“精康融合行动”方案（2023-2025）&gt;的通知》（辽民发〔2023〕31号)</w:t>
      </w:r>
      <w:r>
        <w:rPr>
          <w:rFonts w:hint="eastAsia" w:ascii="仿宋_GB2312" w:hAnsi="仿宋_GB2312" w:eastAsia="仿宋_GB2312" w:cs="仿宋_GB2312"/>
          <w:snapToGrid/>
          <w:color w:val="000000"/>
          <w:kern w:val="2"/>
          <w:sz w:val="32"/>
          <w:szCs w:val="24"/>
          <w:lang w:val="en-US" w:eastAsia="zh-CN" w:bidi="ar-SA"/>
        </w:rPr>
        <w:t>要求</w:t>
      </w:r>
      <w:r>
        <w:rPr>
          <w:rFonts w:hint="eastAsia" w:ascii="仿宋_GB2312" w:hAnsi="仿宋_GB2312" w:eastAsia="仿宋_GB2312" w:cs="仿宋_GB2312"/>
          <w:b w:val="0"/>
          <w:bCs w:val="0"/>
          <w:snapToGrid/>
          <w:kern w:val="2"/>
          <w:sz w:val="32"/>
          <w:szCs w:val="32"/>
          <w:lang w:val="en-US" w:eastAsia="zh-CN" w:bidi="ar-SA"/>
        </w:rPr>
        <w:t>，决定开展为期三年的全市精神障碍社区康复服务融合行动(以下简称“精康融合行动”),制定方案如下。</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3"/>
          <w:szCs w:val="33"/>
        </w:rPr>
      </w:pPr>
      <w:r>
        <w:rPr>
          <w:rFonts w:hint="eastAsia" w:ascii="黑体" w:hAnsi="黑体" w:eastAsia="黑体" w:cs="黑体"/>
          <w:b w:val="0"/>
          <w:bCs w:val="0"/>
          <w:snapToGrid/>
          <w:kern w:val="2"/>
          <w:sz w:val="32"/>
          <w:szCs w:val="32"/>
          <w:lang w:val="en-US" w:eastAsia="zh-CN" w:bidi="ar-SA"/>
        </w:rPr>
        <w:t>一、工作目标</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u w:val="none"/>
          <w:lang w:val="en-US" w:eastAsia="zh-CN" w:bidi="ar-SA"/>
        </w:rPr>
        <w:t>以有康复需求且经评估适合接受社区康复服务的居家精神障碍患者为服务对象，</w:t>
      </w:r>
      <w:r>
        <w:rPr>
          <w:rFonts w:hint="eastAsia" w:ascii="仿宋_GB2312" w:hAnsi="仿宋_GB2312" w:eastAsia="仿宋_GB2312" w:cs="仿宋_GB2312"/>
          <w:b w:val="0"/>
          <w:bCs w:val="0"/>
          <w:snapToGrid/>
          <w:kern w:val="2"/>
          <w:sz w:val="32"/>
          <w:szCs w:val="32"/>
          <w:lang w:val="en-US" w:eastAsia="zh-CN" w:bidi="ar-SA"/>
        </w:rPr>
        <w:t>通过构建布局健全合理、服务主体组成多元、形式方法多样灵活、转介衔接顺畅有序、管理机制专业规范的精神障碍社区康复服务体系，为精神障碍患者提供更加公平可及、系统连续的基本康复服务。2023年底，50%以上的县(市)区、开发区开展精神障碍社区康复服务，</w:t>
      </w:r>
      <w:r>
        <w:rPr>
          <w:rFonts w:hint="eastAsia" w:ascii="仿宋_GB2312" w:hAnsi="仿宋_GB2312" w:eastAsia="仿宋_GB2312" w:cs="仿宋_GB2312"/>
          <w:b w:val="0"/>
          <w:bCs w:val="0"/>
          <w:snapToGrid/>
          <w:color w:val="auto"/>
          <w:kern w:val="2"/>
          <w:sz w:val="32"/>
          <w:szCs w:val="32"/>
          <w:u w:val="none"/>
          <w:lang w:val="en-US" w:eastAsia="zh-CN" w:bidi="ar-SA"/>
        </w:rPr>
        <w:t>登记康复对象</w:t>
      </w:r>
      <w:r>
        <w:rPr>
          <w:rFonts w:hint="eastAsia" w:ascii="仿宋_GB2312" w:hAnsi="仿宋_GB2312" w:eastAsia="仿宋_GB2312" w:cs="仿宋_GB2312"/>
          <w:b w:val="0"/>
          <w:bCs w:val="0"/>
          <w:snapToGrid/>
          <w:kern w:val="2"/>
          <w:sz w:val="32"/>
          <w:szCs w:val="32"/>
          <w:lang w:val="en-US" w:eastAsia="zh-CN" w:bidi="ar-SA"/>
        </w:rPr>
        <w:t>接受规范服务率达到30%以上；2024年底，65%以上的县(市)区、开发区开展精神障碍社区康复服务，登记康复对象接受规范服务率达到45%以上；2025年底，80%以上的县(市)区、开发区开展精神障碍社区康复服务，登记康复对象接受规范服务率达到60%以上。</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napToGrid/>
          <w:kern w:val="2"/>
          <w:sz w:val="32"/>
          <w:szCs w:val="32"/>
          <w:lang w:val="en-US" w:eastAsia="zh-CN" w:bidi="ar-SA"/>
        </w:rPr>
      </w:pPr>
      <w:r>
        <w:rPr>
          <w:rFonts w:hint="eastAsia" w:ascii="黑体" w:hAnsi="黑体" w:eastAsia="黑体" w:cs="黑体"/>
          <w:b w:val="0"/>
          <w:bCs w:val="0"/>
          <w:snapToGrid/>
          <w:kern w:val="2"/>
          <w:sz w:val="32"/>
          <w:szCs w:val="32"/>
          <w:lang w:val="en-US" w:eastAsia="zh-CN" w:bidi="ar-SA"/>
        </w:rPr>
        <w:t>二、重点任务</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(一)全市精神障碍社区康复服务体系建设布局优化行动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1.科学规划精神障碍社区康复服务体系建设</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w:t>
      </w:r>
      <w:r>
        <w:rPr>
          <w:rFonts w:hint="eastAsia" w:ascii="仿宋_GB2312" w:hAnsi="仿宋_GB2312" w:eastAsia="仿宋_GB2312" w:cs="仿宋_GB2312"/>
          <w:b w:val="0"/>
          <w:bCs w:val="0"/>
          <w:snapToGrid/>
          <w:color w:val="auto"/>
          <w:kern w:val="2"/>
          <w:sz w:val="32"/>
          <w:szCs w:val="32"/>
          <w:lang w:val="en-US" w:eastAsia="zh-CN" w:bidi="ar-SA"/>
        </w:rPr>
        <w:t>各县(市)区、开发区民政部门</w:t>
      </w:r>
      <w:r>
        <w:rPr>
          <w:rFonts w:hint="eastAsia" w:ascii="仿宋_GB2312" w:hAnsi="仿宋_GB2312" w:eastAsia="仿宋_GB2312" w:cs="仿宋_GB2312"/>
          <w:b w:val="0"/>
          <w:bCs w:val="0"/>
          <w:snapToGrid/>
          <w:kern w:val="2"/>
          <w:sz w:val="32"/>
          <w:szCs w:val="32"/>
          <w:lang w:val="en-US" w:eastAsia="zh-CN" w:bidi="ar-SA"/>
        </w:rPr>
        <w:t>研究制定“精康融合行动”具体实施方案，组织开展动员部署，并将实施方案</w:t>
      </w:r>
      <w:r>
        <w:rPr>
          <w:rFonts w:hint="eastAsia" w:ascii="仿宋_GB2312" w:hAnsi="仿宋_GB2312" w:eastAsia="仿宋_GB2312" w:cs="仿宋_GB2312"/>
          <w:b w:val="0"/>
          <w:bCs w:val="0"/>
          <w:snapToGrid/>
          <w:color w:val="auto"/>
          <w:kern w:val="2"/>
          <w:sz w:val="32"/>
          <w:szCs w:val="32"/>
          <w:lang w:val="en-US" w:eastAsia="zh-CN" w:bidi="ar-SA"/>
        </w:rPr>
        <w:t>报市民政局。</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责任部门：各级民政、卫健、残联（位于责任部门第一位的为牵头部门，下同）</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完成时限：2023年11月</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(2)组织开展精神障碍社区康复服务机构和服务现状调查摸底，填报</w:t>
      </w:r>
      <w:r>
        <w:rPr>
          <w:rFonts w:hint="eastAsia" w:ascii="仿宋_GB2312" w:hAnsi="仿宋_GB2312" w:eastAsia="仿宋_GB2312" w:cs="仿宋_GB2312"/>
          <w:b w:val="0"/>
          <w:bCs w:val="0"/>
          <w:snapToGrid/>
          <w:kern w:val="2"/>
          <w:sz w:val="32"/>
          <w:szCs w:val="32"/>
          <w:u w:val="none"/>
          <w:lang w:val="en-US" w:eastAsia="zh-CN" w:bidi="ar-SA"/>
        </w:rPr>
        <w:t>《全市精康服务机构基本情况统计表》</w:t>
      </w:r>
      <w:r>
        <w:rPr>
          <w:rFonts w:hint="eastAsia" w:ascii="仿宋_GB2312" w:hAnsi="仿宋_GB2312" w:eastAsia="仿宋_GB2312" w:cs="仿宋_GB2312"/>
          <w:b w:val="0"/>
          <w:bCs w:val="0"/>
          <w:snapToGrid/>
          <w:kern w:val="2"/>
          <w:sz w:val="32"/>
          <w:szCs w:val="32"/>
          <w:lang w:val="en-US" w:eastAsia="zh-CN" w:bidi="ar-SA"/>
        </w:rPr>
        <w:t>,完善全国残疾人两项补贴信息系统“精康摸底调查模块”。</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完成时限：2023年12月</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(3)</w:t>
      </w:r>
      <w:r>
        <w:rPr>
          <w:rFonts w:hint="eastAsia" w:ascii="仿宋_GB2312" w:hAnsi="仿宋_GB2312" w:eastAsia="仿宋_GB2312" w:cs="仿宋_GB2312"/>
          <w:b w:val="0"/>
          <w:bCs w:val="0"/>
          <w:i w:val="0"/>
          <w:iCs w:val="0"/>
          <w:snapToGrid/>
          <w:kern w:val="2"/>
          <w:sz w:val="32"/>
          <w:szCs w:val="32"/>
          <w:lang w:val="en-US" w:eastAsia="zh-CN" w:bidi="ar-SA"/>
        </w:rPr>
        <w:t>按照“中心+站点”的架构，</w:t>
      </w:r>
      <w:r>
        <w:rPr>
          <w:rFonts w:hint="eastAsia" w:ascii="仿宋_GB2312" w:hAnsi="仿宋_GB2312" w:eastAsia="仿宋_GB2312" w:cs="仿宋_GB2312"/>
          <w:b w:val="0"/>
          <w:bCs w:val="0"/>
          <w:i w:val="0"/>
          <w:iCs w:val="0"/>
          <w:snapToGrid/>
          <w:kern w:val="2"/>
          <w:sz w:val="32"/>
          <w:szCs w:val="32"/>
          <w:highlight w:val="none"/>
          <w:lang w:val="en-US" w:eastAsia="zh-CN" w:bidi="ar-SA"/>
        </w:rPr>
        <w:t>市本级</w:t>
      </w:r>
      <w:r>
        <w:rPr>
          <w:rFonts w:hint="eastAsia" w:ascii="仿宋_GB2312" w:hAnsi="仿宋_GB2312" w:eastAsia="仿宋_GB2312" w:cs="仿宋_GB2312"/>
          <w:b w:val="0"/>
          <w:bCs w:val="0"/>
          <w:i w:val="0"/>
          <w:iCs w:val="0"/>
          <w:snapToGrid/>
          <w:kern w:val="2"/>
          <w:sz w:val="32"/>
          <w:szCs w:val="32"/>
          <w:lang w:val="en-US" w:eastAsia="zh-CN" w:bidi="ar-SA"/>
        </w:rPr>
        <w:t>设置</w:t>
      </w:r>
      <w:r>
        <w:rPr>
          <w:rFonts w:hint="eastAsia" w:ascii="仿宋_GB2312" w:hAnsi="仿宋_GB2312" w:eastAsia="仿宋_GB2312" w:cs="仿宋_GB2312"/>
          <w:b w:val="0"/>
          <w:bCs w:val="0"/>
          <w:i w:val="0"/>
          <w:iCs w:val="0"/>
          <w:snapToGrid/>
          <w:kern w:val="2"/>
          <w:sz w:val="32"/>
          <w:szCs w:val="32"/>
          <w:u w:val="none"/>
          <w:lang w:val="en-US" w:eastAsia="zh-CN" w:bidi="ar-SA"/>
        </w:rPr>
        <w:t>一个具备评估转介</w:t>
      </w:r>
      <w:r>
        <w:rPr>
          <w:rFonts w:hint="eastAsia" w:ascii="仿宋_GB2312" w:hAnsi="仿宋_GB2312" w:eastAsia="仿宋_GB2312" w:cs="仿宋_GB2312"/>
          <w:b w:val="0"/>
          <w:bCs w:val="0"/>
          <w:i w:val="0"/>
          <w:iCs w:val="0"/>
          <w:snapToGrid/>
          <w:kern w:val="2"/>
          <w:sz w:val="32"/>
          <w:szCs w:val="32"/>
          <w:lang w:val="en-US" w:eastAsia="zh-CN" w:bidi="ar-SA"/>
        </w:rPr>
        <w:t>、</w:t>
      </w:r>
      <w:r>
        <w:rPr>
          <w:rFonts w:hint="eastAsia" w:ascii="仿宋_GB2312" w:hAnsi="仿宋_GB2312" w:eastAsia="仿宋_GB2312" w:cs="仿宋_GB2312"/>
          <w:b w:val="0"/>
          <w:bCs w:val="0"/>
          <w:snapToGrid/>
          <w:kern w:val="2"/>
          <w:sz w:val="32"/>
          <w:szCs w:val="32"/>
          <w:lang w:val="en-US" w:eastAsia="zh-CN" w:bidi="ar-SA"/>
        </w:rPr>
        <w:t>培训督导、服务示范等综合功能的精神障碍社区康复服务机构(中心),每个县(市)区、开发区至少设置一个精神障碍社区康复服务机构(站、点),逐步推动精神障碍社区康复服务机构等级划分与评定。</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完成时限：2024年12月</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2.高质量建设基层服务网络</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(4)推动精神障碍社区康复服务机构场所面积、承载能力、功能设计、设施配置、人员配备构成等的标准化建设，逐步建立权责清晰、内部制度完备的规范化运行管理机制。</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0070C0"/>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3.统筹推进城乡精神障碍社区康复服务发展</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(5)拓展精神卫生医疗机构、社区卫生服务机构、乡镇卫生院等的技术支持和服务辐射范围，充分发挥技术指导作用，依据精神障碍社区康复服务机构布局及实际需求，市本级要明确至少一个技术指导对接点，帮助精神障碍社区康复服务机构提升服务能力和水平。</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责任部门：各级卫健、民政、残联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完成时限：2024年12月底前</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(二)畅通精神障碍治疗与康复双向转介行动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4.改进精神障碍社区康复转介信息服务</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(6)</w:t>
      </w:r>
      <w:r>
        <w:rPr>
          <w:rFonts w:hint="eastAsia" w:ascii="仿宋_GB2312" w:hAnsi="仿宋_GB2312" w:eastAsia="仿宋_GB2312" w:cs="仿宋_GB2312"/>
          <w:b w:val="0"/>
          <w:bCs w:val="0"/>
          <w:snapToGrid/>
          <w:color w:val="auto"/>
          <w:kern w:val="2"/>
          <w:sz w:val="32"/>
          <w:szCs w:val="32"/>
          <w:u w:val="none"/>
          <w:lang w:val="en-US" w:eastAsia="zh-CN" w:bidi="ar-SA"/>
        </w:rPr>
        <w:t>依托国家严重精神障碍信息系统和精神障碍社区康复服务国家转介信息平台</w:t>
      </w:r>
      <w:r>
        <w:rPr>
          <w:rFonts w:hint="eastAsia" w:ascii="仿宋_GB2312" w:hAnsi="仿宋_GB2312" w:eastAsia="仿宋_GB2312" w:cs="仿宋_GB2312"/>
          <w:b w:val="0"/>
          <w:bCs w:val="0"/>
          <w:snapToGrid/>
          <w:kern w:val="2"/>
          <w:sz w:val="32"/>
          <w:szCs w:val="32"/>
          <w:lang w:val="en-US" w:eastAsia="zh-CN" w:bidi="ar-SA"/>
        </w:rPr>
        <w:t>，以县(市)区、开发区为单位，推进辖区内精神卫生医疗机构、基层医疗卫生机构、社区康复服务机构及康复对象需求信息的收集、整合和共享，为康复对象提供及时、高效、便捷的转介服务。</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5.建立科学的转介登记机制</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(7)医疗机构对精神障碍患者开展出院康复评估、门诊就诊诊断评估，为符合条件的精神障碍患者及其监护人提供社区康复建议，引导其接受社区康复服务。对于有社区康复需求的严重精神障碍患者经患者及监护人同意后，有关医疗卫生机构通过国家严重精神障碍信息系统上传转介信息。</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7030A0"/>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责任部门：各级卫健、民政、残联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(8)精神障碍患者及监护人可通过精神卫生医疗机构或精神障碍社区康复服务机构的社会工作者自愿提出社区康复申请，由社会工作者审核评估康复需求后在全国转介信息平台登记。</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(9)各类企事业单位、村(居)民委员会、社会组织和个人发现精神障碍患者社区康复需求时，可以通过相关机构、网络等适当渠道向全国转介信息平台提出登记申请，由社会工作者审核评估康复需求后给予登记。</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wordWrap/>
        <w:overflowPunct/>
        <w:topLinePunct w:val="0"/>
        <w:bidi w:val="0"/>
        <w:spacing w:line="560" w:lineRule="exact"/>
        <w:ind w:left="66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3"/>
          <w:sz w:val="32"/>
          <w:szCs w:val="32"/>
        </w:rPr>
        <w:t>6.完善社区康复服务机构康复转介机制</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(10)依托全国转介信息平台接收转介申请后，应及时汇总、分派、转送至精神障碍社区康复服务机构。精神障碍社区康复服务机构在开展康复服务前，应与康复对象及监护人签订知情同意书、服务协议等。</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(11)需要患者等候时间超过3个月的，应在康复转介前再次审核申请人意愿和实际情况，对服务对象进行综合评估，出具康复意见。</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4F81BD" w:themeColor="accent1"/>
          <w:kern w:val="2"/>
          <w:sz w:val="32"/>
          <w:szCs w:val="32"/>
          <w:lang w:val="en-US" w:eastAsia="zh-CN" w:bidi="ar-SA"/>
          <w14:textFill>
            <w14:solidFill>
              <w14:schemeClr w14:val="accent1"/>
            </w14:solidFill>
          </w14:textFill>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(12)精神障碍患者离开本地的，原精神障碍社区康复服务机构应及时通过全国转介信息平台，将患者信息推送至其新居住地精神障碍社区康复服务机构对其开展康复服务。</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(13)精神卫生医疗机构和精神障碍社区康复服务机构建立绿色通道，康复对象在社区康复期间病情复发的，可通过所在精神障碍社区康复服务机构向精神卫生医疗机构快速转介。</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责任部门：各级卫健、民政、残联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完成时限：2024年12月底前</w:t>
      </w:r>
    </w:p>
    <w:p>
      <w:pPr>
        <w:keepNext w:val="0"/>
        <w:keepLines w:val="0"/>
        <w:pageBreakBefore w:val="0"/>
        <w:widowControl/>
        <w:shd w:val="clear"/>
        <w:wordWrap/>
        <w:overflowPunct/>
        <w:topLinePunct w:val="0"/>
        <w:bidi w:val="0"/>
        <w:spacing w:line="560" w:lineRule="exact"/>
        <w:ind w:left="639"/>
        <w:jc w:val="both"/>
        <w:rPr>
          <w:rFonts w:ascii="仿宋" w:hAnsi="仿宋" w:eastAsia="仿宋" w:cs="仿宋"/>
          <w:sz w:val="32"/>
          <w:szCs w:val="32"/>
        </w:rPr>
      </w:pPr>
      <w:r>
        <w:rPr>
          <w:rFonts w:ascii="仿宋" w:hAnsi="仿宋" w:eastAsia="仿宋" w:cs="仿宋"/>
          <w:spacing w:val="14"/>
          <w:sz w:val="32"/>
          <w:szCs w:val="32"/>
        </w:rPr>
        <w:t>7.建立完善社区康复服务后转介机制</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u w:val="none"/>
          <w:lang w:val="en-US" w:eastAsia="zh-CN" w:bidi="ar-SA"/>
        </w:rPr>
      </w:pPr>
      <w:r>
        <w:rPr>
          <w:rFonts w:hint="eastAsia" w:ascii="仿宋_GB2312" w:hAnsi="仿宋_GB2312" w:eastAsia="仿宋_GB2312" w:cs="仿宋_GB2312"/>
          <w:b w:val="0"/>
          <w:bCs w:val="0"/>
          <w:snapToGrid/>
          <w:kern w:val="2"/>
          <w:sz w:val="32"/>
          <w:szCs w:val="32"/>
          <w:u w:val="none"/>
          <w:lang w:val="en-US" w:eastAsia="zh-CN" w:bidi="ar-SA"/>
        </w:rPr>
        <w:t>(14)精神障碍社区康复服务机构定期组织专业人员对康复对象开展转介评估，经评估符合转出条件的，按照不同需求进行推荐就业或公益性庇护性就业、申请其他类型社区康复服务、返回社区居住等转介服务，并将精神障碍社区康复服务后转介情况向全国转介信息平台登记结案。</w:t>
      </w:r>
    </w:p>
    <w:p>
      <w:pPr>
        <w:keepNext w:val="0"/>
        <w:keepLines w:val="0"/>
        <w:pageBreakBefore w:val="0"/>
        <w:widowControl/>
        <w:shd w:val="clear"/>
        <w:wordWrap/>
        <w:overflowPunct/>
        <w:topLinePunct w:val="0"/>
        <w:bidi w:val="0"/>
        <w:spacing w:line="560" w:lineRule="exact"/>
        <w:ind w:left="670"/>
        <w:jc w:val="both"/>
        <w:rPr>
          <w:rFonts w:ascii="仿宋" w:hAnsi="仿宋" w:eastAsia="仿宋" w:cs="仿宋"/>
          <w:color w:val="4F81BD" w:themeColor="accent1"/>
          <w:sz w:val="32"/>
          <w:szCs w:val="32"/>
          <w14:textFill>
            <w14:solidFill>
              <w14:schemeClr w14:val="accent1"/>
            </w14:solidFill>
          </w14:textFill>
        </w:rPr>
      </w:pPr>
      <w:r>
        <w:rPr>
          <w:rFonts w:ascii="仿宋" w:hAnsi="仿宋" w:eastAsia="仿宋" w:cs="仿宋"/>
          <w:color w:val="auto"/>
          <w:spacing w:val="16"/>
          <w:sz w:val="32"/>
          <w:szCs w:val="32"/>
        </w:rPr>
        <w:t>责任部门：各级民政、残联、卫健</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(15)各市要根据实际制定推行康复评估、后转介评估、知情同意、服务协议等方面的标准、程序和示范文本，规范服务转介及签约履约行为，鼓励有条件的地方使用电子协议。</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(三)精神障碍社区康复服务供给能力提升行动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8.统筹利用各类精神障碍社区康复服务资源</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(16)推动引入第三方评价机制，对精神障碍社区康复服务内容及形式、服务质量、服务对象满意度、业务培训、行业标准与法规制定等开展综合评价，并明确评价结果使用办法。</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4F81BD" w:themeColor="accent1"/>
          <w:kern w:val="2"/>
          <w:sz w:val="32"/>
          <w:szCs w:val="32"/>
          <w:lang w:val="en-US" w:eastAsia="zh-CN" w:bidi="ar-SA"/>
          <w14:textFill>
            <w14:solidFill>
              <w14:schemeClr w14:val="accent1"/>
            </w14:solidFill>
          </w14:textFill>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完成时限：2024年12月</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9.加快培育精神障碍社区康复服务多元市场主体</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u w:val="none"/>
          <w:lang w:val="en-US" w:eastAsia="zh-CN" w:bidi="ar-SA"/>
        </w:rPr>
      </w:pPr>
      <w:r>
        <w:rPr>
          <w:rFonts w:hint="eastAsia" w:ascii="仿宋_GB2312" w:hAnsi="仿宋_GB2312" w:eastAsia="仿宋_GB2312" w:cs="仿宋_GB2312"/>
          <w:b w:val="0"/>
          <w:bCs w:val="0"/>
          <w:snapToGrid/>
          <w:kern w:val="2"/>
          <w:sz w:val="32"/>
          <w:szCs w:val="32"/>
          <w:lang w:val="en-US" w:eastAsia="zh-CN" w:bidi="ar-SA"/>
        </w:rPr>
        <w:t>(17)完善相关政策，鼓励社会力量通过公建民营、政府购买服务、政府和社会资本合作(PPP)等方式参与精神障碍社区康复服务供给。</w:t>
      </w:r>
      <w:r>
        <w:rPr>
          <w:rFonts w:hint="eastAsia" w:ascii="仿宋_GB2312" w:hAnsi="仿宋_GB2312" w:eastAsia="仿宋_GB2312" w:cs="仿宋_GB2312"/>
          <w:b w:val="0"/>
          <w:bCs w:val="0"/>
          <w:snapToGrid/>
          <w:kern w:val="2"/>
          <w:sz w:val="32"/>
          <w:szCs w:val="32"/>
          <w:highlight w:val="none"/>
          <w:u w:val="none"/>
          <w:lang w:val="en-US" w:eastAsia="zh-CN" w:bidi="ar-SA"/>
        </w:rPr>
        <w:t>市本级</w:t>
      </w:r>
      <w:r>
        <w:rPr>
          <w:rFonts w:hint="eastAsia" w:ascii="仿宋_GB2312" w:hAnsi="仿宋_GB2312" w:eastAsia="仿宋_GB2312" w:cs="仿宋_GB2312"/>
          <w:b w:val="0"/>
          <w:bCs w:val="0"/>
          <w:snapToGrid/>
          <w:kern w:val="2"/>
          <w:sz w:val="32"/>
          <w:szCs w:val="32"/>
          <w:u w:val="none"/>
          <w:lang w:val="en-US" w:eastAsia="zh-CN" w:bidi="ar-SA"/>
        </w:rPr>
        <w:t>培育至少1家以提供精神障碍社区康复服务为主，专业化程度高、服务能力强、社会影响大的品牌化精神康复社会服务机构。</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10.丰富服务模式和内容</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(18)丰富完善服药训练、生活技能训练、社交技能训练、职业能力训练、居家康复指导等基础服务内容。根据儿童、青少年、老年人等不同年龄段康复对象的特殊需求和特点，设计专门的康复服务内容。</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11.推进服务形式多样化</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(19)根据康复对象个性需求和实际情况，有针对性地提供灵活多样的精神障碍社区康复服务。严格保护服务对象隐私，保障数据信息安全，保护合法权益。</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(四)高素质专业人才队伍建设行动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12.加强康复服务专业人才挖掘使用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(20)重视解决精神障碍社区康复服务人才短缺问题，到“精康融合行动”结束时，</w:t>
      </w:r>
      <w:r>
        <w:rPr>
          <w:rFonts w:hint="eastAsia" w:ascii="仿宋_GB2312" w:hAnsi="仿宋_GB2312" w:eastAsia="仿宋_GB2312" w:cs="仿宋_GB2312"/>
          <w:b w:val="0"/>
          <w:bCs w:val="0"/>
          <w:snapToGrid/>
          <w:kern w:val="2"/>
          <w:sz w:val="32"/>
          <w:szCs w:val="32"/>
          <w:u w:val="none"/>
          <w:lang w:val="en-US" w:eastAsia="zh-CN" w:bidi="ar-SA"/>
        </w:rPr>
        <w:t>精神障碍社区康复服务机构中具有精神卫生、社会工作、心理健康相关专业学历的从业人员应占30%以上</w:t>
      </w:r>
      <w:r>
        <w:rPr>
          <w:rFonts w:hint="eastAsia" w:ascii="仿宋_GB2312" w:hAnsi="仿宋_GB2312" w:eastAsia="仿宋_GB2312" w:cs="仿宋_GB2312"/>
          <w:b w:val="0"/>
          <w:bCs w:val="0"/>
          <w:snapToGrid/>
          <w:kern w:val="2"/>
          <w:sz w:val="32"/>
          <w:szCs w:val="32"/>
          <w:lang w:val="en-US" w:eastAsia="zh-CN" w:bidi="ar-SA"/>
        </w:rPr>
        <w:t>。</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13.强化康复服务从业人员督导培训</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(21)加强《精神障碍社区康复服务工作规范》(民发〔2020〕147号)宣贯，指导精神障碍社区康复服务从业人员根据实际需要接受岗前培训、集中培训、跟踪督导培训、职业技能培训等，直接服务人员每年至少接受20小时的精神障碍康复专业知识培训。</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(22)推动将精神障碍社区康复服务理念、评估和转介列入精神科医师和护士培训内容，促进精神障碍诊疗和康复服务衔接。</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责任部门：各级卫健、民政、残联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14.提高康复服务人才保障水平</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(23)对满意度高、口碑较好、康复效果好的精神障碍社区康复服务优秀人才在职称评定或技能评定上给予倾斜考虑。鼓励精神障碍社区康复服务机构投保雇主责任险，为员工投保意外伤害保险、职业责任保险。</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4F81BD" w:themeColor="accent1"/>
          <w:kern w:val="2"/>
          <w:sz w:val="32"/>
          <w:szCs w:val="32"/>
          <w:lang w:val="en-US" w:eastAsia="zh-CN" w:bidi="ar-SA"/>
          <w14:textFill>
            <w14:solidFill>
              <w14:schemeClr w14:val="accent1"/>
            </w14:solidFill>
          </w14:textFill>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(五)精神障碍社区康复服务可持续发展保障行动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15.强化政府政策引领推动作用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(24)通过统筹现有资源，积极支持“精康融合行动”实施，在政府购买服务、精神障碍社区康复服务人才引进和培训、精神障碍社区康复服务机构标准化建设等方面加大政策扶持力度。</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16.引导社会资金筹集和使用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(25)引导鼓励爱心企业、慈善组织、基金会设立专项基金、开展公益捐赠，支持符合条件且认定为慈善组织的精神障碍社区康复服务社会服务机构依法取得公开募捐资格。</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(六)精神障碍社区康复服务支撑体系优化行动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17.建立服务记录和监管制度</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(26)通过设立监督电话、公众号等方式，为服务对象和社会公众提供监督渠道，促进精神障碍社区康复服务机构改进服务。</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18.加强标准化建设和价格监管</w:t>
      </w:r>
    </w:p>
    <w:p>
      <w:pPr>
        <w:keepNext w:val="0"/>
        <w:keepLines w:val="0"/>
        <w:pageBreakBefore w:val="0"/>
        <w:widowControl/>
        <w:shd w:val="clear"/>
        <w:wordWrap/>
        <w:overflowPunct/>
        <w:topLinePunct w:val="0"/>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napToGrid/>
          <w:kern w:val="2"/>
          <w:sz w:val="32"/>
          <w:szCs w:val="32"/>
          <w:lang w:val="en-US" w:eastAsia="zh-CN" w:bidi="ar-SA"/>
        </w:rPr>
        <w:t>(27)</w:t>
      </w:r>
      <w:r>
        <w:rPr>
          <w:rFonts w:hint="eastAsia" w:ascii="仿宋_GB2312" w:hAnsi="仿宋_GB2312" w:eastAsia="仿宋_GB2312" w:cs="仿宋_GB2312"/>
          <w:sz w:val="32"/>
          <w:szCs w:val="32"/>
          <w:lang w:val="en-US" w:eastAsia="zh-CN"/>
        </w:rPr>
        <w:t>加强精神卫生领域有关国家标准的实施推广，根据地方实际建立完善精神障碍社区康复服务标准体系。</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(28)扶持培育精神障碍社区康复服务行业组织，促进行业自律和组织地区间交流。</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4F81BD" w:themeColor="accent1"/>
          <w:kern w:val="2"/>
          <w:sz w:val="32"/>
          <w:szCs w:val="32"/>
          <w:lang w:val="en-US" w:eastAsia="zh-CN" w:bidi="ar-SA"/>
          <w14:textFill>
            <w14:solidFill>
              <w14:schemeClr w14:val="accent1"/>
            </w14:solidFill>
          </w14:textFill>
        </w:rPr>
      </w:pPr>
      <w:r>
        <w:rPr>
          <w:rFonts w:hint="eastAsia" w:ascii="仿宋_GB2312" w:hAnsi="仿宋_GB2312" w:eastAsia="仿宋_GB2312" w:cs="仿宋_GB2312"/>
          <w:b w:val="0"/>
          <w:bCs w:val="0"/>
          <w:snapToGrid/>
          <w:color w:val="auto"/>
          <w:kern w:val="2"/>
          <w:sz w:val="32"/>
          <w:szCs w:val="32"/>
          <w:lang w:val="en-US" w:eastAsia="zh-CN" w:bidi="ar-SA"/>
        </w:rPr>
        <w:t>责任部门：各级民政、卫健、残联</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19.发挥正面宣传和社区支持作用</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(29)为精神障碍患者提供社区融入服务，推动其参加社区活动，构建社区关系网络。</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责任部门：各级残联、民政、卫健</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完成时限：2025年12月取得阶段性成果，持续推进</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napToGrid/>
          <w:kern w:val="2"/>
          <w:sz w:val="32"/>
          <w:szCs w:val="32"/>
          <w:lang w:val="en-US" w:eastAsia="zh-CN" w:bidi="ar-SA"/>
        </w:rPr>
      </w:pPr>
      <w:r>
        <w:rPr>
          <w:rFonts w:hint="eastAsia" w:ascii="黑体" w:hAnsi="黑体" w:eastAsia="黑体" w:cs="黑体"/>
          <w:b w:val="0"/>
          <w:bCs w:val="0"/>
          <w:snapToGrid/>
          <w:kern w:val="2"/>
          <w:sz w:val="32"/>
          <w:szCs w:val="32"/>
          <w:lang w:val="en-US" w:eastAsia="zh-CN" w:bidi="ar-SA"/>
        </w:rPr>
        <w:t>三、保障措施</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(一)建立工作机制。</w:t>
      </w:r>
      <w:r>
        <w:rPr>
          <w:rFonts w:hint="eastAsia" w:ascii="仿宋_GB2312" w:hAnsi="仿宋_GB2312" w:eastAsia="仿宋_GB2312" w:cs="仿宋_GB2312"/>
          <w:b w:val="0"/>
          <w:bCs w:val="0"/>
          <w:snapToGrid/>
          <w:kern w:val="2"/>
          <w:sz w:val="32"/>
          <w:szCs w:val="32"/>
          <w:lang w:val="en-US" w:eastAsia="zh-CN" w:bidi="ar-SA"/>
        </w:rPr>
        <w:t>建立全市“精康融合行动”联席会议机制，市民政局局长任召集人，市财政局、市卫生健康委、市残联等部门分管领导任成员，负责统筹推进工作落实，协调解决工作中遇到的突出问题。联席会议机制下设办公室，设在市民政局。各县（市）区、开发区要建立健全“精康融合行动”工作协调机制，统筹协调解决突出问题，整合和集中使用相关部门的资金、政策及设施等资源，确保“精康融合行动”稳妥有序推进实施。</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(二)加强部门联动。</w:t>
      </w:r>
      <w:r>
        <w:rPr>
          <w:rFonts w:hint="eastAsia" w:ascii="仿宋_GB2312" w:hAnsi="仿宋_GB2312" w:eastAsia="仿宋_GB2312" w:cs="仿宋_GB2312"/>
          <w:b w:val="0"/>
          <w:bCs w:val="0"/>
          <w:snapToGrid/>
          <w:kern w:val="2"/>
          <w:sz w:val="32"/>
          <w:szCs w:val="32"/>
          <w:lang w:val="en-US" w:eastAsia="zh-CN" w:bidi="ar-SA"/>
        </w:rPr>
        <w:t>各部门要在当地党委、政府领导下，切实履行部门职责，形成工作合力。民政部门要牵头做好“精康融合行动”的工作协调、督导检查；推进精神障碍治疗、康复有机衔接和转介，加强精神障碍社区康复服务标准化体系建设，促进精神障碍社区康复服务广泛开展；指导所属精神障碍社区康复服务机构开展相关服务。财政部门要加强资金保障，根据财政事权与支出责任相适应的原则，将精神障碍社区康复服务工作相关经费列入年度部门预算；民政、卫生健康、残联等部门和单位依法对精神障碍社区康复服务所涉及的资金使用情况、政府购买精神障碍社区康复服务社会服务机构情况进行监管管理。卫生健康部门要将精神障碍社区康复服务纳入心理健康和精神卫生防治体系建设，提供精神卫生医疗服务和专业技术人才支持，促进精神障碍预防、治疗、康复衔接；指导医疗机构将精神障碍患者康复评估情况及建议告知患者及监护人，引导其接受社区康复服务，并将有关信息上传至严重精神障碍信息系统，实现与全国转介信息平台共享。残联组织要积极反映精神残疾人诉求，维护精神残疾人康复权益，将精神障碍社区康复与残疾人康复、托养、就业等服务共同推进；对病情稳定、有就业意愿且具备就业能力的精神障碍社区康复服务对象提供就业培训指导，做好推荐就业和公益性庇护性就业转介工作。</w:t>
      </w:r>
    </w:p>
    <w:p>
      <w:pPr>
        <w:keepNext w:val="0"/>
        <w:keepLines w:val="0"/>
        <w:pageBreakBefore w:val="0"/>
        <w:widowControl/>
        <w:shd w:val="clear" w:color="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(三)加大政策扶持。</w:t>
      </w:r>
      <w:r>
        <w:rPr>
          <w:rFonts w:hint="eastAsia" w:ascii="仿宋_GB2312" w:hAnsi="仿宋_GB2312" w:eastAsia="仿宋_GB2312" w:cs="仿宋_GB2312"/>
          <w:b w:val="0"/>
          <w:bCs w:val="0"/>
          <w:snapToGrid/>
          <w:kern w:val="2"/>
          <w:sz w:val="32"/>
          <w:szCs w:val="32"/>
          <w:lang w:val="en-US" w:eastAsia="zh-CN" w:bidi="ar-SA"/>
        </w:rPr>
        <w:t>各县（市）区、开发区要落实好最低生活保障、城乡居民医疗保险、困难群众医疗救助、困难残疾人生活补贴和重度残疾人护理补贴政策，继续加大严重精神障碍患者监护职责“以奖代补”政策落实力度。民政部门要运用留归民政部门使用的彩票公益金，对精神障碍社区康复服务给予支持。卫生健康部门要将精神障碍社区康复服务纳入心理健康和精神卫生防治体系建设，落实好我市符合条件的严重精神障碍患者门诊免费政策。残联组织要在残疾人康复项目实施中，对精神障碍社区康复服务给予重点支持。</w:t>
      </w:r>
    </w:p>
    <w:p>
      <w:pPr>
        <w:keepNext w:val="0"/>
        <w:keepLines w:val="0"/>
        <w:pageBreakBefore w:val="0"/>
        <w:widowControl/>
        <w:shd w:val="clear" w:color="auto"/>
        <w:kinsoku/>
        <w:wordWrap/>
        <w:overflowPunct/>
        <w:topLinePunct w:val="0"/>
        <w:autoSpaceDE/>
        <w:autoSpaceDN/>
        <w:bidi w:val="0"/>
        <w:adjustRightInd/>
        <w:snapToGrid/>
        <w:spacing w:line="560" w:lineRule="exact"/>
        <w:ind w:left="1918" w:leftChars="304" w:hanging="1280" w:hangingChars="400"/>
        <w:jc w:val="left"/>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附件：1.鞍山市精康服务机构基本情况统计表</w:t>
      </w:r>
    </w:p>
    <w:p>
      <w:pPr>
        <w:keepNext w:val="0"/>
        <w:keepLines w:val="0"/>
        <w:pageBreakBefore w:val="0"/>
        <w:widowControl/>
        <w:shd w:val="clear" w:color="auto"/>
        <w:kinsoku/>
        <w:wordWrap/>
        <w:overflowPunct/>
        <w:topLinePunct w:val="0"/>
        <w:autoSpaceDE/>
        <w:autoSpaceDN/>
        <w:bidi w:val="0"/>
        <w:adjustRightInd/>
        <w:snapToGrid/>
        <w:spacing w:line="560" w:lineRule="exact"/>
        <w:ind w:left="1916" w:leftChars="760" w:hanging="320" w:hangingChars="100"/>
        <w:jc w:val="left"/>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2.鞍山市“精康融合行动”联席</w:t>
      </w:r>
      <w:bookmarkStart w:id="0" w:name="_GoBack"/>
      <w:r>
        <w:rPr>
          <w:rFonts w:hint="eastAsia" w:ascii="仿宋_GB2312" w:hAnsi="仿宋_GB2312" w:eastAsia="仿宋_GB2312" w:cs="仿宋_GB2312"/>
          <w:b w:val="0"/>
          <w:bCs w:val="0"/>
          <w:snapToGrid/>
          <w:kern w:val="2"/>
          <w:sz w:val="32"/>
          <w:szCs w:val="32"/>
          <w:lang w:val="en-US" w:eastAsia="zh-CN" w:bidi="ar-SA"/>
        </w:rPr>
        <w:t>会议机制成员及办公室成员名单</w:t>
      </w:r>
    </w:p>
    <w:bookmarkEnd w:id="0"/>
    <w:p>
      <w:pPr>
        <w:keepNext w:val="0"/>
        <w:keepLines w:val="0"/>
        <w:pageBreakBefore w:val="0"/>
        <w:widowControl/>
        <w:shd w:val="clear" w:color="auto"/>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b w:val="0"/>
          <w:bCs w:val="0"/>
          <w:snapToGrid/>
          <w:kern w:val="2"/>
          <w:sz w:val="32"/>
          <w:szCs w:val="32"/>
          <w:lang w:val="en-US" w:eastAsia="zh-CN" w:bidi="ar-SA"/>
        </w:rPr>
      </w:pPr>
      <w:r>
        <w:rPr>
          <w:rFonts w:hint="eastAsia" w:ascii="仿宋_GB2312" w:hAnsi="仿宋_GB2312" w:eastAsia="仿宋_GB2312" w:cs="仿宋_GB2312"/>
          <w:b w:val="0"/>
          <w:bCs w:val="0"/>
          <w:snapToGrid/>
          <w:kern w:val="2"/>
          <w:sz w:val="32"/>
          <w:szCs w:val="32"/>
          <w:lang w:val="en-US" w:eastAsia="zh-CN" w:bidi="ar-SA"/>
        </w:rPr>
        <w:t>3.鞍山市“精康融合行动”联席会议机制工作职责</w:t>
      </w:r>
    </w:p>
    <w:p>
      <w:pPr>
        <w:pStyle w:val="3"/>
        <w:widowControl w:val="0"/>
        <w:numPr>
          <w:ilvl w:val="0"/>
          <w:numId w:val="0"/>
        </w:numPr>
        <w:shd w:val="clear"/>
        <w:kinsoku w:val="0"/>
        <w:autoSpaceDE w:val="0"/>
        <w:autoSpaceDN w:val="0"/>
        <w:adjustRightInd w:val="0"/>
        <w:snapToGrid w:val="0"/>
        <w:spacing w:line="240" w:lineRule="auto"/>
        <w:jc w:val="both"/>
        <w:textAlignment w:val="baseline"/>
      </w:pPr>
    </w:p>
    <w:p>
      <w:pPr>
        <w:shd w:val="clear"/>
        <w:sectPr>
          <w:footerReference r:id="rId5" w:type="default"/>
          <w:pgSz w:w="12210" w:h="17050"/>
          <w:pgMar w:top="1440" w:right="1440" w:bottom="1442" w:left="1502" w:header="0" w:footer="1542" w:gutter="0"/>
          <w:pgNumType w:fmt="decimal" w:start="2"/>
          <w:cols w:space="720" w:num="1"/>
        </w:sectPr>
      </w:pPr>
    </w:p>
    <w:p>
      <w:pPr>
        <w:shd w:val="clear"/>
        <w:spacing w:line="409" w:lineRule="auto"/>
        <w:rPr>
          <w:rFonts w:ascii="Arial"/>
          <w:sz w:val="21"/>
        </w:rPr>
      </w:pPr>
    </w:p>
    <w:p>
      <w:pPr>
        <w:shd w:val="clear"/>
        <w:spacing w:before="114" w:line="224" w:lineRule="auto"/>
        <w:ind w:left="512"/>
        <w:rPr>
          <w:rFonts w:hint="eastAsia" w:ascii="黑体" w:hAnsi="黑体" w:eastAsia="黑体" w:cs="黑体"/>
          <w:sz w:val="35"/>
          <w:szCs w:val="35"/>
          <w:lang w:val="en-US" w:eastAsia="zh-CN"/>
        </w:rPr>
      </w:pPr>
      <w:r>
        <w:rPr>
          <w:rFonts w:ascii="黑体" w:hAnsi="黑体" w:eastAsia="黑体" w:cs="黑体"/>
          <w:b/>
          <w:bCs/>
          <w:spacing w:val="11"/>
          <w:sz w:val="35"/>
          <w:szCs w:val="35"/>
        </w:rPr>
        <w:t>附件</w:t>
      </w:r>
      <w:r>
        <w:rPr>
          <w:rFonts w:hint="eastAsia" w:ascii="黑体" w:hAnsi="黑体" w:eastAsia="黑体" w:cs="黑体"/>
          <w:b/>
          <w:bCs/>
          <w:spacing w:val="11"/>
          <w:sz w:val="35"/>
          <w:szCs w:val="35"/>
          <w:lang w:val="en-US" w:eastAsia="zh-CN"/>
        </w:rPr>
        <w:t>1</w:t>
      </w:r>
    </w:p>
    <w:p>
      <w:pPr>
        <w:shd w:val="clear"/>
        <w:spacing w:line="302" w:lineRule="auto"/>
        <w:rPr>
          <w:rFonts w:ascii="Arial"/>
          <w:sz w:val="21"/>
        </w:rPr>
      </w:pPr>
    </w:p>
    <w:p>
      <w:pPr>
        <w:shd w:val="clear"/>
        <w:spacing w:before="143" w:line="219" w:lineRule="auto"/>
        <w:ind w:left="3613"/>
        <w:rPr>
          <w:rFonts w:ascii="宋体" w:hAnsi="宋体" w:eastAsia="宋体" w:cs="宋体"/>
          <w:sz w:val="44"/>
          <w:szCs w:val="44"/>
        </w:rPr>
      </w:pPr>
      <w:r>
        <w:rPr>
          <w:rFonts w:hint="eastAsia" w:ascii="宋体" w:hAnsi="宋体" w:eastAsia="宋体" w:cs="宋体"/>
          <w:b/>
          <w:bCs/>
          <w:spacing w:val="-6"/>
          <w:sz w:val="44"/>
          <w:szCs w:val="44"/>
          <w:lang w:val="en-US" w:eastAsia="zh-CN"/>
        </w:rPr>
        <w:t>鞍山市</w:t>
      </w:r>
      <w:r>
        <w:rPr>
          <w:rFonts w:ascii="宋体" w:hAnsi="宋体" w:eastAsia="宋体" w:cs="宋体"/>
          <w:b/>
          <w:bCs/>
          <w:spacing w:val="-6"/>
          <w:sz w:val="44"/>
          <w:szCs w:val="44"/>
        </w:rPr>
        <w:t>精康服务机构基本情况统计表</w:t>
      </w:r>
    </w:p>
    <w:p>
      <w:pPr>
        <w:shd w:val="clear"/>
        <w:spacing w:line="288" w:lineRule="auto"/>
        <w:rPr>
          <w:rFonts w:ascii="Arial"/>
          <w:sz w:val="21"/>
        </w:rPr>
      </w:pPr>
    </w:p>
    <w:p>
      <w:pPr>
        <w:shd w:val="clear"/>
        <w:spacing w:before="78" w:line="227" w:lineRule="auto"/>
        <w:jc w:val="right"/>
        <w:rPr>
          <w:rFonts w:ascii="宋体" w:hAnsi="宋体" w:eastAsia="宋体" w:cs="宋体"/>
          <w:sz w:val="24"/>
          <w:szCs w:val="24"/>
        </w:rPr>
      </w:pPr>
      <w:r>
        <w:pict>
          <v:shape id="_x0000_s1029" o:spid="_x0000_s1029" o:spt="202" type="#_x0000_t202" style="position:absolute;left:0pt;margin-left:247.85pt;margin-top:2.4pt;height:16.3pt;width:106.45pt;z-index:251660288;mso-width-relative:page;mso-height-relative:page;" filled="f" stroked="f" coordsize="21600,21600">
            <v:path/>
            <v:fill on="f" focussize="0,0"/>
            <v:stroke on="f"/>
            <v:imagedata o:title=""/>
            <o:lock v:ext="edit" aspectratio="f"/>
            <v:textbox inset="0mm,0mm,0mm,0mm">
              <w:txbxContent>
                <w:p>
                  <w:pPr>
                    <w:spacing w:before="20" w:line="219" w:lineRule="auto"/>
                    <w:ind w:left="20"/>
                    <w:rPr>
                      <w:rFonts w:ascii="宋体" w:hAnsi="宋体" w:eastAsia="宋体" w:cs="宋体"/>
                      <w:sz w:val="24"/>
                      <w:szCs w:val="24"/>
                    </w:rPr>
                  </w:pPr>
                  <w:r>
                    <w:rPr>
                      <w:rFonts w:ascii="宋体" w:hAnsi="宋体" w:eastAsia="宋体" w:cs="宋体"/>
                      <w:spacing w:val="4"/>
                      <w:sz w:val="24"/>
                      <w:szCs w:val="24"/>
                    </w:rPr>
                    <w:t>单位负责人(签字):</w:t>
                  </w:r>
                </w:p>
              </w:txbxContent>
            </v:textbox>
          </v:shape>
        </w:pict>
      </w:r>
      <w:r>
        <w:pict>
          <v:shape id="_x0000_s1030" o:spid="_x0000_s1030" o:spt="202" type="#_x0000_t202" style="position:absolute;left:0pt;margin-left:25.35pt;margin-top:3.9pt;height:16.25pt;width:94.55pt;z-index:251661312;mso-width-relative:page;mso-height-relative:page;"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24"/>
                      <w:szCs w:val="24"/>
                    </w:rPr>
                  </w:pPr>
                  <w:r>
                    <w:rPr>
                      <w:rFonts w:ascii="宋体" w:hAnsi="宋体" w:eastAsia="宋体" w:cs="宋体"/>
                      <w:spacing w:val="5"/>
                      <w:sz w:val="24"/>
                      <w:szCs w:val="24"/>
                    </w:rPr>
                    <w:t>填报单位(公章);</w:t>
                  </w:r>
                </w:p>
              </w:txbxContent>
            </v:textbox>
          </v:shape>
        </w:pict>
      </w:r>
      <w:r>
        <w:rPr>
          <w:rFonts w:ascii="宋体" w:hAnsi="宋体" w:eastAsia="宋体" w:cs="宋体"/>
          <w:spacing w:val="-10"/>
          <w:position w:val="1"/>
          <w:sz w:val="24"/>
          <w:szCs w:val="24"/>
        </w:rPr>
        <w:t>填报时间：</w:t>
      </w:r>
      <w:r>
        <w:rPr>
          <w:rFonts w:ascii="宋体" w:hAnsi="宋体" w:eastAsia="宋体" w:cs="宋体"/>
          <w:spacing w:val="40"/>
          <w:position w:val="1"/>
          <w:sz w:val="24"/>
          <w:szCs w:val="24"/>
        </w:rPr>
        <w:t xml:space="preserve">   </w:t>
      </w:r>
      <w:r>
        <w:rPr>
          <w:rFonts w:ascii="宋体" w:hAnsi="宋体" w:eastAsia="宋体" w:cs="宋体"/>
          <w:spacing w:val="-10"/>
          <w:position w:val="-1"/>
          <w:sz w:val="24"/>
          <w:szCs w:val="24"/>
        </w:rPr>
        <w:t>年</w:t>
      </w:r>
      <w:r>
        <w:rPr>
          <w:rFonts w:ascii="宋体" w:hAnsi="宋体" w:eastAsia="宋体" w:cs="宋体"/>
          <w:spacing w:val="22"/>
          <w:position w:val="-1"/>
          <w:sz w:val="24"/>
          <w:szCs w:val="24"/>
        </w:rPr>
        <w:t xml:space="preserve">  </w:t>
      </w:r>
      <w:r>
        <w:rPr>
          <w:rFonts w:ascii="宋体" w:hAnsi="宋体" w:eastAsia="宋体" w:cs="宋体"/>
          <w:spacing w:val="-10"/>
          <w:position w:val="-1"/>
          <w:sz w:val="24"/>
          <w:szCs w:val="24"/>
        </w:rPr>
        <w:t>月</w:t>
      </w:r>
      <w:r>
        <w:rPr>
          <w:rFonts w:ascii="宋体" w:hAnsi="宋体" w:eastAsia="宋体" w:cs="宋体"/>
          <w:spacing w:val="39"/>
          <w:position w:val="-1"/>
          <w:sz w:val="24"/>
          <w:szCs w:val="24"/>
        </w:rPr>
        <w:t xml:space="preserve">  </w:t>
      </w:r>
      <w:r>
        <w:rPr>
          <w:rFonts w:ascii="宋体" w:hAnsi="宋体" w:eastAsia="宋体" w:cs="宋体"/>
          <w:spacing w:val="-10"/>
          <w:position w:val="-1"/>
          <w:sz w:val="24"/>
          <w:szCs w:val="24"/>
        </w:rPr>
        <w:t>日</w:t>
      </w:r>
    </w:p>
    <w:p>
      <w:pPr>
        <w:shd w:val="clear"/>
        <w:spacing w:line="108" w:lineRule="auto"/>
        <w:rPr>
          <w:rFonts w:ascii="Arial"/>
          <w:sz w:val="2"/>
        </w:rPr>
      </w:pPr>
    </w:p>
    <w:tbl>
      <w:tblPr>
        <w:tblStyle w:val="9"/>
        <w:tblW w:w="12830" w:type="dxa"/>
        <w:tblInd w:w="4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1239"/>
        <w:gridCol w:w="1239"/>
        <w:gridCol w:w="1559"/>
        <w:gridCol w:w="510"/>
        <w:gridCol w:w="519"/>
        <w:gridCol w:w="500"/>
        <w:gridCol w:w="509"/>
        <w:gridCol w:w="520"/>
        <w:gridCol w:w="520"/>
        <w:gridCol w:w="509"/>
        <w:gridCol w:w="520"/>
        <w:gridCol w:w="509"/>
        <w:gridCol w:w="520"/>
        <w:gridCol w:w="509"/>
        <w:gridCol w:w="520"/>
        <w:gridCol w:w="510"/>
        <w:gridCol w:w="510"/>
        <w:gridCol w:w="1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574" w:type="dxa"/>
            <w:vMerge w:val="restart"/>
            <w:tcBorders>
              <w:bottom w:val="nil"/>
            </w:tcBorders>
            <w:vAlign w:val="top"/>
          </w:tcPr>
          <w:p>
            <w:pPr>
              <w:shd w:val="clear"/>
              <w:spacing w:line="251" w:lineRule="auto"/>
              <w:rPr>
                <w:rFonts w:ascii="Arial"/>
                <w:sz w:val="21"/>
              </w:rPr>
            </w:pPr>
          </w:p>
          <w:p>
            <w:pPr>
              <w:shd w:val="clear"/>
              <w:spacing w:line="251" w:lineRule="auto"/>
              <w:rPr>
                <w:rFonts w:ascii="Arial"/>
                <w:sz w:val="21"/>
              </w:rPr>
            </w:pPr>
          </w:p>
          <w:p>
            <w:pPr>
              <w:shd w:val="clear"/>
              <w:spacing w:line="251" w:lineRule="auto"/>
              <w:rPr>
                <w:rFonts w:ascii="Arial"/>
                <w:sz w:val="21"/>
              </w:rPr>
            </w:pPr>
          </w:p>
          <w:p>
            <w:pPr>
              <w:shd w:val="clear"/>
              <w:spacing w:line="251" w:lineRule="auto"/>
              <w:rPr>
                <w:rFonts w:ascii="Arial"/>
                <w:sz w:val="21"/>
              </w:rPr>
            </w:pPr>
          </w:p>
          <w:p>
            <w:pPr>
              <w:shd w:val="clear"/>
              <w:spacing w:line="252" w:lineRule="auto"/>
              <w:rPr>
                <w:rFonts w:ascii="Arial"/>
                <w:sz w:val="21"/>
              </w:rPr>
            </w:pPr>
          </w:p>
          <w:p>
            <w:pPr>
              <w:shd w:val="clear"/>
              <w:spacing w:before="71" w:line="221" w:lineRule="auto"/>
              <w:ind w:left="55"/>
              <w:rPr>
                <w:rFonts w:ascii="宋体" w:hAnsi="宋体" w:eastAsia="宋体" w:cs="宋体"/>
                <w:sz w:val="22"/>
                <w:szCs w:val="22"/>
              </w:rPr>
            </w:pPr>
            <w:r>
              <w:rPr>
                <w:rFonts w:ascii="宋体" w:hAnsi="宋体" w:eastAsia="宋体" w:cs="宋体"/>
                <w:spacing w:val="6"/>
                <w:sz w:val="22"/>
                <w:szCs w:val="22"/>
              </w:rPr>
              <w:t>序号</w:t>
            </w:r>
          </w:p>
        </w:tc>
        <w:tc>
          <w:tcPr>
            <w:tcW w:w="1239" w:type="dxa"/>
            <w:vMerge w:val="restart"/>
            <w:tcBorders>
              <w:bottom w:val="nil"/>
            </w:tcBorders>
            <w:vAlign w:val="top"/>
          </w:tcPr>
          <w:p>
            <w:pPr>
              <w:shd w:val="clear"/>
              <w:spacing w:line="250" w:lineRule="auto"/>
              <w:rPr>
                <w:rFonts w:ascii="Arial"/>
                <w:sz w:val="21"/>
              </w:rPr>
            </w:pPr>
          </w:p>
          <w:p>
            <w:pPr>
              <w:shd w:val="clear"/>
              <w:spacing w:line="250" w:lineRule="auto"/>
              <w:rPr>
                <w:rFonts w:ascii="Arial"/>
                <w:sz w:val="21"/>
              </w:rPr>
            </w:pPr>
          </w:p>
          <w:p>
            <w:pPr>
              <w:shd w:val="clear"/>
              <w:spacing w:line="251" w:lineRule="auto"/>
              <w:rPr>
                <w:rFonts w:ascii="Arial"/>
                <w:sz w:val="21"/>
              </w:rPr>
            </w:pPr>
          </w:p>
          <w:p>
            <w:pPr>
              <w:shd w:val="clear"/>
              <w:spacing w:line="251" w:lineRule="auto"/>
              <w:rPr>
                <w:rFonts w:ascii="Arial"/>
                <w:sz w:val="21"/>
              </w:rPr>
            </w:pPr>
          </w:p>
          <w:p>
            <w:pPr>
              <w:shd w:val="clear"/>
              <w:spacing w:line="251" w:lineRule="auto"/>
              <w:rPr>
                <w:rFonts w:ascii="Arial"/>
                <w:sz w:val="21"/>
              </w:rPr>
            </w:pPr>
          </w:p>
          <w:p>
            <w:pPr>
              <w:shd w:val="clear"/>
              <w:spacing w:before="72" w:line="219" w:lineRule="auto"/>
              <w:ind w:left="171"/>
              <w:rPr>
                <w:rFonts w:ascii="宋体" w:hAnsi="宋体" w:eastAsia="宋体" w:cs="宋体"/>
                <w:sz w:val="22"/>
                <w:szCs w:val="22"/>
              </w:rPr>
            </w:pPr>
            <w:r>
              <w:rPr>
                <w:rFonts w:ascii="宋体" w:hAnsi="宋体" w:eastAsia="宋体" w:cs="宋体"/>
                <w:spacing w:val="-2"/>
                <w:sz w:val="22"/>
                <w:szCs w:val="22"/>
              </w:rPr>
              <w:t>机构全称</w:t>
            </w:r>
          </w:p>
        </w:tc>
        <w:tc>
          <w:tcPr>
            <w:tcW w:w="1239" w:type="dxa"/>
            <w:vMerge w:val="restart"/>
            <w:tcBorders>
              <w:bottom w:val="nil"/>
            </w:tcBorders>
            <w:vAlign w:val="top"/>
          </w:tcPr>
          <w:p>
            <w:pPr>
              <w:shd w:val="clear"/>
              <w:spacing w:line="250" w:lineRule="auto"/>
              <w:rPr>
                <w:rFonts w:ascii="Arial"/>
                <w:sz w:val="21"/>
              </w:rPr>
            </w:pPr>
          </w:p>
          <w:p>
            <w:pPr>
              <w:shd w:val="clear"/>
              <w:spacing w:line="250" w:lineRule="auto"/>
              <w:rPr>
                <w:rFonts w:ascii="Arial"/>
                <w:sz w:val="21"/>
              </w:rPr>
            </w:pPr>
          </w:p>
          <w:p>
            <w:pPr>
              <w:shd w:val="clear"/>
              <w:spacing w:line="251" w:lineRule="auto"/>
              <w:rPr>
                <w:rFonts w:ascii="Arial"/>
                <w:sz w:val="21"/>
              </w:rPr>
            </w:pPr>
          </w:p>
          <w:p>
            <w:pPr>
              <w:shd w:val="clear"/>
              <w:spacing w:line="251" w:lineRule="auto"/>
              <w:rPr>
                <w:rFonts w:ascii="Arial"/>
                <w:sz w:val="21"/>
              </w:rPr>
            </w:pPr>
          </w:p>
          <w:p>
            <w:pPr>
              <w:shd w:val="clear"/>
              <w:spacing w:line="251" w:lineRule="auto"/>
              <w:rPr>
                <w:rFonts w:ascii="Arial"/>
                <w:sz w:val="21"/>
              </w:rPr>
            </w:pPr>
          </w:p>
          <w:p>
            <w:pPr>
              <w:shd w:val="clear"/>
              <w:spacing w:before="72" w:line="219" w:lineRule="auto"/>
              <w:ind w:left="172"/>
              <w:rPr>
                <w:rFonts w:ascii="宋体" w:hAnsi="宋体" w:eastAsia="宋体" w:cs="宋体"/>
                <w:sz w:val="22"/>
                <w:szCs w:val="22"/>
              </w:rPr>
            </w:pPr>
            <w:r>
              <w:rPr>
                <w:rFonts w:ascii="宋体" w:hAnsi="宋体" w:eastAsia="宋体" w:cs="宋体"/>
                <w:spacing w:val="-2"/>
                <w:sz w:val="22"/>
                <w:szCs w:val="22"/>
              </w:rPr>
              <w:t>机构地址</w:t>
            </w:r>
          </w:p>
        </w:tc>
        <w:tc>
          <w:tcPr>
            <w:tcW w:w="1559" w:type="dxa"/>
            <w:vMerge w:val="restart"/>
            <w:tcBorders>
              <w:bottom w:val="nil"/>
            </w:tcBorders>
            <w:vAlign w:val="top"/>
          </w:tcPr>
          <w:p>
            <w:pPr>
              <w:shd w:val="clear"/>
              <w:spacing w:line="269" w:lineRule="auto"/>
              <w:rPr>
                <w:rFonts w:ascii="Arial"/>
                <w:sz w:val="21"/>
              </w:rPr>
            </w:pPr>
          </w:p>
          <w:p>
            <w:pPr>
              <w:shd w:val="clear"/>
              <w:spacing w:line="269" w:lineRule="auto"/>
              <w:rPr>
                <w:rFonts w:ascii="Arial"/>
                <w:sz w:val="21"/>
              </w:rPr>
            </w:pPr>
          </w:p>
          <w:p>
            <w:pPr>
              <w:shd w:val="clear"/>
              <w:spacing w:line="269" w:lineRule="auto"/>
              <w:rPr>
                <w:rFonts w:ascii="Arial"/>
                <w:sz w:val="21"/>
              </w:rPr>
            </w:pPr>
          </w:p>
          <w:p>
            <w:pPr>
              <w:shd w:val="clear"/>
              <w:spacing w:line="269" w:lineRule="auto"/>
              <w:rPr>
                <w:rFonts w:ascii="Arial"/>
                <w:sz w:val="21"/>
              </w:rPr>
            </w:pPr>
          </w:p>
          <w:p>
            <w:pPr>
              <w:shd w:val="clear"/>
              <w:spacing w:before="72" w:line="220" w:lineRule="auto"/>
              <w:ind w:left="513"/>
              <w:rPr>
                <w:rFonts w:ascii="宋体" w:hAnsi="宋体" w:eastAsia="宋体" w:cs="宋体"/>
                <w:sz w:val="22"/>
                <w:szCs w:val="22"/>
              </w:rPr>
            </w:pPr>
            <w:r>
              <w:rPr>
                <w:rFonts w:ascii="宋体" w:hAnsi="宋体" w:eastAsia="宋体" w:cs="宋体"/>
                <w:spacing w:val="6"/>
                <w:sz w:val="22"/>
                <w:szCs w:val="22"/>
              </w:rPr>
              <w:t>所在</w:t>
            </w:r>
          </w:p>
          <w:p>
            <w:pPr>
              <w:shd w:val="clear"/>
              <w:spacing w:before="37" w:line="219" w:lineRule="auto"/>
              <w:ind w:left="92"/>
              <w:rPr>
                <w:rFonts w:ascii="宋体" w:hAnsi="宋体" w:eastAsia="宋体" w:cs="宋体"/>
                <w:sz w:val="22"/>
                <w:szCs w:val="22"/>
              </w:rPr>
            </w:pPr>
            <w:r>
              <w:rPr>
                <w:rFonts w:ascii="宋体" w:hAnsi="宋体" w:eastAsia="宋体" w:cs="宋体"/>
                <w:spacing w:val="8"/>
                <w:sz w:val="22"/>
                <w:szCs w:val="22"/>
              </w:rPr>
              <w:t>县(市、区)</w:t>
            </w:r>
          </w:p>
        </w:tc>
        <w:tc>
          <w:tcPr>
            <w:tcW w:w="1529" w:type="dxa"/>
            <w:gridSpan w:val="3"/>
            <w:vAlign w:val="top"/>
          </w:tcPr>
          <w:p>
            <w:pPr>
              <w:shd w:val="clear"/>
              <w:spacing w:before="144" w:line="219" w:lineRule="auto"/>
              <w:ind w:left="314"/>
              <w:rPr>
                <w:rFonts w:ascii="宋体" w:hAnsi="宋体" w:eastAsia="宋体" w:cs="宋体"/>
                <w:sz w:val="22"/>
                <w:szCs w:val="22"/>
              </w:rPr>
            </w:pPr>
            <w:r>
              <w:rPr>
                <w:rFonts w:ascii="宋体" w:hAnsi="宋体" w:eastAsia="宋体" w:cs="宋体"/>
                <w:spacing w:val="6"/>
                <w:sz w:val="22"/>
                <w:szCs w:val="22"/>
              </w:rPr>
              <w:t>所属部门</w:t>
            </w:r>
          </w:p>
        </w:tc>
        <w:tc>
          <w:tcPr>
            <w:tcW w:w="2058" w:type="dxa"/>
            <w:gridSpan w:val="4"/>
            <w:vAlign w:val="top"/>
          </w:tcPr>
          <w:p>
            <w:pPr>
              <w:shd w:val="clear"/>
              <w:spacing w:before="142" w:line="219" w:lineRule="auto"/>
              <w:ind w:left="584"/>
              <w:rPr>
                <w:rFonts w:ascii="宋体" w:hAnsi="宋体" w:eastAsia="宋体" w:cs="宋体"/>
                <w:sz w:val="22"/>
                <w:szCs w:val="22"/>
              </w:rPr>
            </w:pPr>
            <w:r>
              <w:rPr>
                <w:rFonts w:ascii="宋体" w:hAnsi="宋体" w:eastAsia="宋体" w:cs="宋体"/>
                <w:spacing w:val="4"/>
                <w:sz w:val="22"/>
                <w:szCs w:val="22"/>
              </w:rPr>
              <w:t>机构类别</w:t>
            </w:r>
          </w:p>
        </w:tc>
        <w:tc>
          <w:tcPr>
            <w:tcW w:w="2578" w:type="dxa"/>
            <w:gridSpan w:val="5"/>
            <w:vAlign w:val="top"/>
          </w:tcPr>
          <w:p>
            <w:pPr>
              <w:shd w:val="clear"/>
              <w:spacing w:before="141" w:line="220" w:lineRule="auto"/>
              <w:ind w:left="850"/>
              <w:rPr>
                <w:rFonts w:ascii="宋体" w:hAnsi="宋体" w:eastAsia="宋体" w:cs="宋体"/>
                <w:b w:val="0"/>
                <w:bCs w:val="0"/>
                <w:sz w:val="22"/>
                <w:szCs w:val="22"/>
              </w:rPr>
            </w:pPr>
            <w:r>
              <w:rPr>
                <w:rFonts w:ascii="宋体" w:hAnsi="宋体" w:eastAsia="宋体" w:cs="宋体"/>
                <w:b w:val="0"/>
                <w:bCs w:val="0"/>
                <w:spacing w:val="-5"/>
                <w:sz w:val="22"/>
                <w:szCs w:val="22"/>
              </w:rPr>
              <w:t>人员情况</w:t>
            </w:r>
          </w:p>
        </w:tc>
        <w:tc>
          <w:tcPr>
            <w:tcW w:w="1020" w:type="dxa"/>
            <w:gridSpan w:val="2"/>
            <w:vAlign w:val="top"/>
          </w:tcPr>
          <w:p>
            <w:pPr>
              <w:shd w:val="clear"/>
              <w:spacing w:before="141" w:line="219" w:lineRule="auto"/>
              <w:ind w:left="42"/>
              <w:rPr>
                <w:rFonts w:ascii="宋体" w:hAnsi="宋体" w:eastAsia="宋体" w:cs="宋体"/>
                <w:b w:val="0"/>
                <w:bCs w:val="0"/>
                <w:sz w:val="22"/>
                <w:szCs w:val="22"/>
              </w:rPr>
            </w:pPr>
            <w:r>
              <w:rPr>
                <w:rFonts w:ascii="宋体" w:hAnsi="宋体" w:eastAsia="宋体" w:cs="宋体"/>
                <w:b w:val="0"/>
                <w:bCs w:val="0"/>
                <w:spacing w:val="-4"/>
                <w:sz w:val="22"/>
                <w:szCs w:val="22"/>
              </w:rPr>
              <w:t>服务情况</w:t>
            </w:r>
          </w:p>
        </w:tc>
        <w:tc>
          <w:tcPr>
            <w:tcW w:w="1034" w:type="dxa"/>
            <w:vMerge w:val="restart"/>
            <w:tcBorders>
              <w:bottom w:val="nil"/>
            </w:tcBorders>
            <w:vAlign w:val="top"/>
          </w:tcPr>
          <w:p>
            <w:pPr>
              <w:shd w:val="clear"/>
              <w:spacing w:line="272" w:lineRule="auto"/>
              <w:rPr>
                <w:rFonts w:ascii="Arial"/>
                <w:sz w:val="21"/>
              </w:rPr>
            </w:pPr>
          </w:p>
          <w:p>
            <w:pPr>
              <w:shd w:val="clear"/>
              <w:spacing w:line="272" w:lineRule="auto"/>
              <w:rPr>
                <w:rFonts w:ascii="Arial"/>
                <w:sz w:val="21"/>
              </w:rPr>
            </w:pPr>
          </w:p>
          <w:p>
            <w:pPr>
              <w:shd w:val="clear"/>
              <w:spacing w:line="272" w:lineRule="auto"/>
              <w:rPr>
                <w:rFonts w:ascii="Arial"/>
                <w:sz w:val="21"/>
              </w:rPr>
            </w:pPr>
          </w:p>
          <w:p>
            <w:pPr>
              <w:shd w:val="clear"/>
              <w:spacing w:line="272" w:lineRule="auto"/>
              <w:rPr>
                <w:rFonts w:ascii="Arial"/>
                <w:sz w:val="21"/>
              </w:rPr>
            </w:pPr>
          </w:p>
          <w:p>
            <w:pPr>
              <w:shd w:val="clear"/>
              <w:spacing w:before="72" w:line="244" w:lineRule="auto"/>
              <w:ind w:left="49" w:right="82"/>
              <w:rPr>
                <w:rFonts w:ascii="宋体" w:hAnsi="宋体" w:eastAsia="宋体" w:cs="宋体"/>
                <w:sz w:val="22"/>
                <w:szCs w:val="22"/>
              </w:rPr>
            </w:pPr>
            <w:r>
              <w:rPr>
                <w:rFonts w:ascii="宋体" w:hAnsi="宋体" w:eastAsia="宋体" w:cs="宋体"/>
                <w:spacing w:val="3"/>
                <w:sz w:val="22"/>
                <w:szCs w:val="22"/>
              </w:rPr>
              <w:t>联系人及</w:t>
            </w:r>
            <w:r>
              <w:rPr>
                <w:rFonts w:ascii="宋体" w:hAnsi="宋体" w:eastAsia="宋体" w:cs="宋体"/>
                <w:sz w:val="22"/>
                <w:szCs w:val="22"/>
              </w:rPr>
              <w:t xml:space="preserve"> </w:t>
            </w:r>
            <w:r>
              <w:rPr>
                <w:rFonts w:ascii="宋体" w:hAnsi="宋体" w:eastAsia="宋体" w:cs="宋体"/>
                <w:spacing w:val="-2"/>
                <w:sz w:val="22"/>
                <w:szCs w:val="22"/>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574" w:type="dxa"/>
            <w:vMerge w:val="continue"/>
            <w:tcBorders>
              <w:top w:val="nil"/>
            </w:tcBorders>
            <w:vAlign w:val="top"/>
          </w:tcPr>
          <w:p>
            <w:pPr>
              <w:shd w:val="clear"/>
              <w:rPr>
                <w:rFonts w:ascii="Arial"/>
                <w:sz w:val="21"/>
              </w:rPr>
            </w:pPr>
          </w:p>
        </w:tc>
        <w:tc>
          <w:tcPr>
            <w:tcW w:w="1239" w:type="dxa"/>
            <w:vMerge w:val="continue"/>
            <w:tcBorders>
              <w:top w:val="nil"/>
            </w:tcBorders>
            <w:vAlign w:val="top"/>
          </w:tcPr>
          <w:p>
            <w:pPr>
              <w:shd w:val="clear"/>
              <w:rPr>
                <w:rFonts w:ascii="Arial"/>
                <w:sz w:val="21"/>
              </w:rPr>
            </w:pPr>
          </w:p>
        </w:tc>
        <w:tc>
          <w:tcPr>
            <w:tcW w:w="1239" w:type="dxa"/>
            <w:vMerge w:val="continue"/>
            <w:tcBorders>
              <w:top w:val="nil"/>
            </w:tcBorders>
            <w:vAlign w:val="top"/>
          </w:tcPr>
          <w:p>
            <w:pPr>
              <w:shd w:val="clear"/>
              <w:rPr>
                <w:rFonts w:ascii="Arial"/>
                <w:sz w:val="21"/>
              </w:rPr>
            </w:pPr>
          </w:p>
        </w:tc>
        <w:tc>
          <w:tcPr>
            <w:tcW w:w="1559" w:type="dxa"/>
            <w:vMerge w:val="continue"/>
            <w:tcBorders>
              <w:top w:val="nil"/>
            </w:tcBorders>
            <w:vAlign w:val="top"/>
          </w:tcPr>
          <w:p>
            <w:pPr>
              <w:shd w:val="clear"/>
              <w:rPr>
                <w:rFonts w:ascii="Arial"/>
                <w:sz w:val="21"/>
              </w:rPr>
            </w:pPr>
          </w:p>
        </w:tc>
        <w:tc>
          <w:tcPr>
            <w:tcW w:w="510" w:type="dxa"/>
            <w:textDirection w:val="tbRlV"/>
            <w:vAlign w:val="top"/>
          </w:tcPr>
          <w:p>
            <w:pPr>
              <w:shd w:val="clear"/>
              <w:spacing w:before="146" w:line="217" w:lineRule="auto"/>
              <w:ind w:left="933"/>
              <w:rPr>
                <w:rFonts w:ascii="宋体" w:hAnsi="宋体" w:eastAsia="宋体" w:cs="宋体"/>
                <w:sz w:val="22"/>
                <w:szCs w:val="22"/>
              </w:rPr>
            </w:pPr>
            <w:r>
              <w:rPr>
                <w:rFonts w:ascii="宋体" w:hAnsi="宋体" w:eastAsia="宋体" w:cs="宋体"/>
                <w:spacing w:val="3"/>
                <w:sz w:val="22"/>
                <w:szCs w:val="22"/>
              </w:rPr>
              <w:t>民政</w:t>
            </w:r>
          </w:p>
        </w:tc>
        <w:tc>
          <w:tcPr>
            <w:tcW w:w="519" w:type="dxa"/>
            <w:textDirection w:val="tbRlV"/>
            <w:vAlign w:val="top"/>
          </w:tcPr>
          <w:p>
            <w:pPr>
              <w:shd w:val="clear"/>
              <w:spacing w:before="145" w:line="217" w:lineRule="auto"/>
              <w:ind w:left="929"/>
              <w:rPr>
                <w:rFonts w:ascii="宋体" w:hAnsi="宋体" w:eastAsia="宋体" w:cs="宋体"/>
                <w:sz w:val="22"/>
                <w:szCs w:val="22"/>
              </w:rPr>
            </w:pPr>
            <w:r>
              <w:rPr>
                <w:rFonts w:ascii="宋体" w:hAnsi="宋体" w:eastAsia="宋体" w:cs="宋体"/>
                <w:sz w:val="22"/>
                <w:szCs w:val="22"/>
              </w:rPr>
              <w:t>卫健</w:t>
            </w:r>
          </w:p>
        </w:tc>
        <w:tc>
          <w:tcPr>
            <w:tcW w:w="500" w:type="dxa"/>
            <w:textDirection w:val="tbRlV"/>
            <w:vAlign w:val="top"/>
          </w:tcPr>
          <w:p>
            <w:pPr>
              <w:shd w:val="clear"/>
              <w:spacing w:before="135" w:line="217" w:lineRule="auto"/>
              <w:ind w:left="939"/>
              <w:rPr>
                <w:rFonts w:ascii="宋体" w:hAnsi="宋体" w:eastAsia="宋体" w:cs="宋体"/>
                <w:sz w:val="22"/>
                <w:szCs w:val="22"/>
              </w:rPr>
            </w:pPr>
            <w:r>
              <w:rPr>
                <w:rFonts w:ascii="宋体" w:hAnsi="宋体" w:eastAsia="宋体" w:cs="宋体"/>
                <w:sz w:val="22"/>
                <w:szCs w:val="22"/>
              </w:rPr>
              <w:t>残联</w:t>
            </w:r>
          </w:p>
        </w:tc>
        <w:tc>
          <w:tcPr>
            <w:tcW w:w="509" w:type="dxa"/>
            <w:textDirection w:val="tbRlV"/>
            <w:vAlign w:val="top"/>
          </w:tcPr>
          <w:p>
            <w:pPr>
              <w:shd w:val="clear"/>
              <w:spacing w:before="143" w:line="217" w:lineRule="auto"/>
              <w:ind w:left="934"/>
              <w:rPr>
                <w:rFonts w:ascii="宋体" w:hAnsi="宋体" w:eastAsia="宋体" w:cs="宋体"/>
                <w:sz w:val="22"/>
                <w:szCs w:val="22"/>
              </w:rPr>
            </w:pPr>
            <w:r>
              <w:rPr>
                <w:rFonts w:ascii="宋体" w:hAnsi="宋体" w:eastAsia="宋体" w:cs="宋体"/>
                <w:spacing w:val="1"/>
                <w:sz w:val="22"/>
                <w:szCs w:val="22"/>
              </w:rPr>
              <w:t>医院</w:t>
            </w:r>
          </w:p>
        </w:tc>
        <w:tc>
          <w:tcPr>
            <w:tcW w:w="520" w:type="dxa"/>
            <w:textDirection w:val="tbRlV"/>
            <w:vAlign w:val="top"/>
          </w:tcPr>
          <w:p>
            <w:pPr>
              <w:shd w:val="clear"/>
              <w:spacing w:before="144" w:line="215" w:lineRule="auto"/>
              <w:ind w:left="286"/>
              <w:rPr>
                <w:rFonts w:ascii="宋体" w:hAnsi="宋体" w:eastAsia="宋体" w:cs="宋体"/>
                <w:sz w:val="22"/>
                <w:szCs w:val="22"/>
              </w:rPr>
            </w:pPr>
            <w:r>
              <w:rPr>
                <w:rFonts w:ascii="宋体" w:hAnsi="宋体" w:eastAsia="宋体" w:cs="宋体"/>
                <w:spacing w:val="1"/>
                <w:sz w:val="22"/>
                <w:szCs w:val="22"/>
              </w:rPr>
              <w:t>社区康复服务机构</w:t>
            </w:r>
          </w:p>
        </w:tc>
        <w:tc>
          <w:tcPr>
            <w:tcW w:w="520" w:type="dxa"/>
            <w:textDirection w:val="tbRlV"/>
            <w:vAlign w:val="top"/>
          </w:tcPr>
          <w:p>
            <w:pPr>
              <w:shd w:val="clear"/>
              <w:spacing w:before="144" w:line="215" w:lineRule="auto"/>
              <w:ind w:left="289"/>
              <w:rPr>
                <w:rFonts w:ascii="宋体" w:hAnsi="宋体" w:eastAsia="宋体" w:cs="宋体"/>
                <w:sz w:val="22"/>
                <w:szCs w:val="22"/>
              </w:rPr>
            </w:pPr>
            <w:r>
              <w:rPr>
                <w:rFonts w:ascii="宋体" w:hAnsi="宋体" w:eastAsia="宋体" w:cs="宋体"/>
                <w:spacing w:val="1"/>
                <w:sz w:val="22"/>
                <w:szCs w:val="22"/>
              </w:rPr>
              <w:t>基层卫生医疗机构</w:t>
            </w:r>
          </w:p>
        </w:tc>
        <w:tc>
          <w:tcPr>
            <w:tcW w:w="509" w:type="dxa"/>
            <w:textDirection w:val="tbRlV"/>
            <w:vAlign w:val="top"/>
          </w:tcPr>
          <w:p>
            <w:pPr>
              <w:shd w:val="clear"/>
              <w:spacing w:before="143" w:line="215" w:lineRule="auto"/>
              <w:ind w:left="279"/>
              <w:rPr>
                <w:rFonts w:ascii="宋体" w:hAnsi="宋体" w:eastAsia="宋体" w:cs="宋体"/>
                <w:sz w:val="22"/>
                <w:szCs w:val="22"/>
              </w:rPr>
            </w:pPr>
            <w:r>
              <w:rPr>
                <w:rFonts w:ascii="宋体" w:hAnsi="宋体" w:eastAsia="宋体" w:cs="宋体"/>
                <w:spacing w:val="2"/>
                <w:sz w:val="22"/>
                <w:szCs w:val="22"/>
              </w:rPr>
              <w:t>残联康复服务机构</w:t>
            </w:r>
          </w:p>
        </w:tc>
        <w:tc>
          <w:tcPr>
            <w:tcW w:w="520" w:type="dxa"/>
            <w:textDirection w:val="tbRlV"/>
            <w:vAlign w:val="top"/>
          </w:tcPr>
          <w:p>
            <w:pPr>
              <w:shd w:val="clear"/>
              <w:spacing w:before="143" w:line="215" w:lineRule="auto"/>
              <w:ind w:left="611"/>
              <w:rPr>
                <w:rFonts w:ascii="宋体" w:hAnsi="宋体" w:eastAsia="宋体" w:cs="宋体"/>
                <w:sz w:val="22"/>
                <w:szCs w:val="22"/>
              </w:rPr>
            </w:pPr>
            <w:r>
              <w:rPr>
                <w:rFonts w:ascii="宋体" w:hAnsi="宋体" w:eastAsia="宋体" w:cs="宋体"/>
                <w:spacing w:val="2"/>
                <w:sz w:val="22"/>
                <w:szCs w:val="22"/>
              </w:rPr>
              <w:t>精神科医生</w:t>
            </w:r>
          </w:p>
        </w:tc>
        <w:tc>
          <w:tcPr>
            <w:tcW w:w="509" w:type="dxa"/>
            <w:textDirection w:val="tbRlV"/>
            <w:vAlign w:val="top"/>
          </w:tcPr>
          <w:p>
            <w:pPr>
              <w:shd w:val="clear"/>
              <w:spacing w:before="142" w:line="216" w:lineRule="auto"/>
              <w:ind w:left="610"/>
              <w:rPr>
                <w:rFonts w:ascii="宋体" w:hAnsi="宋体" w:eastAsia="宋体" w:cs="宋体"/>
                <w:sz w:val="22"/>
                <w:szCs w:val="22"/>
              </w:rPr>
            </w:pPr>
            <w:r>
              <w:rPr>
                <w:rFonts w:ascii="宋体" w:hAnsi="宋体" w:eastAsia="宋体" w:cs="宋体"/>
                <w:spacing w:val="-1"/>
                <w:sz w:val="22"/>
                <w:szCs w:val="22"/>
              </w:rPr>
              <w:t>康复治疗师</w:t>
            </w:r>
          </w:p>
        </w:tc>
        <w:tc>
          <w:tcPr>
            <w:tcW w:w="520" w:type="dxa"/>
            <w:textDirection w:val="tbRlV"/>
            <w:vAlign w:val="top"/>
          </w:tcPr>
          <w:p>
            <w:pPr>
              <w:shd w:val="clear"/>
              <w:spacing w:before="101" w:line="216" w:lineRule="auto"/>
              <w:ind w:left="597"/>
              <w:rPr>
                <w:rFonts w:ascii="宋体" w:hAnsi="宋体" w:eastAsia="宋体" w:cs="宋体"/>
                <w:sz w:val="22"/>
                <w:szCs w:val="22"/>
              </w:rPr>
            </w:pPr>
            <w:r>
              <w:rPr>
                <w:rFonts w:ascii="宋体" w:hAnsi="宋体" w:eastAsia="宋体" w:cs="宋体"/>
                <w:spacing w:val="6"/>
                <w:sz w:val="22"/>
                <w:szCs w:val="22"/>
              </w:rPr>
              <w:t>心理咨询师</w:t>
            </w:r>
          </w:p>
        </w:tc>
        <w:tc>
          <w:tcPr>
            <w:tcW w:w="509" w:type="dxa"/>
            <w:textDirection w:val="tbRlV"/>
            <w:vAlign w:val="top"/>
          </w:tcPr>
          <w:p>
            <w:pPr>
              <w:shd w:val="clear"/>
              <w:spacing w:before="141" w:line="215" w:lineRule="auto"/>
              <w:ind w:left="616"/>
              <w:rPr>
                <w:rFonts w:ascii="宋体" w:hAnsi="宋体" w:eastAsia="宋体" w:cs="宋体"/>
                <w:sz w:val="22"/>
                <w:szCs w:val="22"/>
              </w:rPr>
            </w:pPr>
            <w:r>
              <w:rPr>
                <w:rFonts w:ascii="宋体" w:hAnsi="宋体" w:eastAsia="宋体" w:cs="宋体"/>
                <w:spacing w:val="3"/>
                <w:sz w:val="22"/>
                <w:szCs w:val="22"/>
              </w:rPr>
              <w:t>社会工作者</w:t>
            </w:r>
          </w:p>
        </w:tc>
        <w:tc>
          <w:tcPr>
            <w:tcW w:w="520" w:type="dxa"/>
            <w:textDirection w:val="tbRlV"/>
            <w:vAlign w:val="top"/>
          </w:tcPr>
          <w:p>
            <w:pPr>
              <w:shd w:val="clear"/>
              <w:spacing w:before="190" w:line="217" w:lineRule="auto"/>
              <w:ind w:left="500"/>
              <w:rPr>
                <w:rFonts w:ascii="宋体" w:hAnsi="宋体" w:eastAsia="宋体" w:cs="宋体"/>
                <w:sz w:val="22"/>
                <w:szCs w:val="22"/>
              </w:rPr>
            </w:pPr>
            <w:r>
              <w:rPr>
                <w:rFonts w:ascii="宋体" w:hAnsi="宋体" w:eastAsia="宋体" w:cs="宋体"/>
                <w:spacing w:val="-3"/>
                <w:sz w:val="22"/>
                <w:szCs w:val="22"/>
              </w:rPr>
              <w:t>其他工作人员</w:t>
            </w:r>
          </w:p>
        </w:tc>
        <w:tc>
          <w:tcPr>
            <w:tcW w:w="510" w:type="dxa"/>
            <w:textDirection w:val="tbRlV"/>
            <w:vAlign w:val="top"/>
          </w:tcPr>
          <w:p>
            <w:pPr>
              <w:shd w:val="clear"/>
              <w:spacing w:before="81" w:line="216" w:lineRule="auto"/>
              <w:ind w:left="728"/>
              <w:rPr>
                <w:rFonts w:ascii="宋体" w:hAnsi="宋体" w:eastAsia="宋体" w:cs="宋体"/>
                <w:sz w:val="22"/>
                <w:szCs w:val="22"/>
              </w:rPr>
            </w:pPr>
            <w:r>
              <w:rPr>
                <w:rFonts w:ascii="宋体" w:hAnsi="宋体" w:eastAsia="宋体" w:cs="宋体"/>
                <w:spacing w:val="2"/>
                <w:sz w:val="22"/>
                <w:szCs w:val="22"/>
              </w:rPr>
              <w:t>患者人数</w:t>
            </w:r>
          </w:p>
        </w:tc>
        <w:tc>
          <w:tcPr>
            <w:tcW w:w="510" w:type="dxa"/>
            <w:textDirection w:val="tbRlV"/>
            <w:vAlign w:val="top"/>
          </w:tcPr>
          <w:p>
            <w:pPr>
              <w:shd w:val="clear"/>
              <w:spacing w:before="111" w:line="216" w:lineRule="auto"/>
              <w:ind w:left="721"/>
              <w:rPr>
                <w:rFonts w:ascii="宋体" w:hAnsi="宋体" w:eastAsia="宋体" w:cs="宋体"/>
                <w:sz w:val="22"/>
                <w:szCs w:val="22"/>
              </w:rPr>
            </w:pPr>
            <w:r>
              <w:rPr>
                <w:rFonts w:ascii="宋体" w:hAnsi="宋体" w:eastAsia="宋体" w:cs="宋体"/>
                <w:spacing w:val="4"/>
                <w:sz w:val="22"/>
                <w:szCs w:val="22"/>
              </w:rPr>
              <w:t>服务人次</w:t>
            </w:r>
          </w:p>
        </w:tc>
        <w:tc>
          <w:tcPr>
            <w:tcW w:w="1034" w:type="dxa"/>
            <w:vMerge w:val="continue"/>
            <w:tcBorders>
              <w:top w:val="nil"/>
            </w:tcBorders>
            <w:vAlign w:val="top"/>
          </w:tcPr>
          <w:p>
            <w:pPr>
              <w:shd w:val="clea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574" w:type="dxa"/>
            <w:vAlign w:val="top"/>
          </w:tcPr>
          <w:p>
            <w:pPr>
              <w:shd w:val="clear"/>
              <w:spacing w:before="260" w:line="184" w:lineRule="auto"/>
              <w:ind w:left="225"/>
              <w:rPr>
                <w:rFonts w:ascii="宋体" w:hAnsi="宋体" w:eastAsia="宋体" w:cs="宋体"/>
                <w:sz w:val="22"/>
                <w:szCs w:val="22"/>
              </w:rPr>
            </w:pPr>
            <w:r>
              <w:rPr>
                <w:rFonts w:ascii="宋体" w:hAnsi="宋体" w:eastAsia="宋体" w:cs="宋体"/>
                <w:sz w:val="22"/>
                <w:szCs w:val="22"/>
              </w:rPr>
              <w:t>1</w:t>
            </w:r>
          </w:p>
        </w:tc>
        <w:tc>
          <w:tcPr>
            <w:tcW w:w="1239" w:type="dxa"/>
            <w:vAlign w:val="top"/>
          </w:tcPr>
          <w:p>
            <w:pPr>
              <w:shd w:val="clear"/>
              <w:rPr>
                <w:rFonts w:ascii="Arial"/>
                <w:sz w:val="21"/>
              </w:rPr>
            </w:pPr>
          </w:p>
        </w:tc>
        <w:tc>
          <w:tcPr>
            <w:tcW w:w="1239" w:type="dxa"/>
            <w:vAlign w:val="top"/>
          </w:tcPr>
          <w:p>
            <w:pPr>
              <w:shd w:val="clear"/>
              <w:rPr>
                <w:rFonts w:ascii="Arial"/>
                <w:sz w:val="21"/>
              </w:rPr>
            </w:pPr>
          </w:p>
        </w:tc>
        <w:tc>
          <w:tcPr>
            <w:tcW w:w="1559" w:type="dxa"/>
            <w:vAlign w:val="top"/>
          </w:tcPr>
          <w:p>
            <w:pPr>
              <w:shd w:val="clear"/>
              <w:rPr>
                <w:rFonts w:ascii="Arial"/>
                <w:sz w:val="21"/>
              </w:rPr>
            </w:pPr>
          </w:p>
        </w:tc>
        <w:tc>
          <w:tcPr>
            <w:tcW w:w="510" w:type="dxa"/>
            <w:vAlign w:val="top"/>
          </w:tcPr>
          <w:p>
            <w:pPr>
              <w:shd w:val="clear"/>
              <w:rPr>
                <w:rFonts w:ascii="Arial"/>
                <w:sz w:val="21"/>
              </w:rPr>
            </w:pPr>
          </w:p>
        </w:tc>
        <w:tc>
          <w:tcPr>
            <w:tcW w:w="519" w:type="dxa"/>
            <w:vAlign w:val="top"/>
          </w:tcPr>
          <w:p>
            <w:pPr>
              <w:shd w:val="clear"/>
              <w:rPr>
                <w:rFonts w:ascii="Arial"/>
                <w:sz w:val="21"/>
              </w:rPr>
            </w:pPr>
          </w:p>
        </w:tc>
        <w:tc>
          <w:tcPr>
            <w:tcW w:w="50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10" w:type="dxa"/>
            <w:vAlign w:val="top"/>
          </w:tcPr>
          <w:p>
            <w:pPr>
              <w:shd w:val="clear"/>
              <w:rPr>
                <w:rFonts w:ascii="Arial"/>
                <w:sz w:val="21"/>
              </w:rPr>
            </w:pPr>
          </w:p>
        </w:tc>
        <w:tc>
          <w:tcPr>
            <w:tcW w:w="510" w:type="dxa"/>
            <w:vAlign w:val="top"/>
          </w:tcPr>
          <w:p>
            <w:pPr>
              <w:shd w:val="clear"/>
              <w:rPr>
                <w:rFonts w:ascii="Arial"/>
                <w:sz w:val="21"/>
              </w:rPr>
            </w:pPr>
          </w:p>
        </w:tc>
        <w:tc>
          <w:tcPr>
            <w:tcW w:w="1034" w:type="dxa"/>
            <w:vAlign w:val="top"/>
          </w:tcPr>
          <w:p>
            <w:pPr>
              <w:shd w:val="clea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574" w:type="dxa"/>
            <w:vAlign w:val="top"/>
          </w:tcPr>
          <w:p>
            <w:pPr>
              <w:shd w:val="clear"/>
              <w:spacing w:before="263" w:line="183" w:lineRule="auto"/>
              <w:ind w:left="225"/>
              <w:rPr>
                <w:rFonts w:ascii="宋体" w:hAnsi="宋体" w:eastAsia="宋体" w:cs="宋体"/>
                <w:sz w:val="22"/>
                <w:szCs w:val="22"/>
              </w:rPr>
            </w:pPr>
            <w:r>
              <w:rPr>
                <w:rFonts w:ascii="宋体" w:hAnsi="宋体" w:eastAsia="宋体" w:cs="宋体"/>
                <w:sz w:val="22"/>
                <w:szCs w:val="22"/>
              </w:rPr>
              <w:t>2</w:t>
            </w:r>
          </w:p>
        </w:tc>
        <w:tc>
          <w:tcPr>
            <w:tcW w:w="1239" w:type="dxa"/>
            <w:vAlign w:val="top"/>
          </w:tcPr>
          <w:p>
            <w:pPr>
              <w:shd w:val="clear"/>
              <w:rPr>
                <w:rFonts w:ascii="Arial"/>
                <w:sz w:val="21"/>
              </w:rPr>
            </w:pPr>
          </w:p>
        </w:tc>
        <w:tc>
          <w:tcPr>
            <w:tcW w:w="1239" w:type="dxa"/>
            <w:vAlign w:val="top"/>
          </w:tcPr>
          <w:p>
            <w:pPr>
              <w:shd w:val="clear"/>
              <w:rPr>
                <w:rFonts w:ascii="Arial"/>
                <w:sz w:val="21"/>
              </w:rPr>
            </w:pPr>
          </w:p>
        </w:tc>
        <w:tc>
          <w:tcPr>
            <w:tcW w:w="1559" w:type="dxa"/>
            <w:vAlign w:val="top"/>
          </w:tcPr>
          <w:p>
            <w:pPr>
              <w:shd w:val="clear"/>
              <w:rPr>
                <w:rFonts w:ascii="Arial"/>
                <w:sz w:val="21"/>
              </w:rPr>
            </w:pPr>
          </w:p>
        </w:tc>
        <w:tc>
          <w:tcPr>
            <w:tcW w:w="510" w:type="dxa"/>
            <w:vAlign w:val="top"/>
          </w:tcPr>
          <w:p>
            <w:pPr>
              <w:shd w:val="clear"/>
              <w:rPr>
                <w:rFonts w:ascii="Arial"/>
                <w:sz w:val="21"/>
              </w:rPr>
            </w:pPr>
          </w:p>
        </w:tc>
        <w:tc>
          <w:tcPr>
            <w:tcW w:w="519" w:type="dxa"/>
            <w:vAlign w:val="top"/>
          </w:tcPr>
          <w:p>
            <w:pPr>
              <w:shd w:val="clear"/>
              <w:rPr>
                <w:rFonts w:ascii="Arial"/>
                <w:sz w:val="21"/>
              </w:rPr>
            </w:pPr>
          </w:p>
        </w:tc>
        <w:tc>
          <w:tcPr>
            <w:tcW w:w="50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10" w:type="dxa"/>
            <w:vAlign w:val="top"/>
          </w:tcPr>
          <w:p>
            <w:pPr>
              <w:shd w:val="clear"/>
              <w:rPr>
                <w:rFonts w:ascii="Arial"/>
                <w:sz w:val="21"/>
              </w:rPr>
            </w:pPr>
          </w:p>
        </w:tc>
        <w:tc>
          <w:tcPr>
            <w:tcW w:w="510" w:type="dxa"/>
            <w:vAlign w:val="top"/>
          </w:tcPr>
          <w:p>
            <w:pPr>
              <w:shd w:val="clear"/>
              <w:rPr>
                <w:rFonts w:ascii="Arial"/>
                <w:sz w:val="21"/>
              </w:rPr>
            </w:pPr>
          </w:p>
        </w:tc>
        <w:tc>
          <w:tcPr>
            <w:tcW w:w="1034" w:type="dxa"/>
            <w:vAlign w:val="top"/>
          </w:tcPr>
          <w:p>
            <w:pPr>
              <w:shd w:val="clea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574" w:type="dxa"/>
            <w:vAlign w:val="top"/>
          </w:tcPr>
          <w:p>
            <w:pPr>
              <w:shd w:val="clear"/>
              <w:spacing w:before="220" w:line="346" w:lineRule="exact"/>
              <w:ind w:left="164"/>
              <w:rPr>
                <w:rFonts w:ascii="宋体" w:hAnsi="宋体" w:eastAsia="宋体" w:cs="宋体"/>
                <w:sz w:val="22"/>
                <w:szCs w:val="22"/>
              </w:rPr>
            </w:pPr>
            <w:r>
              <w:rPr>
                <w:rFonts w:ascii="宋体" w:hAnsi="宋体" w:eastAsia="宋体" w:cs="宋体"/>
                <w:position w:val="2"/>
                <w:sz w:val="22"/>
                <w:szCs w:val="22"/>
              </w:rPr>
              <w:t>…</w:t>
            </w:r>
          </w:p>
        </w:tc>
        <w:tc>
          <w:tcPr>
            <w:tcW w:w="1239" w:type="dxa"/>
            <w:vAlign w:val="top"/>
          </w:tcPr>
          <w:p>
            <w:pPr>
              <w:shd w:val="clear"/>
              <w:rPr>
                <w:rFonts w:ascii="Arial"/>
                <w:sz w:val="21"/>
              </w:rPr>
            </w:pPr>
          </w:p>
        </w:tc>
        <w:tc>
          <w:tcPr>
            <w:tcW w:w="1239" w:type="dxa"/>
            <w:vAlign w:val="top"/>
          </w:tcPr>
          <w:p>
            <w:pPr>
              <w:shd w:val="clear"/>
              <w:rPr>
                <w:rFonts w:ascii="Arial"/>
                <w:sz w:val="21"/>
              </w:rPr>
            </w:pPr>
          </w:p>
        </w:tc>
        <w:tc>
          <w:tcPr>
            <w:tcW w:w="1559" w:type="dxa"/>
            <w:vAlign w:val="top"/>
          </w:tcPr>
          <w:p>
            <w:pPr>
              <w:shd w:val="clear"/>
              <w:rPr>
                <w:rFonts w:ascii="Arial"/>
                <w:sz w:val="21"/>
              </w:rPr>
            </w:pPr>
          </w:p>
        </w:tc>
        <w:tc>
          <w:tcPr>
            <w:tcW w:w="510" w:type="dxa"/>
            <w:vAlign w:val="top"/>
          </w:tcPr>
          <w:p>
            <w:pPr>
              <w:shd w:val="clear"/>
              <w:rPr>
                <w:rFonts w:ascii="Arial"/>
                <w:sz w:val="21"/>
              </w:rPr>
            </w:pPr>
          </w:p>
        </w:tc>
        <w:tc>
          <w:tcPr>
            <w:tcW w:w="519" w:type="dxa"/>
            <w:vAlign w:val="top"/>
          </w:tcPr>
          <w:p>
            <w:pPr>
              <w:shd w:val="clear"/>
              <w:rPr>
                <w:rFonts w:ascii="Arial"/>
                <w:sz w:val="21"/>
              </w:rPr>
            </w:pPr>
          </w:p>
        </w:tc>
        <w:tc>
          <w:tcPr>
            <w:tcW w:w="50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09" w:type="dxa"/>
            <w:vAlign w:val="top"/>
          </w:tcPr>
          <w:p>
            <w:pPr>
              <w:shd w:val="clear"/>
              <w:rPr>
                <w:rFonts w:ascii="Arial"/>
                <w:sz w:val="21"/>
              </w:rPr>
            </w:pPr>
          </w:p>
        </w:tc>
        <w:tc>
          <w:tcPr>
            <w:tcW w:w="520" w:type="dxa"/>
            <w:vAlign w:val="top"/>
          </w:tcPr>
          <w:p>
            <w:pPr>
              <w:shd w:val="clear"/>
              <w:rPr>
                <w:rFonts w:ascii="Arial"/>
                <w:sz w:val="21"/>
              </w:rPr>
            </w:pPr>
          </w:p>
        </w:tc>
        <w:tc>
          <w:tcPr>
            <w:tcW w:w="510" w:type="dxa"/>
            <w:vAlign w:val="top"/>
          </w:tcPr>
          <w:p>
            <w:pPr>
              <w:shd w:val="clear"/>
              <w:rPr>
                <w:rFonts w:ascii="Arial"/>
                <w:sz w:val="21"/>
              </w:rPr>
            </w:pPr>
          </w:p>
        </w:tc>
        <w:tc>
          <w:tcPr>
            <w:tcW w:w="510" w:type="dxa"/>
            <w:vAlign w:val="top"/>
          </w:tcPr>
          <w:p>
            <w:pPr>
              <w:shd w:val="clear"/>
              <w:rPr>
                <w:rFonts w:ascii="Arial"/>
                <w:sz w:val="21"/>
              </w:rPr>
            </w:pPr>
          </w:p>
        </w:tc>
        <w:tc>
          <w:tcPr>
            <w:tcW w:w="1034" w:type="dxa"/>
            <w:vAlign w:val="top"/>
          </w:tcPr>
          <w:p>
            <w:pPr>
              <w:shd w:val="clear"/>
              <w:rPr>
                <w:rFonts w:ascii="Arial"/>
                <w:sz w:val="21"/>
              </w:rPr>
            </w:pPr>
          </w:p>
        </w:tc>
      </w:tr>
    </w:tbl>
    <w:p>
      <w:pPr>
        <w:shd w:val="clear"/>
        <w:spacing w:before="23" w:line="219" w:lineRule="auto"/>
        <w:ind w:left="757"/>
        <w:rPr>
          <w:rFonts w:hint="eastAsia" w:ascii="CESI仿宋-GB2312" w:hAnsi="CESI仿宋-GB2312" w:eastAsia="CESI仿宋-GB2312" w:cs="CESI仿宋-GB2312"/>
          <w:sz w:val="24"/>
          <w:szCs w:val="24"/>
        </w:rPr>
      </w:pPr>
      <w:r>
        <w:rPr>
          <w:rFonts w:hint="eastAsia" w:ascii="CESI仿宋-GB2312" w:hAnsi="CESI仿宋-GB2312" w:eastAsia="CESI仿宋-GB2312" w:cs="CESI仿宋-GB2312"/>
          <w:sz w:val="24"/>
          <w:szCs w:val="24"/>
        </w:rPr>
        <w:t>注：1.精康服务机构是指民政、卫健、残联所属能够提供精神障碍患者转介和康复服务的精神卫生医疗机构、民政福</w:t>
      </w:r>
    </w:p>
    <w:p>
      <w:pPr>
        <w:shd w:val="clear"/>
        <w:spacing w:before="85" w:line="225" w:lineRule="auto"/>
        <w:ind w:left="1547"/>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1"/>
          <w:sz w:val="24"/>
          <w:szCs w:val="24"/>
        </w:rPr>
        <w:t>利机构、残联康复机构、社区康复站点等。</w:t>
      </w:r>
    </w:p>
    <w:p>
      <w:pPr>
        <w:shd w:val="clear"/>
        <w:spacing w:line="220" w:lineRule="auto"/>
        <w:ind w:left="1227"/>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7"/>
          <w:sz w:val="24"/>
          <w:szCs w:val="24"/>
        </w:rPr>
        <w:t>2.本表由各县(市、区)民政、卫健、残联分别填报，同级民政负责汇总，逐级上报至省民政厅。</w:t>
      </w:r>
    </w:p>
    <w:p>
      <w:pPr>
        <w:shd w:val="clear"/>
        <w:spacing w:before="14" w:line="220" w:lineRule="auto"/>
        <w:ind w:left="1227"/>
        <w:rPr>
          <w:rFonts w:hint="eastAsia" w:ascii="CESI仿宋-GB2312" w:hAnsi="CESI仿宋-GB2312" w:eastAsia="CESI仿宋-GB2312" w:cs="CESI仿宋-GB2312"/>
          <w:sz w:val="24"/>
          <w:szCs w:val="24"/>
        </w:rPr>
      </w:pPr>
      <w:r>
        <w:rPr>
          <w:rFonts w:hint="eastAsia" w:ascii="CESI仿宋-GB2312" w:hAnsi="CESI仿宋-GB2312" w:eastAsia="CESI仿宋-GB2312" w:cs="CESI仿宋-GB2312"/>
          <w:spacing w:val="-6"/>
          <w:sz w:val="24"/>
          <w:szCs w:val="24"/>
        </w:rPr>
        <w:t>3.所属部门、机构类别，在相应表格内填“1”。</w:t>
      </w:r>
    </w:p>
    <w:p>
      <w:pPr>
        <w:shd w:val="clear"/>
        <w:spacing w:before="14" w:line="220" w:lineRule="auto"/>
        <w:ind w:left="1227"/>
        <w:rPr>
          <w:rFonts w:hint="eastAsia" w:ascii="CESI仿宋-GB2312" w:hAnsi="CESI仿宋-GB2312" w:eastAsia="CESI仿宋-GB2312" w:cs="CESI仿宋-GB2312"/>
          <w:spacing w:val="3"/>
          <w:sz w:val="24"/>
          <w:szCs w:val="24"/>
        </w:rPr>
        <w:sectPr>
          <w:pgSz w:w="17050" w:h="12210" w:orient="landscape"/>
          <w:pgMar w:top="1037" w:right="2266" w:bottom="400" w:left="1442" w:header="0" w:footer="0" w:gutter="0"/>
          <w:pgNumType w:fmt="decimal"/>
          <w:cols w:space="720" w:num="1"/>
        </w:sectPr>
      </w:pPr>
      <w:r>
        <w:rPr>
          <w:rFonts w:hint="eastAsia" w:ascii="CESI仿宋-GB2312" w:hAnsi="CESI仿宋-GB2312" w:eastAsia="CESI仿宋-GB2312" w:cs="CESI仿宋-GB2312"/>
          <w:spacing w:val="3"/>
          <w:sz w:val="24"/>
          <w:szCs w:val="24"/>
        </w:rPr>
        <w:t>4.人员情况、服务情况，在相应表格内填人数或人次。</w:t>
      </w:r>
    </w:p>
    <w:p>
      <w:pPr>
        <w:shd w:val="clear"/>
        <w:spacing w:before="98" w:line="224" w:lineRule="auto"/>
        <w:rPr>
          <w:rFonts w:hint="eastAsia" w:ascii="黑体" w:hAnsi="黑体" w:eastAsia="黑体" w:cs="黑体"/>
          <w:sz w:val="30"/>
          <w:szCs w:val="30"/>
          <w:lang w:val="en-US" w:eastAsia="zh-CN"/>
        </w:rPr>
      </w:pPr>
      <w:r>
        <w:rPr>
          <w:rFonts w:ascii="黑体" w:hAnsi="黑体" w:eastAsia="黑体" w:cs="黑体"/>
          <w:b/>
          <w:bCs/>
          <w:spacing w:val="-16"/>
          <w:sz w:val="30"/>
          <w:szCs w:val="30"/>
        </w:rPr>
        <w:t>附件</w:t>
      </w:r>
      <w:r>
        <w:rPr>
          <w:rFonts w:hint="eastAsia" w:ascii="黑体" w:hAnsi="黑体" w:eastAsia="黑体" w:cs="黑体"/>
          <w:b/>
          <w:bCs/>
          <w:spacing w:val="-16"/>
          <w:sz w:val="30"/>
          <w:szCs w:val="30"/>
          <w:lang w:val="en-US" w:eastAsia="zh-CN"/>
        </w:rPr>
        <w:t>2</w:t>
      </w:r>
    </w:p>
    <w:p>
      <w:pPr>
        <w:shd w:val="clear"/>
        <w:spacing w:line="308" w:lineRule="auto"/>
        <w:rPr>
          <w:rFonts w:ascii="Arial"/>
          <w:sz w:val="21"/>
        </w:rPr>
      </w:pPr>
    </w:p>
    <w:p>
      <w:pPr>
        <w:shd w:val="clear"/>
        <w:spacing w:line="308" w:lineRule="auto"/>
        <w:rPr>
          <w:rFonts w:ascii="Arial"/>
          <w:sz w:val="21"/>
        </w:rPr>
      </w:pPr>
    </w:p>
    <w:p>
      <w:pPr>
        <w:keepNext w:val="0"/>
        <w:keepLines w:val="0"/>
        <w:pageBreakBefore w:val="0"/>
        <w:widowControl/>
        <w:shd w:val="clear"/>
        <w:kinsoku w:val="0"/>
        <w:wordWrap/>
        <w:overflowPunct/>
        <w:topLinePunct w:val="0"/>
        <w:autoSpaceDE w:val="0"/>
        <w:autoSpaceDN w:val="0"/>
        <w:bidi w:val="0"/>
        <w:adjustRightInd w:val="0"/>
        <w:snapToGrid w:val="0"/>
        <w:spacing w:before="188" w:line="560" w:lineRule="exact"/>
        <w:jc w:val="center"/>
        <w:textAlignment w:val="baseline"/>
        <w:rPr>
          <w:rFonts w:hint="eastAsia" w:ascii="方正小标宋简体" w:hAnsi="宋体" w:eastAsia="方正小标宋简体" w:cs="Arial"/>
          <w:b w:val="0"/>
          <w:bCs/>
          <w:kern w:val="0"/>
          <w:sz w:val="44"/>
          <w:szCs w:val="44"/>
          <w:lang w:val="en-US" w:eastAsia="zh-CN" w:bidi="ar-SA"/>
        </w:rPr>
      </w:pPr>
      <w:r>
        <w:rPr>
          <w:rFonts w:hint="eastAsia" w:ascii="方正小标宋简体" w:hAnsi="宋体" w:eastAsia="方正小标宋简体" w:cs="Arial"/>
          <w:b w:val="0"/>
          <w:bCs/>
          <w:kern w:val="0"/>
          <w:sz w:val="44"/>
          <w:szCs w:val="44"/>
          <w:lang w:val="en-US" w:eastAsia="zh-CN" w:bidi="ar-SA"/>
        </w:rPr>
        <w:t>鞍山市“精康融合行动”</w:t>
      </w:r>
    </w:p>
    <w:p>
      <w:pPr>
        <w:keepNext w:val="0"/>
        <w:keepLines w:val="0"/>
        <w:pageBreakBefore w:val="0"/>
        <w:widowControl/>
        <w:shd w:val="clear"/>
        <w:kinsoku w:val="0"/>
        <w:wordWrap/>
        <w:overflowPunct/>
        <w:topLinePunct w:val="0"/>
        <w:autoSpaceDE w:val="0"/>
        <w:autoSpaceDN w:val="0"/>
        <w:bidi w:val="0"/>
        <w:adjustRightInd w:val="0"/>
        <w:snapToGrid w:val="0"/>
        <w:spacing w:before="188" w:line="560" w:lineRule="exact"/>
        <w:jc w:val="center"/>
        <w:textAlignment w:val="baseline"/>
        <w:rPr>
          <w:rFonts w:hint="eastAsia" w:ascii="方正小标宋简体" w:hAnsi="宋体" w:eastAsia="方正小标宋简体" w:cs="Arial"/>
          <w:b w:val="0"/>
          <w:bCs/>
          <w:kern w:val="0"/>
          <w:sz w:val="44"/>
          <w:szCs w:val="44"/>
          <w:lang w:val="en-US" w:eastAsia="zh-CN" w:bidi="ar-SA"/>
        </w:rPr>
      </w:pPr>
      <w:r>
        <w:rPr>
          <w:rFonts w:hint="eastAsia" w:ascii="方正小标宋简体" w:hAnsi="宋体" w:eastAsia="方正小标宋简体" w:cs="Arial"/>
          <w:b w:val="0"/>
          <w:bCs/>
          <w:kern w:val="0"/>
          <w:sz w:val="44"/>
          <w:szCs w:val="44"/>
          <w:lang w:val="en-US" w:eastAsia="zh-CN" w:bidi="ar-SA"/>
        </w:rPr>
        <w:t>联席会议机制成员及办公室成员名单</w:t>
      </w:r>
    </w:p>
    <w:p>
      <w:pPr>
        <w:pStyle w:val="10"/>
        <w:widowControl/>
        <w:numPr>
          <w:ilvl w:val="0"/>
          <w:numId w:val="0"/>
        </w:numPr>
        <w:shd w:val="clear" w:color="auto"/>
        <w:spacing w:line="600" w:lineRule="exact"/>
        <w:rPr>
          <w:rFonts w:hint="eastAsia" w:ascii="黑体" w:hAnsi="黑体" w:eastAsia="黑体" w:cs="仿宋_GB2312"/>
          <w:kern w:val="2"/>
          <w:sz w:val="32"/>
          <w:szCs w:val="32"/>
          <w:lang w:val="en-US" w:eastAsia="zh-CN" w:bidi="ar-SA"/>
        </w:rPr>
      </w:pPr>
    </w:p>
    <w:p>
      <w:pPr>
        <w:pStyle w:val="10"/>
        <w:widowControl/>
        <w:numPr>
          <w:ilvl w:val="0"/>
          <w:numId w:val="0"/>
        </w:numPr>
        <w:shd w:val="clear" w:color="auto"/>
        <w:spacing w:line="600" w:lineRule="exact"/>
        <w:ind w:firstLine="640" w:firstLineChars="200"/>
        <w:rPr>
          <w:rFonts w:hint="eastAsia"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联席会议机制成员名单</w:t>
      </w:r>
    </w:p>
    <w:p>
      <w:pPr>
        <w:shd w:val="clear"/>
        <w:spacing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仿宋_GB2312"/>
          <w:kern w:val="2"/>
          <w:sz w:val="32"/>
          <w:szCs w:val="32"/>
          <w:lang w:val="en-US" w:eastAsia="zh-CN" w:bidi="ar-SA"/>
        </w:rPr>
        <w:t>召集人：</w:t>
      </w:r>
      <w:r>
        <w:rPr>
          <w:rFonts w:hint="eastAsia" w:ascii="仿宋_GB2312" w:hAnsi="仿宋_GB2312" w:eastAsia="仿宋_GB2312" w:cs="仿宋_GB2312"/>
          <w:kern w:val="2"/>
          <w:sz w:val="32"/>
          <w:szCs w:val="32"/>
          <w:lang w:val="en-US" w:eastAsia="zh-CN" w:bidi="ar-SA"/>
        </w:rPr>
        <w:t>赵玉娜    市民政局局长</w:t>
      </w:r>
    </w:p>
    <w:p>
      <w:pPr>
        <w:shd w:val="clear"/>
        <w:spacing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仿宋_GB2312"/>
          <w:kern w:val="2"/>
          <w:sz w:val="32"/>
          <w:szCs w:val="32"/>
          <w:lang w:val="en-US" w:eastAsia="zh-CN" w:bidi="ar-SA"/>
        </w:rPr>
        <w:t>成  员：</w:t>
      </w:r>
      <w:r>
        <w:rPr>
          <w:rFonts w:hint="eastAsia" w:ascii="仿宋_GB2312" w:hAnsi="仿宋_GB2312" w:eastAsia="仿宋_GB2312" w:cs="仿宋_GB2312"/>
          <w:sz w:val="32"/>
          <w:szCs w:val="32"/>
          <w:vertAlign w:val="baseline"/>
          <w:lang w:eastAsia="zh-CN"/>
        </w:rPr>
        <w:t>张</w:t>
      </w:r>
      <w:r>
        <w:rPr>
          <w:rFonts w:hint="eastAsia" w:ascii="仿宋_GB2312" w:hAnsi="仿宋_GB2312" w:eastAsia="仿宋_GB2312" w:cs="仿宋_GB2312"/>
          <w:sz w:val="32"/>
          <w:szCs w:val="32"/>
          <w:vertAlign w:val="baseline"/>
          <w:lang w:val="en-US" w:eastAsia="zh-CN"/>
        </w:rPr>
        <w:t xml:space="preserve">  </w:t>
      </w:r>
      <w:r>
        <w:rPr>
          <w:rFonts w:hint="eastAsia" w:ascii="仿宋_GB2312" w:hAnsi="仿宋_GB2312" w:eastAsia="仿宋_GB2312" w:cs="仿宋_GB2312"/>
          <w:sz w:val="32"/>
          <w:szCs w:val="32"/>
          <w:vertAlign w:val="baseline"/>
          <w:lang w:eastAsia="zh-CN"/>
        </w:rPr>
        <w:t>欣</w:t>
      </w:r>
      <w:r>
        <w:rPr>
          <w:rFonts w:hint="eastAsia" w:ascii="仿宋_GB2312" w:hAnsi="仿宋_GB2312" w:eastAsia="仿宋_GB2312" w:cs="仿宋_GB2312"/>
          <w:kern w:val="2"/>
          <w:sz w:val="32"/>
          <w:szCs w:val="32"/>
          <w:lang w:val="en-US" w:eastAsia="zh-CN" w:bidi="ar-SA"/>
        </w:rPr>
        <w:t xml:space="preserve">    市财政局副局长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刘  壮    市民政局副局长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马武明    市卫生健康委副主任</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刘明伟    市残疾人联合会党组成员</w:t>
      </w:r>
    </w:p>
    <w:p>
      <w:pPr>
        <w:pStyle w:val="2"/>
        <w:shd w:val="clear"/>
        <w:rPr>
          <w:rFonts w:hint="eastAsia" w:ascii="仿宋_GB2312" w:hAnsi="仿宋_GB2312" w:eastAsia="仿宋_GB2312" w:cs="仿宋_GB2312"/>
          <w:kern w:val="2"/>
          <w:sz w:val="32"/>
          <w:szCs w:val="32"/>
          <w:lang w:val="en-US" w:eastAsia="zh-CN" w:bidi="ar-SA"/>
        </w:rPr>
      </w:pPr>
    </w:p>
    <w:p>
      <w:pPr>
        <w:pStyle w:val="2"/>
        <w:shd w:val="clear"/>
        <w:rPr>
          <w:rFonts w:hint="eastAsia" w:ascii="仿宋_GB2312" w:hAnsi="仿宋_GB2312" w:eastAsia="仿宋_GB2312" w:cs="仿宋_GB2312"/>
          <w:kern w:val="2"/>
          <w:sz w:val="32"/>
          <w:szCs w:val="32"/>
          <w:lang w:val="en-US" w:eastAsia="zh-CN" w:bidi="ar-SA"/>
        </w:rPr>
      </w:pPr>
    </w:p>
    <w:p>
      <w:pPr>
        <w:pStyle w:val="10"/>
        <w:widowControl/>
        <w:numPr>
          <w:ilvl w:val="0"/>
          <w:numId w:val="0"/>
        </w:numPr>
        <w:shd w:val="clear" w:color="auto"/>
        <w:spacing w:line="600" w:lineRule="exact"/>
        <w:ind w:firstLine="640" w:firstLineChars="200"/>
        <w:rPr>
          <w:rFonts w:hint="eastAsia" w:ascii="黑体" w:hAnsi="黑体" w:eastAsia="黑体" w:cs="仿宋_GB2312"/>
          <w:kern w:val="2"/>
          <w:sz w:val="32"/>
          <w:szCs w:val="32"/>
          <w:lang w:val="en-US" w:eastAsia="zh-CN" w:bidi="ar-SA"/>
        </w:rPr>
      </w:pPr>
      <w:r>
        <w:rPr>
          <w:rFonts w:hint="eastAsia" w:ascii="黑体" w:hAnsi="黑体" w:eastAsia="黑体" w:cs="仿宋_GB2312"/>
          <w:kern w:val="2"/>
          <w:sz w:val="32"/>
          <w:szCs w:val="32"/>
          <w:lang w:val="en-US" w:eastAsia="zh-CN" w:bidi="ar-SA"/>
        </w:rPr>
        <w:t>联席会议机制下设办公室，设在市民政局</w:t>
      </w:r>
    </w:p>
    <w:p>
      <w:pPr>
        <w:shd w:val="clear"/>
        <w:spacing w:line="560" w:lineRule="exact"/>
        <w:ind w:firstLine="640" w:firstLineChars="20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仿宋_GB2312"/>
          <w:kern w:val="2"/>
          <w:sz w:val="32"/>
          <w:szCs w:val="32"/>
          <w:lang w:val="en-US" w:eastAsia="zh-CN" w:bidi="ar-SA"/>
        </w:rPr>
        <w:t>主  任：</w:t>
      </w:r>
      <w:r>
        <w:rPr>
          <w:rFonts w:hint="eastAsia" w:ascii="仿宋_GB2312" w:hAnsi="仿宋_GB2312" w:eastAsia="仿宋_GB2312" w:cs="仿宋_GB2312"/>
          <w:kern w:val="2"/>
          <w:sz w:val="32"/>
          <w:szCs w:val="32"/>
          <w:lang w:val="en-US" w:eastAsia="zh-CN" w:bidi="ar-SA"/>
        </w:rPr>
        <w:t>刘  壮    市民政局副局长</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仿宋_GB2312"/>
          <w:kern w:val="2"/>
          <w:sz w:val="32"/>
          <w:szCs w:val="32"/>
          <w:lang w:val="en-US" w:eastAsia="zh-CN" w:bidi="ar-SA"/>
        </w:rPr>
        <w:t>成  员：</w:t>
      </w:r>
      <w:r>
        <w:rPr>
          <w:rFonts w:hint="eastAsia" w:ascii="仿宋_GB2312" w:hAnsi="仿宋_GB2312" w:eastAsia="仿宋_GB2312" w:cs="仿宋_GB2312"/>
          <w:kern w:val="2"/>
          <w:sz w:val="32"/>
          <w:szCs w:val="32"/>
          <w:lang w:val="en-US" w:eastAsia="zh-CN" w:bidi="ar-SA"/>
        </w:rPr>
        <w:t>李  菲    市财政局社会保障科科长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穆家威    市民政局社会事务科科长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杨  新    市卫生健康委医政医管科科长</w:t>
      </w:r>
    </w:p>
    <w:p>
      <w:pPr>
        <w:keepNext w:val="0"/>
        <w:keepLines w:val="0"/>
        <w:pageBreakBefore w:val="0"/>
        <w:widowControl w:val="0"/>
        <w:shd w:val="clear"/>
        <w:kinsoku/>
        <w:wordWrap/>
        <w:overflowPunct/>
        <w:topLinePunct w:val="0"/>
        <w:autoSpaceDE/>
        <w:autoSpaceDN/>
        <w:bidi w:val="0"/>
        <w:adjustRightInd/>
        <w:snapToGrid/>
        <w:spacing w:line="560" w:lineRule="exact"/>
        <w:ind w:firstLine="1920" w:firstLineChars="6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王  丹    市残疾人联合会康复部主任</w:t>
      </w:r>
    </w:p>
    <w:p>
      <w:pPr>
        <w:pStyle w:val="3"/>
        <w:shd w:val="clear"/>
      </w:pPr>
    </w:p>
    <w:p>
      <w:pPr>
        <w:pStyle w:val="3"/>
        <w:shd w:val="clear"/>
      </w:pPr>
    </w:p>
    <w:p>
      <w:pPr>
        <w:pStyle w:val="3"/>
        <w:shd w:val="clear"/>
      </w:pPr>
    </w:p>
    <w:p>
      <w:pPr>
        <w:pStyle w:val="3"/>
        <w:shd w:val="clear"/>
      </w:pPr>
    </w:p>
    <w:p>
      <w:pPr>
        <w:pStyle w:val="3"/>
        <w:shd w:val="clear"/>
      </w:pPr>
    </w:p>
    <w:p>
      <w:pPr>
        <w:pStyle w:val="3"/>
        <w:shd w:val="clear"/>
      </w:pPr>
    </w:p>
    <w:p>
      <w:pPr>
        <w:shd w:val="clear"/>
        <w:spacing w:before="104" w:line="224" w:lineRule="auto"/>
        <w:ind w:left="4"/>
        <w:rPr>
          <w:rFonts w:hint="eastAsia" w:ascii="黑体" w:hAnsi="黑体" w:eastAsia="黑体" w:cs="黑体"/>
          <w:sz w:val="32"/>
          <w:szCs w:val="32"/>
          <w:lang w:val="en-US" w:eastAsia="zh-CN"/>
        </w:rPr>
      </w:pPr>
      <w:r>
        <w:rPr>
          <w:rFonts w:ascii="黑体" w:hAnsi="黑体" w:eastAsia="黑体" w:cs="黑体"/>
          <w:b/>
          <w:bCs/>
          <w:spacing w:val="29"/>
          <w:sz w:val="32"/>
          <w:szCs w:val="32"/>
        </w:rPr>
        <w:t>附件</w:t>
      </w:r>
      <w:r>
        <w:rPr>
          <w:rFonts w:hint="eastAsia" w:ascii="黑体" w:hAnsi="黑体" w:eastAsia="黑体" w:cs="黑体"/>
          <w:b/>
          <w:bCs/>
          <w:spacing w:val="29"/>
          <w:sz w:val="32"/>
          <w:szCs w:val="32"/>
          <w:lang w:val="en-US" w:eastAsia="zh-CN"/>
        </w:rPr>
        <w:t>3</w:t>
      </w:r>
    </w:p>
    <w:p>
      <w:pPr>
        <w:shd w:val="clear"/>
        <w:spacing w:line="330" w:lineRule="auto"/>
        <w:rPr>
          <w:rFonts w:ascii="Arial"/>
          <w:sz w:val="21"/>
        </w:rPr>
      </w:pPr>
    </w:p>
    <w:p>
      <w:pPr>
        <w:shd w:val="clear"/>
        <w:spacing w:line="331" w:lineRule="auto"/>
        <w:rPr>
          <w:rFonts w:ascii="Arial"/>
          <w:sz w:val="21"/>
        </w:rPr>
      </w:pPr>
    </w:p>
    <w:p>
      <w:pPr>
        <w:widowControl w:val="0"/>
        <w:shd w:val="clear"/>
        <w:kinsoku/>
        <w:autoSpaceDE/>
        <w:autoSpaceDN/>
        <w:adjustRightInd/>
        <w:snapToGrid/>
        <w:spacing w:line="560" w:lineRule="exact"/>
        <w:ind w:left="0" w:leftChars="0" w:firstLine="0" w:firstLineChars="0"/>
        <w:jc w:val="center"/>
        <w:textAlignment w:val="auto"/>
        <w:rPr>
          <w:rFonts w:hint="eastAsia" w:ascii="方正小标宋简体" w:hAnsi="宋体" w:eastAsia="方正小标宋简体" w:cs="Arial"/>
          <w:bCs/>
          <w:snapToGrid/>
          <w:kern w:val="0"/>
          <w:sz w:val="44"/>
          <w:szCs w:val="44"/>
          <w:lang w:val="en-US" w:eastAsia="zh-CN" w:bidi="ar-SA"/>
        </w:rPr>
      </w:pPr>
      <w:r>
        <w:rPr>
          <w:rFonts w:hint="eastAsia" w:ascii="方正小标宋简体" w:hAnsi="宋体" w:eastAsia="方正小标宋简体" w:cs="Arial"/>
          <w:bCs/>
          <w:snapToGrid/>
          <w:kern w:val="0"/>
          <w:sz w:val="44"/>
          <w:szCs w:val="44"/>
          <w:lang w:val="en-US" w:eastAsia="zh-CN" w:bidi="ar-SA"/>
        </w:rPr>
        <w:t>鞍山市“精康融合行动”</w:t>
      </w:r>
    </w:p>
    <w:p>
      <w:pPr>
        <w:widowControl w:val="0"/>
        <w:shd w:val="clear"/>
        <w:kinsoku/>
        <w:autoSpaceDE/>
        <w:autoSpaceDN/>
        <w:adjustRightInd/>
        <w:snapToGrid/>
        <w:spacing w:line="560" w:lineRule="exact"/>
        <w:ind w:left="0" w:leftChars="0" w:firstLine="0" w:firstLineChars="0"/>
        <w:jc w:val="center"/>
        <w:textAlignment w:val="auto"/>
        <w:rPr>
          <w:rFonts w:hint="eastAsia" w:ascii="方正小标宋简体" w:hAnsi="宋体" w:eastAsia="方正小标宋简体" w:cs="Arial"/>
          <w:bCs/>
          <w:snapToGrid/>
          <w:kern w:val="0"/>
          <w:sz w:val="44"/>
          <w:szCs w:val="44"/>
          <w:lang w:val="en-US" w:eastAsia="zh-CN" w:bidi="ar-SA"/>
        </w:rPr>
      </w:pPr>
      <w:r>
        <w:rPr>
          <w:rFonts w:hint="eastAsia" w:ascii="方正小标宋简体" w:hAnsi="宋体" w:eastAsia="方正小标宋简体" w:cs="Arial"/>
          <w:bCs/>
          <w:snapToGrid/>
          <w:kern w:val="0"/>
          <w:sz w:val="44"/>
          <w:szCs w:val="44"/>
          <w:lang w:val="en-US" w:eastAsia="zh-CN" w:bidi="ar-SA"/>
        </w:rPr>
        <w:t>联席会议机制工作职责</w:t>
      </w:r>
    </w:p>
    <w:p>
      <w:pPr>
        <w:shd w:val="clear"/>
        <w:spacing w:line="348" w:lineRule="auto"/>
        <w:rPr>
          <w:rFonts w:ascii="Arial"/>
          <w:sz w:val="21"/>
        </w:rPr>
      </w:pPr>
    </w:p>
    <w:p>
      <w:pPr>
        <w:pStyle w:val="10"/>
        <w:widowControl/>
        <w:numPr>
          <w:ilvl w:val="0"/>
          <w:numId w:val="0"/>
        </w:numPr>
        <w:shd w:val="clear" w:color="auto"/>
        <w:kinsoku/>
        <w:autoSpaceDE/>
        <w:autoSpaceDN/>
        <w:adjustRightInd/>
        <w:snapToGrid/>
        <w:spacing w:line="600" w:lineRule="exact"/>
        <w:ind w:left="640" w:leftChars="0"/>
        <w:jc w:val="both"/>
        <w:textAlignment w:val="auto"/>
        <w:rPr>
          <w:rFonts w:hint="eastAsia" w:ascii="黑体" w:hAnsi="黑体" w:eastAsia="黑体" w:cs="仿宋_GB2312"/>
          <w:snapToGrid/>
          <w:kern w:val="2"/>
          <w:sz w:val="32"/>
          <w:szCs w:val="32"/>
          <w:lang w:val="en-US" w:eastAsia="zh-CN" w:bidi="ar-SA"/>
        </w:rPr>
      </w:pPr>
      <w:r>
        <w:rPr>
          <w:rFonts w:hint="eastAsia" w:ascii="黑体" w:hAnsi="黑体" w:eastAsia="黑体" w:cs="仿宋_GB2312"/>
          <w:snapToGrid/>
          <w:kern w:val="2"/>
          <w:sz w:val="32"/>
          <w:szCs w:val="32"/>
          <w:lang w:val="en-US" w:eastAsia="zh-CN" w:bidi="ar-SA"/>
        </w:rPr>
        <w:t>一、联席会议机制工作职责</w:t>
      </w:r>
    </w:p>
    <w:p>
      <w:pPr>
        <w:widowControl/>
        <w:shd w:val="clear" w:color="auto"/>
        <w:kinsoku/>
        <w:autoSpaceDE/>
        <w:autoSpaceDN/>
        <w:adjustRightInd/>
        <w:snapToGrid/>
        <w:spacing w:line="600" w:lineRule="exact"/>
        <w:ind w:firstLine="640" w:firstLineChars="200"/>
        <w:jc w:val="both"/>
        <w:textAlignment w:val="auto"/>
        <w:rPr>
          <w:rFonts w:hint="eastAsia" w:ascii="仿宋_GB2312" w:hAnsi="仿宋" w:eastAsia="仿宋_GB2312" w:cs="宋体"/>
          <w:snapToGrid/>
          <w:kern w:val="2"/>
          <w:sz w:val="32"/>
          <w:szCs w:val="32"/>
          <w:lang w:val="en-US" w:eastAsia="zh-CN" w:bidi="ar-SA"/>
        </w:rPr>
      </w:pPr>
      <w:r>
        <w:rPr>
          <w:rFonts w:hint="eastAsia" w:ascii="仿宋_GB2312" w:hAnsi="仿宋" w:eastAsia="仿宋_GB2312" w:cs="宋体"/>
          <w:snapToGrid/>
          <w:kern w:val="2"/>
          <w:sz w:val="32"/>
          <w:szCs w:val="32"/>
          <w:lang w:val="en-US" w:eastAsia="zh-CN" w:bidi="ar-SA"/>
        </w:rPr>
        <w:t>统筹协调全市“精康融合行动”,及时研究解决专项行动中遇到的突出问题。</w:t>
      </w:r>
    </w:p>
    <w:p>
      <w:pPr>
        <w:pStyle w:val="10"/>
        <w:widowControl/>
        <w:numPr>
          <w:ilvl w:val="0"/>
          <w:numId w:val="0"/>
        </w:numPr>
        <w:shd w:val="clear" w:color="auto"/>
        <w:kinsoku/>
        <w:autoSpaceDE/>
        <w:autoSpaceDN/>
        <w:adjustRightInd/>
        <w:snapToGrid/>
        <w:spacing w:line="600" w:lineRule="exact"/>
        <w:ind w:left="640" w:leftChars="0"/>
        <w:jc w:val="both"/>
        <w:textAlignment w:val="auto"/>
        <w:rPr>
          <w:rFonts w:hint="eastAsia" w:ascii="黑体" w:hAnsi="黑体" w:eastAsia="黑体" w:cs="仿宋_GB2312"/>
          <w:snapToGrid/>
          <w:kern w:val="2"/>
          <w:sz w:val="32"/>
          <w:szCs w:val="32"/>
          <w:lang w:val="en-US" w:eastAsia="zh-CN" w:bidi="ar-SA"/>
        </w:rPr>
      </w:pPr>
      <w:r>
        <w:rPr>
          <w:rFonts w:hint="eastAsia" w:ascii="黑体" w:hAnsi="黑体" w:eastAsia="黑体" w:cs="仿宋_GB2312"/>
          <w:snapToGrid/>
          <w:kern w:val="2"/>
          <w:sz w:val="32"/>
          <w:szCs w:val="32"/>
          <w:lang w:val="en-US" w:eastAsia="zh-CN" w:bidi="ar-SA"/>
        </w:rPr>
        <w:t>二、联席会议机制办公室工作职责</w:t>
      </w:r>
    </w:p>
    <w:p>
      <w:pPr>
        <w:widowControl/>
        <w:shd w:val="clear" w:color="auto"/>
        <w:kinsoku/>
        <w:autoSpaceDE/>
        <w:autoSpaceDN/>
        <w:adjustRightInd/>
        <w:snapToGrid/>
        <w:spacing w:line="600" w:lineRule="exact"/>
        <w:ind w:firstLine="640" w:firstLineChars="200"/>
        <w:jc w:val="both"/>
        <w:textAlignment w:val="auto"/>
        <w:rPr>
          <w:rFonts w:hint="eastAsia" w:ascii="仿宋_GB2312" w:hAnsi="仿宋" w:eastAsia="仿宋_GB2312" w:cs="宋体"/>
          <w:snapToGrid/>
          <w:kern w:val="2"/>
          <w:sz w:val="32"/>
          <w:szCs w:val="32"/>
          <w:lang w:val="en-US" w:eastAsia="zh-CN" w:bidi="ar-SA"/>
        </w:rPr>
      </w:pPr>
      <w:r>
        <w:rPr>
          <w:rFonts w:hint="eastAsia" w:ascii="仿宋_GB2312" w:hAnsi="仿宋" w:eastAsia="仿宋_GB2312" w:cs="宋体"/>
          <w:snapToGrid/>
          <w:kern w:val="2"/>
          <w:sz w:val="32"/>
          <w:szCs w:val="32"/>
          <w:lang w:val="en-US" w:eastAsia="zh-CN" w:bidi="ar-SA"/>
        </w:rPr>
        <w:t>负责全市“精康融合行动”的组织实施、日常调度工作，了解掌握、分析研判全市“精康融合行动”总体情况，提请联席会议机制及时研究解决突出问题。</w:t>
      </w:r>
    </w:p>
    <w:p>
      <w:pPr>
        <w:pStyle w:val="10"/>
        <w:widowControl/>
        <w:numPr>
          <w:ilvl w:val="0"/>
          <w:numId w:val="0"/>
        </w:numPr>
        <w:shd w:val="clear" w:color="auto"/>
        <w:kinsoku/>
        <w:autoSpaceDE/>
        <w:autoSpaceDN/>
        <w:adjustRightInd/>
        <w:snapToGrid/>
        <w:spacing w:line="600" w:lineRule="exact"/>
        <w:ind w:left="640" w:leftChars="0"/>
        <w:jc w:val="both"/>
        <w:textAlignment w:val="auto"/>
        <w:rPr>
          <w:rFonts w:hint="eastAsia" w:ascii="黑体" w:hAnsi="黑体" w:eastAsia="黑体" w:cs="仿宋_GB2312"/>
          <w:snapToGrid/>
          <w:kern w:val="2"/>
          <w:sz w:val="32"/>
          <w:szCs w:val="32"/>
          <w:lang w:val="en-US" w:eastAsia="zh-CN" w:bidi="ar-SA"/>
        </w:rPr>
      </w:pPr>
      <w:r>
        <w:rPr>
          <w:rFonts w:hint="eastAsia" w:ascii="黑体" w:hAnsi="黑体" w:eastAsia="黑体" w:cs="仿宋_GB2312"/>
          <w:snapToGrid/>
          <w:kern w:val="2"/>
          <w:sz w:val="32"/>
          <w:szCs w:val="32"/>
          <w:lang w:val="en-US" w:eastAsia="zh-CN" w:bidi="ar-SA"/>
        </w:rPr>
        <w:t>三、部门工作职责</w:t>
      </w:r>
    </w:p>
    <w:p>
      <w:pPr>
        <w:widowControl/>
        <w:shd w:val="clear" w:color="auto"/>
        <w:kinsoku/>
        <w:autoSpaceDE/>
        <w:autoSpaceDN/>
        <w:adjustRightInd/>
        <w:snapToGrid/>
        <w:spacing w:line="600" w:lineRule="exact"/>
        <w:ind w:firstLine="640" w:firstLineChars="200"/>
        <w:jc w:val="both"/>
        <w:textAlignment w:val="auto"/>
        <w:rPr>
          <w:rFonts w:hint="eastAsia" w:ascii="仿宋_GB2312" w:hAnsi="仿宋" w:eastAsia="仿宋_GB2312" w:cs="宋体"/>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(一)市财政局</w:t>
      </w:r>
      <w:r>
        <w:rPr>
          <w:rFonts w:hint="eastAsia" w:ascii="仿宋_GB2312" w:hAnsi="仿宋" w:eastAsia="仿宋_GB2312" w:cs="宋体"/>
          <w:snapToGrid/>
          <w:kern w:val="2"/>
          <w:sz w:val="32"/>
          <w:szCs w:val="32"/>
          <w:lang w:val="en-US" w:eastAsia="zh-CN" w:bidi="ar-SA"/>
        </w:rPr>
        <w:t>负责加强资金保障，根据财政事权与支出责任相适应的原则，将精神障碍社区康复服务工作相关经费列入年度部门预算；民政、卫生健康、残联等部门和单位依法对精神障碍社区康复服务所涉及的资金使用情况、政府购买精神障碍社区康复服务社会服务机构情况进行监管管理。</w:t>
      </w:r>
    </w:p>
    <w:p>
      <w:pPr>
        <w:widowControl/>
        <w:shd w:val="clear" w:color="auto"/>
        <w:kinsoku/>
        <w:autoSpaceDE/>
        <w:autoSpaceDN/>
        <w:adjustRightInd/>
        <w:snapToGrid/>
        <w:spacing w:line="600" w:lineRule="exact"/>
        <w:ind w:firstLine="640" w:firstLineChars="200"/>
        <w:jc w:val="both"/>
        <w:textAlignment w:val="auto"/>
        <w:rPr>
          <w:rFonts w:hint="eastAsia" w:ascii="仿宋_GB2312" w:hAnsi="仿宋" w:eastAsia="仿宋_GB2312" w:cs="宋体"/>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(二)市民政局</w:t>
      </w:r>
      <w:r>
        <w:rPr>
          <w:rFonts w:hint="eastAsia" w:ascii="仿宋_GB2312" w:hAnsi="仿宋" w:eastAsia="仿宋_GB2312" w:cs="宋体"/>
          <w:snapToGrid/>
          <w:kern w:val="2"/>
          <w:sz w:val="32"/>
          <w:szCs w:val="32"/>
          <w:lang w:val="en-US" w:eastAsia="zh-CN" w:bidi="ar-SA"/>
        </w:rPr>
        <w:t>负责牵头做好全市“精康融合行动”的工作协调、督导检查，指导各县（市）区和开发区民政部门推进精神障碍治疗、康复有机衔接和转介，加强精神障碍社区康复服务标准化体系建设，促进精神障碍社区康复服务广泛开展；指导所属精神障碍社区康复服务机构开展相关服务。</w:t>
      </w:r>
    </w:p>
    <w:p>
      <w:pPr>
        <w:widowControl/>
        <w:shd w:val="clear" w:color="auto"/>
        <w:kinsoku/>
        <w:autoSpaceDE/>
        <w:autoSpaceDN/>
        <w:adjustRightInd/>
        <w:snapToGrid/>
        <w:spacing w:line="600" w:lineRule="exact"/>
        <w:ind w:firstLine="640" w:firstLineChars="200"/>
        <w:jc w:val="both"/>
        <w:textAlignment w:val="auto"/>
        <w:rPr>
          <w:rFonts w:hint="eastAsia" w:ascii="仿宋_GB2312" w:hAnsi="仿宋" w:eastAsia="仿宋_GB2312" w:cs="宋体"/>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(三)市卫生健康委</w:t>
      </w:r>
      <w:r>
        <w:rPr>
          <w:rFonts w:hint="eastAsia" w:ascii="仿宋_GB2312" w:hAnsi="仿宋" w:eastAsia="仿宋_GB2312" w:cs="宋体"/>
          <w:snapToGrid/>
          <w:kern w:val="2"/>
          <w:sz w:val="32"/>
          <w:szCs w:val="32"/>
          <w:lang w:val="en-US" w:eastAsia="zh-CN" w:bidi="ar-SA"/>
        </w:rPr>
        <w:t>负责将精神障碍社区康复服务纳入全市心理健康和精神卫生防治体系建设，提供精神卫生医疗服务和专业技术人才支持，促进精神障碍预防、治疗、康复衔接；指导医疗机构将精神障碍患者康复评估情况及建议告知患者及监护人，引导其接受社区康复服务，并将有关信息上传至严重精神障碍信息系统，实现与全国转介信息平台共享。</w:t>
      </w:r>
    </w:p>
    <w:p>
      <w:pPr>
        <w:widowControl/>
        <w:shd w:val="clear" w:color="auto"/>
        <w:kinsoku/>
        <w:autoSpaceDE/>
        <w:autoSpaceDN/>
        <w:adjustRightInd/>
        <w:snapToGrid/>
        <w:spacing w:line="600" w:lineRule="exact"/>
        <w:ind w:firstLine="640" w:firstLineChars="200"/>
        <w:jc w:val="both"/>
        <w:textAlignment w:val="auto"/>
        <w:rPr>
          <w:rFonts w:hint="eastAsia" w:ascii="仿宋_GB2312" w:hAnsi="仿宋" w:eastAsia="仿宋_GB2312" w:cs="宋体"/>
          <w:snapToGrid/>
          <w:kern w:val="2"/>
          <w:sz w:val="32"/>
          <w:szCs w:val="32"/>
          <w:lang w:val="en-US" w:eastAsia="zh-CN" w:bidi="ar-SA"/>
        </w:rPr>
      </w:pPr>
      <w:r>
        <w:rPr>
          <w:rFonts w:hint="eastAsia" w:ascii="楷体_GB2312" w:hAnsi="楷体_GB2312" w:eastAsia="楷体_GB2312" w:cs="楷体_GB2312"/>
          <w:b w:val="0"/>
          <w:bCs w:val="0"/>
          <w:snapToGrid/>
          <w:kern w:val="2"/>
          <w:sz w:val="32"/>
          <w:szCs w:val="32"/>
          <w:lang w:val="en-US" w:eastAsia="zh-CN" w:bidi="ar-SA"/>
        </w:rPr>
        <w:t>(四)市残联</w:t>
      </w:r>
      <w:r>
        <w:rPr>
          <w:rFonts w:hint="eastAsia" w:ascii="仿宋_GB2312" w:hAnsi="仿宋" w:eastAsia="仿宋_GB2312" w:cs="宋体"/>
          <w:snapToGrid/>
          <w:kern w:val="2"/>
          <w:sz w:val="32"/>
          <w:szCs w:val="32"/>
          <w:lang w:val="en-US" w:eastAsia="zh-CN" w:bidi="ar-SA"/>
        </w:rPr>
        <w:t>负责积极反映精神残疾人诉求，维护精神残疾人康复权益，将全市精神障碍社区康复与残疾人康复、托养、就业等服务共同推进；指导各县（市）区和开发区残联组织对病情稳定、有就业意愿且具备就业能力的精神障碍社区康复服务对象提供就业培训指导，做好推荐就业和公益性庇护性就业转介工作。</w:t>
      </w:r>
    </w:p>
    <w:sectPr>
      <w:footerReference r:id="rId6" w:type="default"/>
      <w:pgSz w:w="12190" w:h="17030"/>
      <w:pgMar w:top="1447" w:right="1424" w:bottom="1737" w:left="1828" w:header="0" w:footer="1429"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91"/>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c2OGYzNWI0NmQ5YzgyZmRjM2FlMzNjYjBlMDg4NDYifQ=="/>
  </w:docVars>
  <w:rsids>
    <w:rsidRoot w:val="00000000"/>
    <w:rsid w:val="007E6BF0"/>
    <w:rsid w:val="035B12CD"/>
    <w:rsid w:val="0D09394F"/>
    <w:rsid w:val="0E7155DD"/>
    <w:rsid w:val="0ED87C76"/>
    <w:rsid w:val="13BD155E"/>
    <w:rsid w:val="1EE80C3D"/>
    <w:rsid w:val="2349737E"/>
    <w:rsid w:val="245D7A7E"/>
    <w:rsid w:val="2C651E77"/>
    <w:rsid w:val="2D68301E"/>
    <w:rsid w:val="2D8E0171"/>
    <w:rsid w:val="30462106"/>
    <w:rsid w:val="35411C04"/>
    <w:rsid w:val="38C807BF"/>
    <w:rsid w:val="3EBEC8A6"/>
    <w:rsid w:val="3F467D02"/>
    <w:rsid w:val="3FF158BC"/>
    <w:rsid w:val="40CC5331"/>
    <w:rsid w:val="40FD67C5"/>
    <w:rsid w:val="4EA91018"/>
    <w:rsid w:val="54902CA3"/>
    <w:rsid w:val="551521E1"/>
    <w:rsid w:val="5EC34164"/>
    <w:rsid w:val="669CC24F"/>
    <w:rsid w:val="678507CC"/>
    <w:rsid w:val="7BFEBB58"/>
    <w:rsid w:val="7DBFADE9"/>
    <w:rsid w:val="B755164F"/>
    <w:rsid w:val="DFFF0826"/>
    <w:rsid w:val="EFB23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Normal Indent"/>
    <w:basedOn w:val="1"/>
    <w:unhideWhenUsed/>
    <w:qFormat/>
    <w:uiPriority w:val="99"/>
    <w:pPr>
      <w:widowControl w:val="0"/>
      <w:ind w:firstLine="200" w:firstLineChars="200"/>
      <w:jc w:val="both"/>
    </w:pPr>
    <w:rPr>
      <w:rFonts w:ascii="宋体" w:hAnsi="宋体" w:eastAsia="宋体" w:cs="Times New Roman"/>
      <w:kern w:val="2"/>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table" w:customStyle="1" w:styleId="9">
    <w:name w:val="Table Normal"/>
    <w:semiHidden/>
    <w:unhideWhenUsed/>
    <w:qFormat/>
    <w:uiPriority w:val="0"/>
    <w:tblPr>
      <w:tblCellMar>
        <w:top w:w="0" w:type="dxa"/>
        <w:left w:w="0" w:type="dxa"/>
        <w:bottom w:w="0" w:type="dxa"/>
        <w:right w:w="0" w:type="dxa"/>
      </w:tblCellMar>
    </w:tblPr>
  </w:style>
  <w:style w:type="paragraph" w:styleId="10">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67</TotalTime>
  <ScaleCrop>false</ScaleCrop>
  <LinksUpToDate>false</LinksUpToDate>
  <Application>WPS Office_11.8.2.12094_F1E327BC-269C-435d-A152-05C5408002CA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2023-10-11T07:02:00Z</dcterms:created>
  <dc:creator>Kingsoft-PDF</dc:creator>
  <cp:lastModifiedBy>Administrator</cp:lastModifiedBy>
  <cp:lastPrinted>2023-11-01T08:09:00Z</cp:lastPrinted>
  <dcterms:modified xsi:type="dcterms:W3CDTF">2023-12-27T07:57:30Z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2023-10-10T15:02:55Z</vt:filetime>
  </property>
  <property fmtid="{D5CDD505-2E9C-101B-9397-08002B2CF9AE}" pid="4" name="UsrData">
    <vt:lpwstr>6524f7126f8e8d001fc82619wl</vt:lpwstr>
  </property>
  <property fmtid="{D5CDD505-2E9C-101B-9397-08002B2CF9AE}" pid="5" name="KSOProductBuildVer">
    <vt:lpwstr>2052-11.8.2.12094</vt:lpwstr>
  </property>
  <property fmtid="{D5CDD505-2E9C-101B-9397-08002B2CF9AE}" pid="6" name="ICV">
    <vt:lpwstr>7668EF4692E98529E006256539F058F8</vt:lpwstr>
  </property>
</Properties>
</file>