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</w:rPr>
        <w:t>非防洪建设项目洪水影响评价报告审批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</w:rPr>
        <w:t>办事指南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一、法定依据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333333"/>
          <w:sz w:val="18"/>
          <w:szCs w:val="18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1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 xml:space="preserve">. 《中华人民共和国防洪法》（2016年修正）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1. 项目建设所依据的文件，如可行性研究报告、初步设计报告、项目申请报告或备案材料等。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2.洪水影响评价报告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3.非防洪建设项目洪水影响评价报告审批申请书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三、办理时限20个工作日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四、审批部门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立山经济开发区审批服务局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五、咨询电话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0412-6600062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六、办理地点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建设大道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252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号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经济开发区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工业企业服务专区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6号窗口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七、办理流程</w:t>
      </w:r>
    </w:p>
    <w:p>
      <w:bookmarkStart w:id="0" w:name="_GoBack"/>
      <w:bookmarkEnd w:id="0"/>
      <w:r>
        <w:drawing>
          <wp:inline distT="0" distB="0" distL="0" distR="0">
            <wp:extent cx="5835650" cy="8256270"/>
            <wp:effectExtent l="0" t="0" r="12700" b="11430"/>
            <wp:docPr id="1" name="图片 1" descr="http://spj.anshan.gov.cn/aszwdt/rest/auditattach/readAttach?attachguid=70ffc120-fb3d-410a-b898-e20f18efc1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spj.anshan.gov.cn/aszwdt/rest/auditattach/readAttach?attachguid=70ffc120-fb3d-410a-b898-e20f18efc1b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5650" cy="825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AA"/>
    <w:rsid w:val="004F030C"/>
    <w:rsid w:val="008F6A46"/>
    <w:rsid w:val="00993735"/>
    <w:rsid w:val="00A72CAA"/>
    <w:rsid w:val="00E60B2A"/>
    <w:rsid w:val="3BB7052C"/>
    <w:rsid w:val="4E9A1A77"/>
    <w:rsid w:val="D77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212</Words>
  <Characters>233</Characters>
  <Lines>1</Lines>
  <Paragraphs>1</Paragraphs>
  <TotalTime>1</TotalTime>
  <ScaleCrop>false</ScaleCrop>
  <LinksUpToDate>false</LinksUpToDate>
  <CharactersWithSpaces>236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2024-11-19T14:10:00Z</dcterms:created>
  <dc:creator>lenovo</dc:creator>
  <cp:lastModifiedBy>geit</cp:lastModifiedBy>
  <cp:lastPrinted>2024-11-28T14:33:22Z</cp:lastPrinted>
  <dcterms:modified xsi:type="dcterms:W3CDTF">2024-11-28T14:33:34Z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D28A5DAD48DF4CBFA80ED281305C31F8_12</vt:lpwstr>
  </property>
</Properties>
</file>