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asciiTheme="minorEastAsia" w:hAnsiTheme="minorEastAsia"/>
          <w:b/>
          <w:color w:val="333333"/>
          <w:kern w:val="0"/>
          <w:sz w:val="44"/>
          <w:szCs w:val="44"/>
        </w:rPr>
      </w:pPr>
      <w:bookmarkStart w:id="0" w:name="_GoBack"/>
      <w:bookmarkEnd w:id="0"/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其他建设工程消防验收备案办事指南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一、法定</w:t>
      </w: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. 《中华人民共和国消防法》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 xml:space="preserve"> 《中华人民共和国消防法》（2019年4月23日第十三届全国人民代表大会常务委员会第十次会议予以修改）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Theme="minorEastAsia" w:hAnsiTheme="minorEastAsia"/>
          <w:color w:val="333333"/>
          <w:sz w:val="18"/>
          <w:szCs w:val="18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 xml:space="preserve"> 《建设工程消防设计审查验收工作细则》和《建设工程消防设计审查、消防验收、备案和抽查文书式样》的通知（建科规〔2020〕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5号）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二、申请材料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1. 消防验收备案表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2. 工程竣工验收报告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3. 涉及消防的建设工程竣工图纸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三、办理时限20个工作日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四、审批部门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山经济开发区审批服务局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五、咨询电话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六、办理地点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七、办理流程</w:t>
      </w:r>
    </w:p>
    <w:p/>
    <w:p>
      <w:r>
        <w:drawing>
          <wp:inline distT="0" distB="0" distL="0" distR="0">
            <wp:extent cx="6190615" cy="3268345"/>
            <wp:effectExtent l="0" t="0" r="635" b="8255"/>
            <wp:docPr id="1" name="图片 1" descr="http://spj.anshan.gov.cn/aszwdt/rest/auditattach/readAttach?attachguid=0251907f-eaac-45ac-b0c2-2a78d0c7fd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spj.anshan.gov.cn/aszwdt/rest/auditattach/readAttach?attachguid=0251907f-eaac-45ac-b0c2-2a78d0c7fd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0615" cy="326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73"/>
    <w:rsid w:val="007E089B"/>
    <w:rsid w:val="00E30A73"/>
    <w:rsid w:val="67BE0DBF"/>
    <w:rsid w:val="68F75567"/>
    <w:rsid w:val="77BB8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64</Words>
  <Characters>365</Characters>
  <Lines>3</Lines>
  <Paragraphs>1</Paragraphs>
  <TotalTime>15</TotalTime>
  <ScaleCrop>false</ScaleCrop>
  <LinksUpToDate>false</LinksUpToDate>
  <CharactersWithSpaces>428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2024-11-19T09:01:00Z</dcterms:created>
  <dc:creator>lenovo</dc:creator>
  <cp:lastModifiedBy>geit</cp:lastModifiedBy>
  <cp:lastPrinted>2024-11-28T14:25:11Z</cp:lastPrinted>
  <dcterms:modified xsi:type="dcterms:W3CDTF">2024-11-28T14:26:36Z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