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olor w:val="000000"/>
          <w:sz w:val="44"/>
          <w:szCs w:val="44"/>
          <w:highlight w:val="none"/>
          <w:shd w:val="clear" w:color="auto" w:fill="FFFFFF"/>
          <w:lang w:val="en-US" w:eastAsia="zh-CN"/>
        </w:rPr>
      </w:pPr>
      <w:r>
        <w:rPr>
          <w:rFonts w:hint="eastAsia" w:ascii="Times New Roman" w:hAnsi="Times New Roman" w:eastAsia="方正小标宋简体"/>
          <w:color w:val="000000"/>
          <w:sz w:val="44"/>
          <w:szCs w:val="44"/>
          <w:highlight w:val="none"/>
          <w:shd w:val="clear" w:color="auto" w:fill="FFFFFF"/>
        </w:rPr>
        <w:t>立山区</w:t>
      </w:r>
      <w:r>
        <w:rPr>
          <w:rFonts w:ascii="Times New Roman" w:hAnsi="Times New Roman" w:eastAsia="方正小标宋简体"/>
          <w:color w:val="000000"/>
          <w:sz w:val="44"/>
          <w:szCs w:val="44"/>
          <w:highlight w:val="none"/>
          <w:shd w:val="clear" w:color="auto" w:fill="FFFFFF"/>
        </w:rPr>
        <w:t>推动经济</w:t>
      </w:r>
      <w:r>
        <w:rPr>
          <w:rFonts w:hint="eastAsia" w:ascii="Times New Roman" w:hAnsi="Times New Roman" w:eastAsia="方正小标宋简体"/>
          <w:color w:val="000000"/>
          <w:sz w:val="44"/>
          <w:szCs w:val="44"/>
          <w:highlight w:val="none"/>
          <w:shd w:val="clear" w:color="auto" w:fill="FFFFFF"/>
          <w:lang w:val="en-US" w:eastAsia="zh-CN"/>
        </w:rPr>
        <w:t>稳中提质</w:t>
      </w:r>
      <w:r>
        <w:rPr>
          <w:rFonts w:ascii="Times New Roman" w:hAnsi="Times New Roman" w:eastAsia="方正小标宋简体"/>
          <w:color w:val="000000"/>
          <w:sz w:val="44"/>
          <w:szCs w:val="44"/>
          <w:highlight w:val="none"/>
          <w:shd w:val="clear" w:color="auto" w:fill="FFFFFF"/>
        </w:rPr>
        <w:t xml:space="preserve"> </w:t>
      </w:r>
      <w:r>
        <w:rPr>
          <w:rFonts w:hint="eastAsia" w:ascii="Times New Roman" w:hAnsi="Times New Roman" w:eastAsia="方正小标宋简体"/>
          <w:color w:val="000000"/>
          <w:sz w:val="44"/>
          <w:szCs w:val="44"/>
          <w:highlight w:val="none"/>
          <w:shd w:val="clear" w:color="auto" w:fill="FFFFFF"/>
          <w:lang w:val="en-US" w:eastAsia="zh-CN"/>
        </w:rPr>
        <w:t>持续向好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ascii="Times New Roman" w:hAnsi="Times New Roman" w:eastAsia="方正小标宋简体"/>
          <w:color w:val="000000"/>
          <w:sz w:val="44"/>
          <w:szCs w:val="44"/>
          <w:highlight w:val="none"/>
          <w:shd w:val="clear" w:color="auto" w:fill="FFFFFF"/>
        </w:rPr>
      </w:pPr>
      <w:r>
        <w:rPr>
          <w:rFonts w:hint="eastAsia" w:ascii="Times New Roman" w:hAnsi="Times New Roman" w:eastAsia="方正小标宋简体"/>
          <w:color w:val="000000"/>
          <w:sz w:val="44"/>
          <w:szCs w:val="44"/>
          <w:highlight w:val="none"/>
          <w:shd w:val="clear" w:color="auto" w:fill="FFFFFF"/>
          <w:lang w:val="en-US" w:eastAsia="zh-CN"/>
        </w:rPr>
        <w:t>增量政策</w:t>
      </w:r>
      <w:r>
        <w:rPr>
          <w:rFonts w:ascii="Times New Roman" w:hAnsi="Times New Roman" w:eastAsia="方正小标宋简体"/>
          <w:color w:val="000000"/>
          <w:sz w:val="44"/>
          <w:szCs w:val="44"/>
          <w:highlight w:val="none"/>
          <w:shd w:val="clear" w:color="auto" w:fill="FFFFFF"/>
        </w:rPr>
        <w:t>措施</w:t>
      </w:r>
    </w:p>
    <w:p>
      <w:pPr>
        <w:pStyle w:val="7"/>
        <w:keepNext w:val="0"/>
        <w:keepLines w:val="0"/>
        <w:pageBreakBefore w:val="0"/>
        <w:widowControl w:val="0"/>
        <w:kinsoku/>
        <w:wordWrap/>
        <w:overflowPunct/>
        <w:topLinePunct w:val="0"/>
        <w:autoSpaceDE/>
        <w:autoSpaceDN/>
        <w:bidi w:val="0"/>
        <w:adjustRightInd/>
        <w:snapToGrid/>
        <w:spacing w:before="0" w:beforeAutospacing="0" w:after="312" w:afterLines="100" w:afterAutospacing="0" w:line="560" w:lineRule="exact"/>
        <w:jc w:val="center"/>
        <w:textAlignment w:val="auto"/>
        <w:rPr>
          <w:rFonts w:ascii="Times New Roman" w:hAnsi="Times New Roman"/>
          <w:b w:val="0"/>
          <w:bCs w:val="0"/>
          <w:color w:val="000000"/>
          <w:sz w:val="34"/>
          <w:szCs w:val="34"/>
          <w:highlight w:val="none"/>
        </w:rPr>
      </w:pPr>
      <w:r>
        <w:rPr>
          <w:rFonts w:ascii="Times New Roman" w:hAnsi="Times New Roman" w:eastAsia="楷体_GB2312"/>
          <w:b w:val="0"/>
          <w:bCs w:val="0"/>
          <w:color w:val="000000"/>
          <w:sz w:val="34"/>
          <w:szCs w:val="34"/>
          <w:highlight w:val="none"/>
          <w:shd w:val="clear" w:color="auto" w:fill="FFFFFF"/>
        </w:rPr>
        <w:t>（</w:t>
      </w:r>
      <w:r>
        <w:rPr>
          <w:rFonts w:hint="eastAsia" w:ascii="Times New Roman" w:hAnsi="Times New Roman" w:eastAsia="楷体_GB2312"/>
          <w:b w:val="0"/>
          <w:bCs w:val="0"/>
          <w:color w:val="000000"/>
          <w:sz w:val="34"/>
          <w:szCs w:val="34"/>
          <w:highlight w:val="none"/>
          <w:shd w:val="clear" w:color="auto" w:fill="FFFFFF"/>
          <w:lang w:val="en-US" w:eastAsia="zh-CN"/>
        </w:rPr>
        <w:t>征求意见</w:t>
      </w:r>
      <w:r>
        <w:rPr>
          <w:rFonts w:ascii="Times New Roman" w:hAnsi="Times New Roman" w:eastAsia="楷体_GB2312"/>
          <w:b w:val="0"/>
          <w:bCs w:val="0"/>
          <w:color w:val="000000"/>
          <w:sz w:val="34"/>
          <w:szCs w:val="34"/>
          <w:highlight w:val="none"/>
          <w:shd w:val="clear" w:color="auto" w:fill="FFFFFF"/>
        </w:rPr>
        <w:t>稿）</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000000"/>
          <w:sz w:val="34"/>
          <w:szCs w:val="34"/>
          <w:highlight w:val="none"/>
          <w:shd w:val="clear" w:color="auto" w:fill="FFFFFF"/>
          <w:lang w:val="en-US" w:eastAsia="zh-CN"/>
        </w:rPr>
      </w:pPr>
      <w:r>
        <w:rPr>
          <w:rFonts w:hint="eastAsia" w:ascii="Times New Roman" w:hAnsi="Times New Roman" w:eastAsia="仿宋_GB2312" w:cs="仿宋_GB2312"/>
          <w:color w:val="000000"/>
          <w:sz w:val="34"/>
          <w:szCs w:val="34"/>
          <w:highlight w:val="none"/>
          <w:shd w:val="clear" w:color="auto" w:fill="FFFFFF"/>
        </w:rPr>
        <w:t>全面贯彻9月26日召开的中共中央政治局会议精神，依据省、市进一步推动经济以进促稳 稳中提质若干措施等政策文件，为进一步推动立山区经济发展持续向好，实现质的有效提升和量的合理增长，推动全面振兴取得新突破。依据上级相关政策扶持方向，结合立山区情实际和区</w:t>
      </w:r>
      <w:r>
        <w:rPr>
          <w:rFonts w:hint="eastAsia" w:ascii="Times New Roman" w:hAnsi="Times New Roman" w:eastAsia="仿宋_GB2312" w:cs="仿宋_GB2312"/>
          <w:color w:val="000000"/>
          <w:sz w:val="34"/>
          <w:szCs w:val="34"/>
          <w:highlight w:val="none"/>
          <w:shd w:val="clear" w:color="auto" w:fill="FFFFFF"/>
          <w:lang w:eastAsia="zh-CN"/>
        </w:rPr>
        <w:t>“</w:t>
      </w:r>
      <w:r>
        <w:rPr>
          <w:rFonts w:hint="eastAsia" w:ascii="Times New Roman" w:hAnsi="Times New Roman" w:eastAsia="仿宋_GB2312" w:cs="仿宋_GB2312"/>
          <w:color w:val="000000"/>
          <w:sz w:val="34"/>
          <w:szCs w:val="34"/>
          <w:highlight w:val="none"/>
          <w:shd w:val="clear" w:color="auto" w:fill="FFFFFF"/>
        </w:rPr>
        <w:t>十四五</w:t>
      </w:r>
      <w:r>
        <w:rPr>
          <w:rFonts w:hint="eastAsia" w:ascii="Times New Roman" w:hAnsi="Times New Roman" w:eastAsia="仿宋_GB2312" w:cs="仿宋_GB2312"/>
          <w:color w:val="000000"/>
          <w:sz w:val="34"/>
          <w:szCs w:val="34"/>
          <w:highlight w:val="none"/>
          <w:shd w:val="clear" w:color="auto" w:fill="FFFFFF"/>
          <w:lang w:eastAsia="zh-CN"/>
        </w:rPr>
        <w:t>”</w:t>
      </w:r>
      <w:r>
        <w:rPr>
          <w:rFonts w:hint="eastAsia" w:ascii="Times New Roman" w:hAnsi="Times New Roman" w:eastAsia="仿宋_GB2312" w:cs="仿宋_GB2312"/>
          <w:color w:val="000000"/>
          <w:sz w:val="34"/>
          <w:szCs w:val="34"/>
          <w:highlight w:val="none"/>
          <w:shd w:val="clear" w:color="auto" w:fill="FFFFFF"/>
        </w:rPr>
        <w:t>规划的产业发展方向，</w:t>
      </w:r>
      <w:r>
        <w:rPr>
          <w:rFonts w:hint="eastAsia" w:ascii="Times New Roman" w:hAnsi="Times New Roman" w:eastAsia="仿宋_GB2312" w:cs="仿宋_GB2312"/>
          <w:color w:val="000000"/>
          <w:sz w:val="34"/>
          <w:szCs w:val="34"/>
          <w:highlight w:val="none"/>
          <w:shd w:val="clear" w:color="auto" w:fill="FFFFFF"/>
          <w:lang w:val="en-US" w:eastAsia="zh-CN"/>
        </w:rPr>
        <w:t>聚焦</w:t>
      </w:r>
      <w:r>
        <w:rPr>
          <w:rFonts w:hint="eastAsia" w:ascii="Times New Roman" w:hAnsi="Times New Roman" w:eastAsia="仿宋_GB2312" w:cs="仿宋_GB2312"/>
          <w:color w:val="000000"/>
          <w:sz w:val="34"/>
          <w:szCs w:val="34"/>
          <w:highlight w:val="none"/>
          <w:shd w:val="clear" w:color="auto" w:fill="FFFFFF"/>
        </w:rPr>
        <w:t>钢铁深加工、装备制造、再生资源、电商等产业的</w:t>
      </w:r>
      <w:r>
        <w:rPr>
          <w:rFonts w:hint="eastAsia" w:ascii="Times New Roman" w:hAnsi="Times New Roman" w:eastAsia="仿宋_GB2312" w:cs="仿宋_GB2312"/>
          <w:color w:val="000000"/>
          <w:sz w:val="34"/>
          <w:szCs w:val="34"/>
          <w:highlight w:val="none"/>
          <w:shd w:val="clear" w:color="auto" w:fill="FFFFFF"/>
          <w:lang w:val="en-US" w:eastAsia="zh-CN"/>
        </w:rPr>
        <w:t>薄弱环节，以</w:t>
      </w:r>
      <w:r>
        <w:rPr>
          <w:rFonts w:hint="eastAsia" w:ascii="Times New Roman" w:hAnsi="Times New Roman" w:eastAsia="仿宋_GB2312" w:cs="仿宋_GB2312"/>
          <w:color w:val="000000"/>
          <w:sz w:val="34"/>
          <w:szCs w:val="34"/>
          <w:highlight w:val="none"/>
          <w:shd w:val="clear" w:color="auto" w:fill="FFFFFF"/>
        </w:rPr>
        <w:t>产业创新、集群发展、产业链协作配套</w:t>
      </w:r>
      <w:r>
        <w:rPr>
          <w:rFonts w:hint="eastAsia" w:ascii="Times New Roman" w:hAnsi="Times New Roman" w:eastAsia="仿宋_GB2312" w:cs="仿宋_GB2312"/>
          <w:color w:val="000000"/>
          <w:sz w:val="34"/>
          <w:szCs w:val="34"/>
          <w:highlight w:val="none"/>
          <w:shd w:val="clear" w:color="auto" w:fill="FFFFFF"/>
          <w:lang w:val="en-US" w:eastAsia="zh-CN"/>
        </w:rPr>
        <w:t>和</w:t>
      </w:r>
      <w:r>
        <w:rPr>
          <w:rFonts w:hint="eastAsia" w:ascii="Times New Roman" w:hAnsi="Times New Roman" w:eastAsia="仿宋_GB2312" w:cs="仿宋_GB2312"/>
          <w:color w:val="000000"/>
          <w:sz w:val="34"/>
          <w:szCs w:val="34"/>
          <w:highlight w:val="none"/>
          <w:shd w:val="clear" w:color="auto" w:fill="FFFFFF"/>
        </w:rPr>
        <w:t>闲置资产盘活</w:t>
      </w:r>
      <w:r>
        <w:rPr>
          <w:rFonts w:hint="eastAsia" w:ascii="Times New Roman" w:hAnsi="Times New Roman" w:eastAsia="仿宋_GB2312" w:cs="仿宋_GB2312"/>
          <w:color w:val="000000"/>
          <w:sz w:val="34"/>
          <w:szCs w:val="34"/>
          <w:highlight w:val="none"/>
          <w:shd w:val="clear" w:color="auto" w:fill="FFFFFF"/>
          <w:lang w:val="en-US" w:eastAsia="zh-CN"/>
        </w:rPr>
        <w:t>为重点</w:t>
      </w:r>
      <w:r>
        <w:rPr>
          <w:rFonts w:hint="eastAsia" w:ascii="Times New Roman" w:hAnsi="Times New Roman" w:eastAsia="仿宋_GB2312" w:cs="仿宋_GB2312"/>
          <w:color w:val="000000"/>
          <w:sz w:val="34"/>
          <w:szCs w:val="34"/>
          <w:highlight w:val="none"/>
          <w:shd w:val="clear" w:color="auto" w:fill="FFFFFF"/>
        </w:rPr>
        <w:t>，</w:t>
      </w:r>
      <w:r>
        <w:rPr>
          <w:rFonts w:hint="eastAsia" w:ascii="Times New Roman" w:hAnsi="Times New Roman" w:eastAsia="仿宋_GB2312" w:cs="仿宋_GB2312"/>
          <w:color w:val="000000"/>
          <w:sz w:val="34"/>
          <w:szCs w:val="34"/>
          <w:highlight w:val="none"/>
          <w:shd w:val="clear" w:color="auto" w:fill="FFFFFF"/>
          <w:lang w:val="en-US" w:eastAsia="zh-CN"/>
        </w:rPr>
        <w:t>提升立山区产业核心竞争力，引导各类市场主体在公平市场竞争中实现高质量发展，特</w:t>
      </w:r>
      <w:r>
        <w:rPr>
          <w:rFonts w:hint="eastAsia" w:ascii="Times New Roman" w:hAnsi="Times New Roman" w:eastAsia="仿宋_GB2312" w:cs="仿宋_GB2312"/>
          <w:color w:val="000000"/>
          <w:sz w:val="34"/>
          <w:szCs w:val="34"/>
          <w:highlight w:val="none"/>
          <w:shd w:val="clear" w:color="auto" w:fill="FFFFFF"/>
        </w:rPr>
        <w:t>制定如下</w:t>
      </w:r>
      <w:r>
        <w:rPr>
          <w:rFonts w:hint="eastAsia" w:ascii="Times New Roman" w:hAnsi="Times New Roman" w:eastAsia="仿宋_GB2312" w:cs="仿宋_GB2312"/>
          <w:color w:val="000000"/>
          <w:sz w:val="34"/>
          <w:szCs w:val="34"/>
          <w:highlight w:val="none"/>
          <w:shd w:val="clear" w:color="auto" w:fill="FFFFFF"/>
          <w:lang w:val="en-US" w:eastAsia="zh-CN"/>
        </w:rPr>
        <w:t>措施</w:t>
      </w:r>
      <w:r>
        <w:rPr>
          <w:rFonts w:hint="eastAsia" w:ascii="Times New Roman" w:hAnsi="Times New Roman" w:eastAsia="仿宋_GB2312" w:cs="仿宋_GB2312"/>
          <w:color w:val="000000"/>
          <w:sz w:val="34"/>
          <w:szCs w:val="34"/>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黑体" w:cs="黑体"/>
          <w:sz w:val="34"/>
          <w:szCs w:val="34"/>
          <w:lang w:val="en-US" w:eastAsia="zh-CN"/>
        </w:rPr>
      </w:pPr>
      <w:r>
        <w:rPr>
          <w:rFonts w:hint="eastAsia" w:ascii="Times New Roman" w:hAnsi="Times New Roman" w:eastAsia="黑体" w:cs="黑体"/>
          <w:sz w:val="34"/>
          <w:szCs w:val="34"/>
          <w:lang w:val="en-US" w:eastAsia="zh-CN"/>
        </w:rPr>
        <w:t>一、支持产业创新和集群发展</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仿宋_GB2312"/>
          <w:sz w:val="34"/>
          <w:szCs w:val="34"/>
          <w:lang w:eastAsia="zh-CN"/>
        </w:rPr>
      </w:pPr>
      <w:r>
        <w:rPr>
          <w:rFonts w:hint="eastAsia" w:ascii="Times New Roman" w:hAnsi="Times New Roman" w:eastAsia="仿宋_GB2312"/>
          <w:sz w:val="34"/>
          <w:szCs w:val="34"/>
          <w:lang w:eastAsia="zh-CN"/>
        </w:rPr>
        <w:t>1.推动工业设备更新和改造升级。支持工业企业实施高端化、智能化、绿色化改造，对当年新增形成有效投资的项目，按照实际投资额的1%支持比例进行补助，单个企业补助资金额度不超过5万元。</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工信局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金泽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联系电话：</w:t>
      </w:r>
      <w:r>
        <w:rPr>
          <w:rFonts w:hint="eastAsia" w:ascii="Times New Roman" w:hAnsi="Times New Roman" w:eastAsia="仿宋_GB2312" w:cs="仿宋_GB2312"/>
          <w:color w:val="auto"/>
          <w:sz w:val="34"/>
          <w:szCs w:val="34"/>
          <w:highlight w:val="none"/>
          <w:shd w:val="clear" w:color="auto" w:fill="FFFFFF"/>
          <w:lang w:val="en-US" w:eastAsia="zh-CN"/>
        </w:rPr>
        <w:t>8050117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申请资金所需要件：资金申请报告，项目合同及发票等证明材料</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适用的市场主体：公司、非公司企业法人及其分支机构、个人独资企业、合伙企业及其分支机构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仿宋_GB2312"/>
          <w:sz w:val="34"/>
          <w:szCs w:val="34"/>
          <w:lang w:val="en-US" w:eastAsia="zh-CN"/>
        </w:rPr>
      </w:pPr>
      <w:r>
        <w:rPr>
          <w:rFonts w:hint="eastAsia" w:ascii="Times New Roman" w:hAnsi="Times New Roman" w:eastAsia="仿宋_GB2312"/>
          <w:sz w:val="34"/>
          <w:szCs w:val="34"/>
          <w:lang w:val="en-US" w:eastAsia="zh-CN"/>
        </w:rPr>
        <w:t>2.在政策扶持期内实现升规入统的工业企业，一次性给予1万元奖励；聚焦钢铁深加工产业集群发展，升规入统企业形成有效投资5亿以上且年产值达到3亿元及以上的，给予年产值的0.3%作为奖励资金，最高奖励额度不超过200万。</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工信局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金泽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联系电话：</w:t>
      </w:r>
      <w:r>
        <w:rPr>
          <w:rFonts w:hint="eastAsia" w:ascii="Times New Roman" w:hAnsi="Times New Roman" w:eastAsia="仿宋_GB2312" w:cs="仿宋_GB2312"/>
          <w:color w:val="auto"/>
          <w:sz w:val="34"/>
          <w:szCs w:val="34"/>
          <w:highlight w:val="none"/>
          <w:shd w:val="clear" w:color="auto" w:fill="FFFFFF"/>
          <w:lang w:val="en-US" w:eastAsia="zh-CN"/>
        </w:rPr>
        <w:t>8050117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申请资金所需要件：“小升规”企业奖励申报表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适用的市场主体：公司、非公司企业法人及其分支机构、个人独资企业、合伙企业及其分支机构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仿宋_GB2312"/>
          <w:sz w:val="34"/>
          <w:szCs w:val="34"/>
          <w:lang w:val="en-US" w:eastAsia="zh-CN"/>
        </w:rPr>
      </w:pPr>
      <w:r>
        <w:rPr>
          <w:rFonts w:hint="eastAsia" w:ascii="Times New Roman" w:hAnsi="Times New Roman" w:eastAsia="仿宋_GB2312"/>
          <w:sz w:val="34"/>
          <w:szCs w:val="34"/>
          <w:lang w:val="en-US" w:eastAsia="zh-CN"/>
        </w:rPr>
        <w:t>3.</w:t>
      </w:r>
      <w:r>
        <w:rPr>
          <w:rFonts w:hint="eastAsia" w:ascii="Times New Roman" w:hAnsi="Times New Roman" w:eastAsia="仿宋_GB2312"/>
          <w:color w:val="auto"/>
          <w:sz w:val="34"/>
          <w:szCs w:val="34"/>
          <w:lang w:val="en-US" w:eastAsia="zh-CN"/>
        </w:rPr>
        <w:t>对规模以上工业企业，全</w:t>
      </w:r>
      <w:r>
        <w:rPr>
          <w:rFonts w:hint="eastAsia" w:ascii="Times New Roman" w:hAnsi="Times New Roman" w:eastAsia="仿宋_GB2312"/>
          <w:sz w:val="34"/>
          <w:szCs w:val="34"/>
          <w:lang w:val="en-US" w:eastAsia="zh-CN"/>
        </w:rPr>
        <w:t>年产值增量达到1亿元及以上的，给予3万元奖励资金；全年产值增量达到5000万元以上的，给予1万元奖励资金。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工信局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金泽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联系电话：</w:t>
      </w:r>
      <w:r>
        <w:rPr>
          <w:rFonts w:hint="eastAsia" w:ascii="Times New Roman" w:hAnsi="Times New Roman" w:eastAsia="仿宋_GB2312" w:cs="仿宋_GB2312"/>
          <w:color w:val="auto"/>
          <w:sz w:val="34"/>
          <w:szCs w:val="34"/>
          <w:highlight w:val="none"/>
          <w:shd w:val="clear" w:color="auto" w:fill="FFFFFF"/>
          <w:lang w:val="en-US" w:eastAsia="zh-CN"/>
        </w:rPr>
        <w:t>8050117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申请资金所需要件：产值报表、产值明细、财务报表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适用的市场主体：公司、非公司企业法人及其分支机构、个人独资企业、合伙企业及其分支机构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仿宋_GB2312"/>
          <w:color w:val="auto"/>
          <w:sz w:val="34"/>
          <w:szCs w:val="34"/>
          <w:lang w:val="en-US" w:eastAsia="zh-CN"/>
        </w:rPr>
      </w:pPr>
      <w:r>
        <w:rPr>
          <w:rFonts w:hint="eastAsia" w:ascii="Times New Roman" w:hAnsi="Times New Roman" w:eastAsia="仿宋_GB2312"/>
          <w:color w:val="auto"/>
          <w:sz w:val="34"/>
          <w:szCs w:val="34"/>
          <w:lang w:val="en-US" w:eastAsia="zh-CN"/>
        </w:rPr>
        <w:t>4.对域内批发业企业，年销售额达到10亿元及以上的，在企业盈利状态下，按年销售额的0.4%给予奖励，最高不超过500万元。</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商务局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付煜</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联系电话：6600517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申请资金所需要件：企业财务报表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适用的市场主体：公司、非公司企业法人及其分支机构、个人独资企业、合伙企业及其分支机构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黑体" w:cs="黑体"/>
          <w:color w:val="auto"/>
          <w:kern w:val="2"/>
          <w:sz w:val="34"/>
          <w:szCs w:val="34"/>
          <w:highlight w:val="none"/>
          <w:lang w:val="en-US" w:eastAsia="zh-CN" w:bidi="ar-SA"/>
        </w:rPr>
      </w:pPr>
      <w:r>
        <w:rPr>
          <w:rFonts w:hint="eastAsia" w:eastAsia="黑体" w:cs="黑体"/>
          <w:color w:val="auto"/>
          <w:kern w:val="2"/>
          <w:sz w:val="34"/>
          <w:szCs w:val="34"/>
          <w:highlight w:val="none"/>
          <w:lang w:val="en-US" w:eastAsia="zh-CN" w:bidi="ar-SA"/>
        </w:rPr>
        <w:t>二</w:t>
      </w:r>
      <w:r>
        <w:rPr>
          <w:rFonts w:hint="eastAsia" w:ascii="Times New Roman" w:hAnsi="Times New Roman" w:eastAsia="黑体" w:cs="黑体"/>
          <w:color w:val="auto"/>
          <w:kern w:val="2"/>
          <w:sz w:val="34"/>
          <w:szCs w:val="34"/>
          <w:highlight w:val="none"/>
          <w:lang w:val="en-US" w:eastAsia="zh-CN" w:bidi="ar-SA"/>
        </w:rPr>
        <w:t>、降低工业项目用地成本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sz w:val="34"/>
          <w:szCs w:val="34"/>
          <w:lang w:val="en-US" w:eastAsia="zh-CN"/>
        </w:rPr>
      </w:pPr>
      <w:r>
        <w:rPr>
          <w:rFonts w:hint="eastAsia" w:ascii="Times New Roman" w:hAnsi="Times New Roman" w:eastAsia="仿宋_GB2312"/>
          <w:sz w:val="34"/>
          <w:szCs w:val="34"/>
          <w:lang w:val="en-US" w:eastAsia="zh-CN"/>
        </w:rPr>
        <w:t>5.对我区产业结构调整起到强链、延链、补链作用，或能够填补行业空白的工业项目，可享受工业标准地出让及弹性年期出让优惠</w:t>
      </w:r>
      <w:r>
        <w:rPr>
          <w:rFonts w:hint="default" w:ascii="Times New Roman" w:hAnsi="Times New Roman" w:eastAsia="仿宋_GB2312"/>
          <w:sz w:val="34"/>
          <w:szCs w:val="34"/>
          <w:lang w:val="en-US" w:eastAsia="zh-CN"/>
        </w:rPr>
        <w:t>。</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工信局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金泽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联系电话：</w:t>
      </w:r>
      <w:r>
        <w:rPr>
          <w:rFonts w:hint="eastAsia" w:ascii="Times New Roman" w:hAnsi="Times New Roman" w:eastAsia="仿宋_GB2312" w:cs="仿宋_GB2312"/>
          <w:color w:val="auto"/>
          <w:sz w:val="34"/>
          <w:szCs w:val="34"/>
          <w:highlight w:val="none"/>
          <w:shd w:val="clear" w:color="auto" w:fill="FFFFFF"/>
          <w:lang w:val="en-US" w:eastAsia="zh-CN"/>
        </w:rPr>
        <w:t>8050117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申请资金所需要件：标准地出让合同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适用的市场主体：公司、非公司企业法人及其分支机构、个人独资企业、合伙企业及其分支机构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eastAsia" w:ascii="Times New Roman" w:hAnsi="Times New Roman" w:eastAsia="黑体" w:cs="黑体"/>
          <w:color w:val="auto"/>
          <w:kern w:val="2"/>
          <w:sz w:val="34"/>
          <w:szCs w:val="34"/>
          <w:highlight w:val="none"/>
          <w:lang w:val="en-US" w:eastAsia="zh-CN" w:bidi="ar-SA"/>
        </w:rPr>
      </w:pPr>
      <w:r>
        <w:rPr>
          <w:rFonts w:hint="eastAsia" w:eastAsia="黑体" w:cs="黑体"/>
          <w:color w:val="auto"/>
          <w:kern w:val="2"/>
          <w:sz w:val="34"/>
          <w:szCs w:val="34"/>
          <w:highlight w:val="none"/>
          <w:lang w:val="en-US" w:eastAsia="zh-CN" w:bidi="ar-SA"/>
        </w:rPr>
        <w:t>三</w:t>
      </w:r>
      <w:r>
        <w:rPr>
          <w:rFonts w:hint="eastAsia" w:ascii="Times New Roman" w:hAnsi="Times New Roman" w:eastAsia="黑体" w:cs="黑体"/>
          <w:color w:val="auto"/>
          <w:kern w:val="2"/>
          <w:sz w:val="34"/>
          <w:szCs w:val="34"/>
          <w:highlight w:val="none"/>
          <w:lang w:val="en-US" w:eastAsia="zh-CN" w:bidi="ar-SA"/>
        </w:rPr>
        <w:t>、扶持资源综合利用产业发展</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hint="eastAsia" w:ascii="Times New Roman" w:hAnsi="Times New Roman" w:eastAsia="仿宋_GB2312" w:cs="仿宋_GB2312"/>
          <w:color w:val="auto"/>
          <w:sz w:val="34"/>
          <w:szCs w:val="34"/>
          <w:lang w:val="en-US" w:eastAsia="zh-CN"/>
        </w:rPr>
      </w:pPr>
      <w:r>
        <w:rPr>
          <w:rFonts w:hint="eastAsia" w:ascii="Times New Roman" w:hAnsi="Times New Roman" w:eastAsia="仿宋_GB2312" w:cs="仿宋_GB2312"/>
          <w:color w:val="auto"/>
          <w:sz w:val="34"/>
          <w:szCs w:val="34"/>
          <w:lang w:val="en-US" w:eastAsia="zh-CN"/>
        </w:rPr>
        <w:t>6.有序实施可再生能源替代。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hint="eastAsia" w:ascii="Times New Roman" w:hAnsi="Times New Roman" w:eastAsia="仿宋_GB2312"/>
          <w:sz w:val="34"/>
          <w:szCs w:val="34"/>
          <w:lang w:val="en-US" w:eastAsia="zh-CN"/>
        </w:rPr>
      </w:pPr>
      <w:r>
        <w:rPr>
          <w:rFonts w:hint="eastAsia" w:ascii="Times New Roman" w:hAnsi="Times New Roman" w:eastAsia="仿宋_GB2312" w:cs="仿宋_GB2312"/>
          <w:color w:val="auto"/>
          <w:sz w:val="34"/>
          <w:szCs w:val="34"/>
          <w:lang w:val="en-US" w:eastAsia="zh-CN"/>
        </w:rPr>
        <w:t>（1）实施增量替代。</w:t>
      </w:r>
      <w:r>
        <w:rPr>
          <w:rFonts w:hint="eastAsia" w:ascii="Times New Roman" w:hAnsi="Times New Roman" w:eastAsia="仿宋_GB2312"/>
          <w:sz w:val="34"/>
          <w:szCs w:val="34"/>
          <w:lang w:val="en-US" w:eastAsia="zh-CN"/>
        </w:rPr>
        <w:t>设立资源综合利用产业扶持资金5000万元，重点加快推进废钢等再生资源循环利用，推动再生资源产业发展，重点支持域内有助于钢铁行业节能降碳的企业，助力工业经济稳增长。</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工信局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金泽</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联系电话：</w:t>
      </w:r>
      <w:r>
        <w:rPr>
          <w:rFonts w:hint="eastAsia" w:ascii="Times New Roman" w:hAnsi="Times New Roman" w:eastAsia="仿宋_GB2312" w:cs="仿宋_GB2312"/>
          <w:color w:val="auto"/>
          <w:sz w:val="34"/>
          <w:szCs w:val="34"/>
          <w:highlight w:val="none"/>
          <w:shd w:val="clear" w:color="auto" w:fill="FFFFFF"/>
          <w:lang w:val="en-US" w:eastAsia="zh-CN"/>
        </w:rPr>
        <w:t>8050117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申请资金所需要件：企业财务报表</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适用的市场主体：公司、非公司企业法人及其分支机构、个人独资企业、合伙企业及其分支机构</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hint="eastAsia" w:ascii="Times New Roman" w:hAnsi="Times New Roman" w:eastAsia="仿宋_GB2312" w:cs="仿宋_GB2312"/>
          <w:color w:val="auto"/>
          <w:sz w:val="34"/>
          <w:szCs w:val="34"/>
          <w:lang w:val="en-US" w:eastAsia="zh-CN"/>
        </w:rPr>
      </w:pPr>
      <w:r>
        <w:rPr>
          <w:rFonts w:hint="eastAsia" w:ascii="Times New Roman" w:hAnsi="Times New Roman" w:eastAsia="仿宋_GB2312" w:cs="仿宋_GB2312"/>
          <w:color w:val="auto"/>
          <w:sz w:val="34"/>
          <w:szCs w:val="34"/>
          <w:lang w:val="en-US" w:eastAsia="zh-CN"/>
        </w:rPr>
        <w:t>（2）实施存量替代。</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hint="eastAsia" w:ascii="Times New Roman" w:hAnsi="Times New Roman" w:eastAsia="仿宋_GB2312" w:cs="仿宋_GB2312"/>
          <w:color w:val="auto"/>
          <w:sz w:val="34"/>
          <w:szCs w:val="34"/>
          <w:lang w:val="en-US" w:eastAsia="zh-CN"/>
        </w:rPr>
      </w:pPr>
      <w:r>
        <w:rPr>
          <w:rFonts w:hint="eastAsia" w:ascii="Times New Roman" w:hAnsi="Times New Roman" w:eastAsia="仿宋_GB2312" w:cs="仿宋_GB2312"/>
          <w:color w:val="auto"/>
          <w:sz w:val="34"/>
          <w:szCs w:val="34"/>
          <w:lang w:val="en-US" w:eastAsia="zh-CN"/>
        </w:rPr>
        <w:t>对于制造、改装新能源工程车辆的企业，每销售一台汽车给予1万元补贴扶持资金，最高不超过200万元；对于利用新能源汽车替代传统燃油汽车开展物流运输的企业，按照年度节约碳排放量，给予每节约一吨碳排放补贴12元，单户企业最高不超过300万元。</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经合局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英译夫</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联系电话：</w:t>
      </w:r>
      <w:r>
        <w:rPr>
          <w:rFonts w:hint="eastAsia" w:ascii="Times New Roman" w:hAnsi="Times New Roman" w:eastAsia="仿宋_GB2312" w:cs="仿宋_GB2312"/>
          <w:color w:val="auto"/>
          <w:sz w:val="34"/>
          <w:szCs w:val="34"/>
          <w:highlight w:val="none"/>
          <w:shd w:val="clear" w:color="auto" w:fill="FFFFFF"/>
          <w:lang w:val="en-US" w:eastAsia="zh-CN"/>
        </w:rPr>
        <w:t>6616033</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申请资金所需要件：企业资质证明（营业执照、销售许可证）；企业纳税证明；销售数据及凭证证明（销售合同、销售台账、销售车辆发票）；物流车辆运营公里数凭证</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仿宋_GB2312" w:cs="仿宋_GB2312"/>
          <w:color w:val="auto"/>
          <w:sz w:val="34"/>
          <w:szCs w:val="34"/>
          <w:lang w:val="en-US" w:eastAsia="zh-CN"/>
        </w:rPr>
      </w:pPr>
      <w:r>
        <w:rPr>
          <w:rFonts w:hint="eastAsia" w:eastAsia="黑体" w:cs="黑体"/>
          <w:color w:val="auto"/>
          <w:kern w:val="2"/>
          <w:sz w:val="34"/>
          <w:szCs w:val="34"/>
          <w:highlight w:val="none"/>
          <w:lang w:val="en-US" w:eastAsia="zh-CN" w:bidi="ar-SA"/>
        </w:rPr>
        <w:t>四</w:t>
      </w:r>
      <w:r>
        <w:rPr>
          <w:rFonts w:hint="eastAsia" w:ascii="Times New Roman" w:hAnsi="Times New Roman" w:eastAsia="黑体" w:cs="黑体"/>
          <w:color w:val="auto"/>
          <w:kern w:val="2"/>
          <w:sz w:val="34"/>
          <w:szCs w:val="34"/>
          <w:highlight w:val="none"/>
          <w:lang w:val="en-US" w:eastAsia="zh-CN" w:bidi="ar-SA"/>
        </w:rPr>
        <w:t>、支持大宗固体废弃物综合利用</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jc w:val="left"/>
        <w:textAlignment w:val="auto"/>
        <w:rPr>
          <w:rFonts w:hint="eastAsia" w:ascii="Times New Roman" w:hAnsi="Times New Roman" w:eastAsia="仿宋_GB2312" w:cs="仿宋_GB2312"/>
          <w:color w:val="auto"/>
          <w:sz w:val="34"/>
          <w:szCs w:val="34"/>
          <w:lang w:val="en-US" w:eastAsia="zh-CN"/>
        </w:rPr>
      </w:pPr>
      <w:r>
        <w:rPr>
          <w:rFonts w:hint="eastAsia" w:ascii="Times New Roman" w:hAnsi="Times New Roman" w:eastAsia="仿宋_GB2312" w:cs="仿宋_GB2312"/>
          <w:color w:val="auto"/>
          <w:sz w:val="34"/>
          <w:szCs w:val="34"/>
          <w:lang w:val="en-US" w:eastAsia="zh-CN"/>
        </w:rPr>
        <w:t>7.对于高效、无害化处理建筑垃圾、尾矿，且年处理量在10万吨以上的企业，给予每吨10元的资金补贴，每年最高不超过300万元。</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经合局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英译夫</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联系电话：</w:t>
      </w:r>
      <w:r>
        <w:rPr>
          <w:rFonts w:hint="eastAsia" w:ascii="Times New Roman" w:hAnsi="Times New Roman" w:eastAsia="仿宋_GB2312" w:cs="仿宋_GB2312"/>
          <w:color w:val="auto"/>
          <w:sz w:val="34"/>
          <w:szCs w:val="34"/>
          <w:highlight w:val="none"/>
          <w:shd w:val="clear" w:color="auto" w:fill="FFFFFF"/>
          <w:lang w:val="en-US" w:eastAsia="zh-CN"/>
        </w:rPr>
        <w:t>6616033</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申请资金所需要件：企业资质证明（营业执照）；企业纳税证明；处理数据及凭证证明（建筑垃圾或尾矿处理量相关数据）</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黑体" w:cs="黑体"/>
          <w:color w:val="auto"/>
          <w:kern w:val="2"/>
          <w:sz w:val="34"/>
          <w:szCs w:val="34"/>
          <w:highlight w:val="none"/>
          <w:lang w:val="en-US" w:eastAsia="zh-CN" w:bidi="ar-SA"/>
        </w:rPr>
      </w:pPr>
      <w:r>
        <w:rPr>
          <w:rFonts w:hint="eastAsia" w:ascii="Times New Roman" w:hAnsi="Times New Roman" w:eastAsia="黑体" w:cs="黑体"/>
          <w:color w:val="auto"/>
          <w:kern w:val="2"/>
          <w:sz w:val="34"/>
          <w:szCs w:val="34"/>
          <w:highlight w:val="none"/>
          <w:lang w:val="en-US" w:eastAsia="zh-CN" w:bidi="ar-SA"/>
        </w:rPr>
        <w:t>五、激励商贸流通领域经营主体培育和发展</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8.培育壮大商贸流通业市场主体。对当年注册成立并达限纳统的商贸流通业企业，每家给予1万元奖励。</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商务局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责任人：张巍</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联系电话：6600517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申请资金所需要件：当年注册的营业执照及达限纳统证明</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适用的市场主体：法人企业、个体</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9.激励重点商贸流通业企业发展。对在库限额以上批发企业，月度销售额在2000万元以上、5000万元以下的，季度增速在10-20%之间的，给予1.5万元奖励；季度增速在20%以上的，给予3万元奖励。对在库限额以上批发企业，月度销售额在5000万元以上的，季度增速在10-20%之间的，给予3万元奖励；季度增速超过20%的，给予5万元奖励。符合多种奖励条件的，取金额最高值，政策期限内获得奖励累计不超过20万元。</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商务局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责任人：张巍</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联系电话：6600517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申请资金所需要件：企业月度销售额报表及同期数据、企业季度销售额报表及同期数据</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适用的市场主体：法人企业</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10.扶持立山区电商产业集群式发展。对于年销售额超过500万，且按照办公面积计算，每平方米销售额超过25万的电商企业，提供鞍山电商基地（立山）的免费办公场地支持；对于由集团或公司总部授权并在立山区注册的电商服务商等平台类公司，提供2000平方米以下的鞍山电商基地（立山）的免费办公场地支持；对在年内实现销售额达到1000万以上、2000万以下规模的电商企业，在免费提供办公场地支持的情况下，给予1万元的资金扶持，年内实现销售额1000万后，每增长1000万，给予1万元的资金扶持，单个企业最高奖励额不超过80万元；对于自行举办双选会、招商会、大型线下促销活动的电商企业，按照邀请客商人数计算，邀请客商30人以上的，给予2万元资金补贴；鼓励电商企业举办直播电商创业就业培训，根据线下培训人数达到50人以上，给予5000元资金作为培训补贴，达到100人以上，给予1万元资金作为培训补贴。</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商务局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责任人：张巍</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联系电话：6600517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申请资金所需要件：销售额增长证明材料，租赁或物业协议，会议、培训、活动的各项方案、会议、培训、活动涉及租赁场地的协议及付款凭证、影像资料、签到单</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适用的市场主体：法人企业、个体</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b w:val="0"/>
          <w:bCs w:val="0"/>
          <w:color w:val="auto"/>
          <w:sz w:val="34"/>
          <w:szCs w:val="34"/>
          <w:lang w:val="en-US" w:eastAsia="zh-CN"/>
        </w:rPr>
      </w:pPr>
      <w:r>
        <w:rPr>
          <w:rFonts w:hint="eastAsia" w:ascii="Times New Roman" w:hAnsi="Times New Roman" w:eastAsia="仿宋_GB2312" w:cs="仿宋_GB2312"/>
          <w:b w:val="0"/>
          <w:bCs w:val="0"/>
          <w:color w:val="auto"/>
          <w:sz w:val="34"/>
          <w:szCs w:val="34"/>
          <w:lang w:val="en-US" w:eastAsia="zh-CN"/>
        </w:rPr>
        <w:t>11.对在库2年以上的限额以上住宿和餐饮企业，在政策期限内，餐饮企业季度营业额增量在100万以上的，每家给予2万元奖励。每年获得奖励累计不超过8万元。</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w:t>
      </w:r>
      <w:r>
        <w:rPr>
          <w:rFonts w:hint="eastAsia" w:ascii="Times New Roman" w:hAnsi="Times New Roman" w:eastAsia="仿宋_GB2312" w:cs="仿宋_GB2312"/>
          <w:color w:val="auto"/>
          <w:sz w:val="34"/>
          <w:szCs w:val="34"/>
          <w:highlight w:val="none"/>
          <w:shd w:val="clear" w:color="auto" w:fill="FFFFFF"/>
          <w:lang w:val="en-US" w:eastAsia="zh-CN"/>
        </w:rPr>
        <w:t>商务局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责任人：张巍</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联系电话：6600517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申请资金所需要件：企业季度销售额报表及同期数据、在库证明</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适用的市场主体：法人企业、个体</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黑体" w:cs="黑体"/>
          <w:color w:val="auto"/>
          <w:sz w:val="34"/>
          <w:szCs w:val="34"/>
          <w:highlight w:val="none"/>
          <w:shd w:val="clear" w:color="auto" w:fill="FFFFFF"/>
          <w:lang w:val="en-US" w:eastAsia="zh-CN"/>
        </w:rPr>
        <w:t>六</w:t>
      </w:r>
      <w:r>
        <w:rPr>
          <w:rFonts w:hint="eastAsia" w:ascii="Times New Roman" w:hAnsi="Times New Roman" w:eastAsia="黑体" w:cs="黑体"/>
          <w:color w:val="auto"/>
          <w:sz w:val="34"/>
          <w:szCs w:val="34"/>
          <w:highlight w:val="none"/>
          <w:shd w:val="clear" w:color="auto" w:fill="FFFFFF"/>
        </w:rPr>
        <w:t>、加大存量资产盘活力度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12.支持装备制造产业发展。对于租赁区级闲置资产储备库中厂房的装备制造类企业，满足租赁面积1万平及以上的，按照50元/平给予一次性租赁补贴，补贴资金最高不超过50万元，对于租赁期超过5年，且租赁期未转租的，企业竣工投产后，合同租赁期末年给予补贴资金兑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单位：区工信局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rPr>
        <w:t>责任人：</w:t>
      </w:r>
      <w:r>
        <w:rPr>
          <w:rFonts w:hint="eastAsia" w:ascii="Times New Roman" w:hAnsi="Times New Roman" w:eastAsia="仿宋_GB2312" w:cs="仿宋_GB2312"/>
          <w:color w:val="auto"/>
          <w:sz w:val="34"/>
          <w:szCs w:val="34"/>
          <w:highlight w:val="none"/>
          <w:shd w:val="clear" w:color="auto" w:fill="FFFFFF"/>
          <w:lang w:val="en-US" w:eastAsia="zh-CN"/>
        </w:rPr>
        <w:t>金泽</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联系电话：8050117</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申请资金所需要件：租赁合同</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适用的市场主体：公司、非公司企业法人及其分支机构、个人独资企业、合伙企业及其分支机构</w:t>
      </w:r>
    </w:p>
    <w:p>
      <w:pPr>
        <w:pStyle w:val="11"/>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推动商业集群发展，打造特色餐饮街区，促进商务服务业规模壮大发展。对于租赁区级闲置资产储备库中的门店，用于经营餐饮类的企业，满足租赁面积200平及以上的，租赁期超过5年，且租赁期未转租的，企业经营产生实际效益后，给予</w:t>
      </w:r>
      <w:r>
        <w:rPr>
          <w:rFonts w:hint="default" w:ascii="Times New Roman" w:hAnsi="Times New Roman" w:eastAsia="仿宋_GB2312" w:cs="仿宋_GB2312"/>
          <w:color w:val="auto"/>
          <w:sz w:val="34"/>
          <w:szCs w:val="34"/>
          <w:highlight w:val="none"/>
          <w:shd w:val="clear" w:color="auto" w:fill="FFFFFF"/>
          <w:lang w:val="en-US" w:eastAsia="zh-CN"/>
        </w:rPr>
        <w:t>2</w:t>
      </w:r>
      <w:r>
        <w:rPr>
          <w:rFonts w:hint="eastAsia" w:ascii="Times New Roman" w:hAnsi="Times New Roman" w:eastAsia="仿宋_GB2312" w:cs="仿宋_GB2312"/>
          <w:color w:val="auto"/>
          <w:sz w:val="34"/>
          <w:szCs w:val="34"/>
          <w:highlight w:val="none"/>
          <w:shd w:val="clear" w:color="auto" w:fill="FFFFFF"/>
          <w:lang w:val="en-US" w:eastAsia="zh-CN"/>
        </w:rPr>
        <w:t>00元/平一次性租赁补贴，单户租赁企业补贴资金最高不超过10万元，合同租赁期末年给予补贴资金兑现。</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对于租赁区级闲置资产储备库中的门店，用于经营商务服务类的企业，满足租赁面积1500平及以上的，租赁期超过5年，且租赁期未转租的，企业经营产生实际效益后，合同租赁期末年给予补贴资金兑现，补贴资金不超过实际年租金。</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责任</w:t>
      </w:r>
      <w:r>
        <w:rPr>
          <w:rFonts w:hint="eastAsia" w:ascii="Times New Roman" w:hAnsi="Times New Roman" w:eastAsia="仿宋_GB2312" w:cs="仿宋_GB2312"/>
          <w:color w:val="auto"/>
          <w:sz w:val="34"/>
          <w:szCs w:val="34"/>
          <w:highlight w:val="none"/>
          <w:shd w:val="clear" w:color="auto" w:fill="FFFFFF"/>
          <w:lang w:val="en-US" w:eastAsia="zh-CN"/>
        </w:rPr>
        <w:t>及兑现</w:t>
      </w:r>
      <w:r>
        <w:rPr>
          <w:rFonts w:hint="eastAsia" w:ascii="Times New Roman" w:hAnsi="Times New Roman" w:eastAsia="仿宋_GB2312" w:cs="仿宋_GB2312"/>
          <w:color w:val="auto"/>
          <w:sz w:val="34"/>
          <w:szCs w:val="34"/>
          <w:highlight w:val="none"/>
          <w:shd w:val="clear" w:color="auto" w:fill="FFFFFF"/>
        </w:rPr>
        <w:t>单位：区经合局</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责任人：陈硕</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rPr>
      </w:pPr>
      <w:r>
        <w:rPr>
          <w:rFonts w:hint="eastAsia" w:ascii="Times New Roman" w:hAnsi="Times New Roman" w:eastAsia="仿宋_GB2312" w:cs="仿宋_GB2312"/>
          <w:color w:val="auto"/>
          <w:sz w:val="34"/>
          <w:szCs w:val="34"/>
          <w:highlight w:val="none"/>
          <w:shd w:val="clear" w:color="auto" w:fill="FFFFFF"/>
        </w:rPr>
        <w:t>联系电话：6604230</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申请资金所需要件：租赁资质证明（租赁方为企业要提供营业执照、组织机构代码证，租赁方为个人要提供身份证，承租方要提供身份证）；租赁证明（承租方要提供不动产产权证明、租赁合同）；企业纳税证明（租赁方开始经营后依法纳税相关凭证）</w:t>
      </w:r>
    </w:p>
    <w:p>
      <w:pPr>
        <w:pStyle w:val="11"/>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适用的市场主体：公司、非公司企业法人及其分支机构、个体工商户</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color w:val="auto"/>
          <w:sz w:val="34"/>
          <w:szCs w:val="34"/>
          <w:highlight w:val="none"/>
          <w:shd w:val="clear" w:color="auto" w:fill="FFFFFF"/>
          <w:lang w:val="en-US" w:eastAsia="zh-CN"/>
        </w:rPr>
      </w:pPr>
      <w:bookmarkStart w:id="0" w:name="_GoBack"/>
      <w:bookmarkEnd w:id="0"/>
      <w:r>
        <w:rPr>
          <w:rFonts w:hint="eastAsia" w:ascii="黑体" w:hAnsi="黑体" w:eastAsia="黑体" w:cs="黑体"/>
          <w:color w:val="auto"/>
          <w:sz w:val="34"/>
          <w:szCs w:val="34"/>
          <w:highlight w:val="none"/>
          <w:shd w:val="clear" w:color="auto" w:fill="FFFFFF"/>
          <w:lang w:val="en-US" w:eastAsia="zh-CN"/>
        </w:rPr>
        <w:t>名词解释：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1.</w:t>
      </w:r>
      <w:r>
        <w:rPr>
          <w:rFonts w:hint="eastAsia" w:ascii="Times New Roman" w:hAnsi="Times New Roman" w:eastAsia="仿宋_GB2312" w:cs="仿宋_GB2312"/>
          <w:b/>
          <w:bCs/>
          <w:color w:val="auto"/>
          <w:sz w:val="34"/>
          <w:szCs w:val="34"/>
          <w:highlight w:val="none"/>
          <w:shd w:val="clear" w:color="auto" w:fill="FFFFFF"/>
          <w:lang w:val="en-US" w:eastAsia="zh-CN"/>
        </w:rPr>
        <w:t>升规入统</w:t>
      </w:r>
      <w:r>
        <w:rPr>
          <w:rFonts w:hint="eastAsia" w:ascii="Times New Roman" w:hAnsi="Times New Roman" w:eastAsia="仿宋_GB2312" w:cs="仿宋_GB2312"/>
          <w:color w:val="auto"/>
          <w:sz w:val="34"/>
          <w:szCs w:val="34"/>
          <w:highlight w:val="none"/>
          <w:shd w:val="clear" w:color="auto" w:fill="FFFFFF"/>
          <w:lang w:val="en-US" w:eastAsia="zh-CN"/>
        </w:rPr>
        <w:t>：是指企业已经达到一定的规模和标准，可以被纳入政府统计部门的规模以上工业库中，进行相关的统计和管理工作。这个标准主要是指年主营业务收入（纳税申报收入）达到 2000 万元以上。</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2.</w:t>
      </w:r>
      <w:r>
        <w:rPr>
          <w:rFonts w:hint="eastAsia" w:ascii="Times New Roman" w:hAnsi="Times New Roman" w:eastAsia="仿宋_GB2312" w:cs="仿宋_GB2312"/>
          <w:b/>
          <w:bCs/>
          <w:color w:val="auto"/>
          <w:sz w:val="34"/>
          <w:szCs w:val="34"/>
          <w:highlight w:val="none"/>
          <w:shd w:val="clear" w:color="auto" w:fill="FFFFFF"/>
          <w:lang w:val="en-US" w:eastAsia="zh-CN"/>
        </w:rPr>
        <w:t>规模以上工业企业</w:t>
      </w:r>
      <w:r>
        <w:rPr>
          <w:rFonts w:hint="eastAsia" w:ascii="Times New Roman" w:hAnsi="Times New Roman" w:eastAsia="仿宋_GB2312" w:cs="仿宋_GB2312"/>
          <w:color w:val="auto"/>
          <w:sz w:val="34"/>
          <w:szCs w:val="34"/>
          <w:highlight w:val="none"/>
          <w:shd w:val="clear" w:color="auto" w:fill="FFFFFF"/>
          <w:lang w:val="en-US" w:eastAsia="zh-CN"/>
        </w:rPr>
        <w:t>：是指年主营业务收入（纳税申报收入）达到 2000 万元以上的并纳入统计库的工业法人企业。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b w:val="0"/>
          <w:bCs w:val="0"/>
          <w:color w:val="auto"/>
          <w:sz w:val="34"/>
          <w:szCs w:val="34"/>
          <w:highlight w:val="none"/>
          <w:shd w:val="clear" w:color="auto" w:fill="FFFFFF"/>
          <w:lang w:val="en-US" w:eastAsia="zh-CN"/>
        </w:rPr>
        <w:t>3.</w:t>
      </w:r>
      <w:r>
        <w:rPr>
          <w:rFonts w:hint="eastAsia" w:ascii="Times New Roman" w:hAnsi="Times New Roman" w:eastAsia="仿宋_GB2312" w:cs="仿宋_GB2312"/>
          <w:b/>
          <w:bCs/>
          <w:color w:val="auto"/>
          <w:sz w:val="34"/>
          <w:szCs w:val="34"/>
          <w:highlight w:val="none"/>
          <w:shd w:val="clear" w:color="auto" w:fill="FFFFFF"/>
          <w:lang w:val="en-US" w:eastAsia="zh-CN"/>
        </w:rPr>
        <w:t>达限纳统</w:t>
      </w:r>
      <w:r>
        <w:rPr>
          <w:rFonts w:hint="eastAsia" w:ascii="Times New Roman" w:hAnsi="Times New Roman" w:eastAsia="仿宋_GB2312" w:cs="仿宋_GB2312"/>
          <w:color w:val="auto"/>
          <w:sz w:val="34"/>
          <w:szCs w:val="34"/>
          <w:highlight w:val="none"/>
          <w:shd w:val="clear" w:color="auto" w:fill="FFFFFF"/>
          <w:lang w:val="en-US" w:eastAsia="zh-CN"/>
        </w:rPr>
        <w:t>：是指当年年营业额达到住宿餐饮200万、零售业500万、批发业2000万，并首次进入立山区统计局统计库中的法人企业。</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4.</w:t>
      </w:r>
      <w:r>
        <w:rPr>
          <w:rFonts w:hint="eastAsia" w:ascii="Times New Roman" w:hAnsi="Times New Roman" w:eastAsia="仿宋_GB2312" w:cs="仿宋_GB2312"/>
          <w:b/>
          <w:bCs/>
          <w:color w:val="auto"/>
          <w:sz w:val="34"/>
          <w:szCs w:val="34"/>
          <w:highlight w:val="none"/>
          <w:shd w:val="clear" w:color="auto" w:fill="FFFFFF"/>
          <w:lang w:val="en-US" w:eastAsia="zh-CN"/>
        </w:rPr>
        <w:t>在库限额以上批发企业</w:t>
      </w:r>
      <w:r>
        <w:rPr>
          <w:rFonts w:hint="eastAsia" w:ascii="Times New Roman" w:hAnsi="Times New Roman" w:eastAsia="仿宋_GB2312" w:cs="仿宋_GB2312"/>
          <w:color w:val="auto"/>
          <w:sz w:val="34"/>
          <w:szCs w:val="34"/>
          <w:highlight w:val="none"/>
          <w:shd w:val="clear" w:color="auto" w:fill="FFFFFF"/>
          <w:lang w:val="en-US" w:eastAsia="zh-CN"/>
        </w:rPr>
        <w:t>：在立山区统计局统计库中批发业法人企业达到第9项政策标准，可以享受该项政策。</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5.</w:t>
      </w:r>
      <w:r>
        <w:rPr>
          <w:rFonts w:hint="eastAsia" w:ascii="Times New Roman" w:hAnsi="Times New Roman" w:eastAsia="仿宋_GB2312" w:cs="仿宋_GB2312"/>
          <w:b/>
          <w:bCs/>
          <w:color w:val="auto"/>
          <w:sz w:val="34"/>
          <w:szCs w:val="34"/>
          <w:highlight w:val="none"/>
          <w:shd w:val="clear" w:color="auto" w:fill="FFFFFF"/>
          <w:lang w:val="en-US" w:eastAsia="zh-CN"/>
        </w:rPr>
        <w:t>在库2年以上的限额以上住宿和餐饮企业</w:t>
      </w:r>
      <w:r>
        <w:rPr>
          <w:rFonts w:hint="eastAsia" w:ascii="Times New Roman" w:hAnsi="Times New Roman" w:eastAsia="仿宋_GB2312" w:cs="仿宋_GB2312"/>
          <w:color w:val="auto"/>
          <w:sz w:val="34"/>
          <w:szCs w:val="34"/>
          <w:highlight w:val="none"/>
          <w:shd w:val="clear" w:color="auto" w:fill="FFFFFF"/>
          <w:lang w:val="en-US" w:eastAsia="zh-CN"/>
        </w:rPr>
        <w:t>：在立山区统计局统计库中2年以上的住宿和餐饮法人企业达到第11项政策标准，可以享受该项政策。</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仿宋_GB2312"/>
          <w:color w:val="auto"/>
          <w:sz w:val="34"/>
          <w:szCs w:val="34"/>
          <w:highlight w:val="none"/>
          <w:shd w:val="clear" w:color="auto" w:fill="FFFFFF"/>
          <w:lang w:val="en-US" w:eastAsia="zh-CN"/>
        </w:rPr>
      </w:pPr>
      <w:r>
        <w:rPr>
          <w:rFonts w:hint="eastAsia" w:ascii="Times New Roman" w:hAnsi="Times New Roman" w:eastAsia="仿宋_GB2312" w:cs="仿宋_GB2312"/>
          <w:color w:val="auto"/>
          <w:sz w:val="34"/>
          <w:szCs w:val="34"/>
          <w:highlight w:val="none"/>
          <w:shd w:val="clear" w:color="auto" w:fill="FFFFFF"/>
          <w:lang w:val="en-US" w:eastAsia="zh-CN"/>
        </w:rPr>
        <w:t>6.</w:t>
      </w:r>
      <w:r>
        <w:rPr>
          <w:rFonts w:hint="eastAsia" w:ascii="Times New Roman" w:hAnsi="Times New Roman" w:eastAsia="仿宋_GB2312" w:cs="仿宋_GB2312"/>
          <w:b/>
          <w:bCs/>
          <w:color w:val="auto"/>
          <w:sz w:val="34"/>
          <w:szCs w:val="34"/>
          <w:highlight w:val="none"/>
          <w:shd w:val="clear" w:color="auto" w:fill="FFFFFF"/>
          <w:lang w:val="en-US" w:eastAsia="zh-CN"/>
        </w:rPr>
        <w:t>区级闲置资产储备库</w:t>
      </w:r>
      <w:r>
        <w:rPr>
          <w:rFonts w:hint="eastAsia" w:ascii="Times New Roman" w:hAnsi="Times New Roman" w:eastAsia="仿宋_GB2312" w:cs="仿宋_GB2312"/>
          <w:color w:val="auto"/>
          <w:sz w:val="34"/>
          <w:szCs w:val="34"/>
          <w:highlight w:val="none"/>
          <w:shd w:val="clear" w:color="auto" w:fill="FFFFFF"/>
          <w:lang w:val="en-US" w:eastAsia="zh-CN"/>
        </w:rPr>
        <w:t>：由区工信局、区经合局等相关责任单位依据立山实际和本行业需求建立，每季度进行动态调整，并进行政务公开。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仿宋_GB2312" w:cs="仿宋_GB2312"/>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b w:val="0"/>
          <w:bCs w:val="0"/>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b w:val="0"/>
          <w:bCs w:val="0"/>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b w:val="0"/>
          <w:bCs w:val="0"/>
          <w:color w:val="auto"/>
          <w:sz w:val="34"/>
          <w:szCs w:val="34"/>
          <w:highlight w:val="none"/>
          <w:shd w:val="clear" w:color="auto" w:fill="FFFFFF"/>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黑体" w:hAnsi="黑体" w:eastAsia="黑体" w:cs="黑体"/>
          <w:b w:val="0"/>
          <w:bCs w:val="0"/>
          <w:color w:val="auto"/>
          <w:sz w:val="34"/>
          <w:szCs w:val="34"/>
          <w:highlight w:val="none"/>
          <w:shd w:val="clear" w:color="auto" w:fill="FFFFFF"/>
          <w:lang w:val="en-US" w:eastAsia="zh-CN"/>
        </w:rPr>
      </w:pPr>
      <w:r>
        <w:rPr>
          <w:rFonts w:hint="eastAsia" w:ascii="黑体" w:hAnsi="黑体" w:eastAsia="黑体" w:cs="黑体"/>
          <w:b w:val="0"/>
          <w:bCs w:val="0"/>
          <w:color w:val="auto"/>
          <w:sz w:val="34"/>
          <w:szCs w:val="34"/>
          <w:highlight w:val="none"/>
          <w:shd w:val="clear" w:color="auto" w:fill="FFFFFF"/>
          <w:lang w:val="en-US" w:eastAsia="zh-CN"/>
        </w:rPr>
        <w:t>附则：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Times New Roman"/>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1.本方案适用于在鞍山市立山区注册，从事各类生产经营活动、合规合法经营、无非法活动并按税法要求足额缴纳税收的市场主体。</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Times New Roman"/>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2.由相关责任单位依据立山实际和本行业需求建立区级闲置资产库，</w:t>
      </w:r>
      <w:r>
        <w:rPr>
          <w:rFonts w:hint="eastAsia" w:ascii="Times New Roman" w:hAnsi="Times New Roman" w:eastAsia="仿宋_GB2312" w:cs="仿宋_GB2312"/>
          <w:color w:val="auto"/>
          <w:sz w:val="34"/>
          <w:szCs w:val="34"/>
          <w:highlight w:val="none"/>
          <w:shd w:val="clear" w:color="auto" w:fill="FFFFFF"/>
        </w:rPr>
        <w:t>每季度</w:t>
      </w:r>
      <w:r>
        <w:rPr>
          <w:rFonts w:hint="eastAsia" w:ascii="Times New Roman" w:hAnsi="Times New Roman" w:eastAsia="仿宋_GB2312" w:cs="仿宋_GB2312"/>
          <w:color w:val="auto"/>
          <w:sz w:val="34"/>
          <w:szCs w:val="34"/>
          <w:highlight w:val="none"/>
          <w:shd w:val="clear" w:color="auto" w:fill="FFFFFF"/>
          <w:lang w:val="en-US" w:eastAsia="zh-CN"/>
        </w:rPr>
        <w:t>进行</w:t>
      </w:r>
      <w:r>
        <w:rPr>
          <w:rFonts w:hint="eastAsia" w:ascii="Times New Roman" w:hAnsi="Times New Roman" w:eastAsia="仿宋_GB2312" w:cs="仿宋_GB2312"/>
          <w:color w:val="auto"/>
          <w:sz w:val="34"/>
          <w:szCs w:val="34"/>
          <w:highlight w:val="none"/>
          <w:shd w:val="clear" w:color="auto" w:fill="FFFFFF"/>
        </w:rPr>
        <w:t>动态调整，</w:t>
      </w:r>
      <w:r>
        <w:rPr>
          <w:rFonts w:hint="eastAsia" w:ascii="Times New Roman" w:hAnsi="Times New Roman" w:eastAsia="仿宋_GB2312" w:cs="仿宋_GB2312"/>
          <w:color w:val="auto"/>
          <w:sz w:val="34"/>
          <w:szCs w:val="34"/>
          <w:highlight w:val="none"/>
          <w:shd w:val="clear" w:color="auto" w:fill="FFFFFF"/>
          <w:lang w:val="en-US" w:eastAsia="zh-CN"/>
        </w:rPr>
        <w:t>并进行政务公开。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Times New Roman"/>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3.本增量政策措施涉及资金由相关责任单位列入本单位财政预算，在预算编制环节实行“源头控制”。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Times New Roman"/>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4.相关责任单位需每半年开展补贴定期评估和绩效评价管理，加强绩效评价结果公开，根据评估结果提出政策调整意见。</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Times New Roman"/>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5.相关责任单位对已出台的政策中有重复或矛盾的政策条款需进行调整和清理。</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Times New Roman"/>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6.由区司法局、区财政局、区市场局负责对政策的合法性、合规性、公平性进行审查。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default" w:ascii="Times New Roman" w:hAnsi="Times New Roman" w:eastAsia="仿宋_GB2312" w:cs="Times New Roman"/>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7.由区统计局负责对统计名录库内相关数据进行审核。</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Times New Roman" w:hAnsi="Times New Roman" w:eastAsia="仿宋_GB2312" w:cs="Times New Roman"/>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8.企业同时符合以上多项政策，按单项政策最高金额兑现。</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80" w:firstLineChars="200"/>
        <w:jc w:val="both"/>
        <w:textAlignment w:val="auto"/>
        <w:rPr>
          <w:rFonts w:hint="eastAsia" w:ascii="仿宋_GB2312" w:hAnsi="仿宋_GB2312" w:eastAsia="仿宋_GB2312" w:cs="仿宋_GB2312"/>
          <w:color w:val="auto"/>
          <w:sz w:val="34"/>
          <w:szCs w:val="34"/>
          <w:highlight w:val="none"/>
          <w:shd w:val="clear" w:color="auto" w:fill="FFFFFF"/>
          <w:lang w:val="en-US" w:eastAsia="zh-CN"/>
        </w:rPr>
      </w:pPr>
      <w:r>
        <w:rPr>
          <w:rFonts w:hint="eastAsia" w:ascii="Times New Roman" w:hAnsi="Times New Roman" w:eastAsia="仿宋_GB2312" w:cs="Times New Roman"/>
          <w:color w:val="auto"/>
          <w:sz w:val="34"/>
          <w:szCs w:val="34"/>
          <w:highlight w:val="none"/>
          <w:shd w:val="clear" w:color="auto" w:fill="FFFFFF"/>
          <w:lang w:val="en-US" w:eastAsia="zh-CN"/>
        </w:rPr>
        <w:t>9.</w:t>
      </w:r>
      <w:r>
        <w:rPr>
          <w:rFonts w:hint="eastAsia" w:ascii="仿宋_GB2312" w:hAnsi="仿宋_GB2312" w:eastAsia="仿宋_GB2312" w:cs="仿宋_GB2312"/>
          <w:color w:val="auto"/>
          <w:sz w:val="34"/>
          <w:szCs w:val="34"/>
          <w:highlight w:val="none"/>
          <w:shd w:val="clear" w:color="auto" w:fill="FFFFFF"/>
          <w:lang w:val="en-US" w:eastAsia="zh-CN"/>
        </w:rPr>
        <w:t>以上</w:t>
      </w:r>
      <w:r>
        <w:rPr>
          <w:rFonts w:hint="eastAsia" w:ascii="Times New Roman" w:hAnsi="Times New Roman" w:eastAsia="仿宋_GB2312" w:cs="Times New Roman"/>
          <w:color w:val="auto"/>
          <w:sz w:val="34"/>
          <w:szCs w:val="34"/>
          <w:highlight w:val="none"/>
          <w:shd w:val="clear" w:color="auto" w:fill="FFFFFF"/>
          <w:lang w:val="en-US" w:eastAsia="zh-CN"/>
        </w:rPr>
        <w:t>政策措施</w:t>
      </w:r>
      <w:r>
        <w:rPr>
          <w:rFonts w:hint="eastAsia" w:ascii="仿宋_GB2312" w:hAnsi="仿宋_GB2312" w:eastAsia="仿宋_GB2312" w:cs="仿宋_GB2312"/>
          <w:color w:val="auto"/>
          <w:sz w:val="34"/>
          <w:szCs w:val="34"/>
          <w:highlight w:val="none"/>
          <w:shd w:val="clear" w:color="auto" w:fill="FFFFFF"/>
          <w:lang w:val="en-US" w:eastAsia="zh-CN"/>
        </w:rPr>
        <w:t>自印发之日起施行，由相关责任单位负责解释并制定具体实施细则，有效期至2025年12月31日，有明确期限的具体政策按其时限执行，国家、省、市另有规定的从其规定。</w:t>
      </w:r>
    </w:p>
    <w:p>
      <w:pPr>
        <w:rPr>
          <w:rFonts w:ascii="Times New Roman" w:hAnsi="Times New Roman"/>
        </w:rPr>
      </w:pPr>
    </w:p>
    <w:sectPr>
      <w:footerReference r:id="rId3" w:type="default"/>
      <w:pgSz w:w="11906" w:h="16838"/>
      <w:pgMar w:top="2098" w:right="1474" w:bottom="1984" w:left="1587" w:header="851" w:footer="992" w:gutter="0"/>
      <w:pgNumType w:fmt="decimal"/>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70724"/>
    <w:multiLevelType w:val="singleLevel"/>
    <w:tmpl w:val="5D770724"/>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kYjY0OGM3NTFkNjQ4ZTA0Yjk1ZmRjMDY5ODkwZWQifQ=="/>
  </w:docVars>
  <w:rsids>
    <w:rsidRoot w:val="00000000"/>
    <w:rsid w:val="020A5176"/>
    <w:rsid w:val="065564A8"/>
    <w:rsid w:val="06F07C0E"/>
    <w:rsid w:val="073A38EF"/>
    <w:rsid w:val="08D833C0"/>
    <w:rsid w:val="0926412B"/>
    <w:rsid w:val="0C5620FE"/>
    <w:rsid w:val="0DE77F65"/>
    <w:rsid w:val="0F661726"/>
    <w:rsid w:val="10967DE9"/>
    <w:rsid w:val="17E21B65"/>
    <w:rsid w:val="183B57C7"/>
    <w:rsid w:val="18574301"/>
    <w:rsid w:val="1B912547"/>
    <w:rsid w:val="21BB3DA8"/>
    <w:rsid w:val="225673D8"/>
    <w:rsid w:val="22AE0FC2"/>
    <w:rsid w:val="22CA5F9C"/>
    <w:rsid w:val="25493224"/>
    <w:rsid w:val="26D0702D"/>
    <w:rsid w:val="27FD02F5"/>
    <w:rsid w:val="29645308"/>
    <w:rsid w:val="2D0A3299"/>
    <w:rsid w:val="2ED174C9"/>
    <w:rsid w:val="3049057C"/>
    <w:rsid w:val="3071362F"/>
    <w:rsid w:val="31344D88"/>
    <w:rsid w:val="316D029A"/>
    <w:rsid w:val="31AC0DC2"/>
    <w:rsid w:val="32A93554"/>
    <w:rsid w:val="32B411CC"/>
    <w:rsid w:val="32EE540A"/>
    <w:rsid w:val="33EC194A"/>
    <w:rsid w:val="37046FAB"/>
    <w:rsid w:val="3C593A7E"/>
    <w:rsid w:val="3E015FF2"/>
    <w:rsid w:val="401F6C03"/>
    <w:rsid w:val="410D5956"/>
    <w:rsid w:val="41594397"/>
    <w:rsid w:val="42470693"/>
    <w:rsid w:val="43BD42AA"/>
    <w:rsid w:val="4577303D"/>
    <w:rsid w:val="45D102EB"/>
    <w:rsid w:val="46401EF2"/>
    <w:rsid w:val="47FF736B"/>
    <w:rsid w:val="485E6BD2"/>
    <w:rsid w:val="48B85E47"/>
    <w:rsid w:val="4A3E412A"/>
    <w:rsid w:val="4A601A94"/>
    <w:rsid w:val="4BB01057"/>
    <w:rsid w:val="4CC72AFC"/>
    <w:rsid w:val="4FCC21D8"/>
    <w:rsid w:val="510D6312"/>
    <w:rsid w:val="51D72D57"/>
    <w:rsid w:val="51F53C68"/>
    <w:rsid w:val="52BE0045"/>
    <w:rsid w:val="55020B76"/>
    <w:rsid w:val="55E464CD"/>
    <w:rsid w:val="56C360E3"/>
    <w:rsid w:val="571132F2"/>
    <w:rsid w:val="57825F9E"/>
    <w:rsid w:val="58922210"/>
    <w:rsid w:val="5AFF7905"/>
    <w:rsid w:val="5C0056E3"/>
    <w:rsid w:val="5C0D7784"/>
    <w:rsid w:val="5E602469"/>
    <w:rsid w:val="5ECA3D86"/>
    <w:rsid w:val="61077E08"/>
    <w:rsid w:val="61A3723C"/>
    <w:rsid w:val="61E37639"/>
    <w:rsid w:val="61F77588"/>
    <w:rsid w:val="62AA45FB"/>
    <w:rsid w:val="62FF7C1B"/>
    <w:rsid w:val="640A35A3"/>
    <w:rsid w:val="643901BC"/>
    <w:rsid w:val="64700DED"/>
    <w:rsid w:val="667B683E"/>
    <w:rsid w:val="67242135"/>
    <w:rsid w:val="680E1188"/>
    <w:rsid w:val="68662D72"/>
    <w:rsid w:val="6AC00E5F"/>
    <w:rsid w:val="6CF43042"/>
    <w:rsid w:val="6DB81D1D"/>
    <w:rsid w:val="6F83245B"/>
    <w:rsid w:val="716342F2"/>
    <w:rsid w:val="71A1306D"/>
    <w:rsid w:val="71A52B5D"/>
    <w:rsid w:val="73FF3D49"/>
    <w:rsid w:val="791B3704"/>
    <w:rsid w:val="79863274"/>
    <w:rsid w:val="7AAB2866"/>
    <w:rsid w:val="7B313CEB"/>
    <w:rsid w:val="7B793BDC"/>
    <w:rsid w:val="7BB3231A"/>
    <w:rsid w:val="7EC34622"/>
    <w:rsid w:val="7EEE33D2"/>
    <w:rsid w:val="7F0C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Autospacing="0" w:after="330" w:afterAutospacing="0" w:line="576" w:lineRule="auto"/>
      <w:jc w:val="center"/>
      <w:outlineLvl w:val="0"/>
    </w:pPr>
    <w:rPr>
      <w:rFonts w:eastAsia="方正小标宋简体"/>
      <w:kern w:val="44"/>
      <w:sz w:val="44"/>
    </w:rPr>
  </w:style>
  <w:style w:type="paragraph" w:styleId="3">
    <w:name w:val="heading 2"/>
    <w:basedOn w:val="1"/>
    <w:next w:val="1"/>
    <w:autoRedefine/>
    <w:qFormat/>
    <w:uiPriority w:val="0"/>
    <w:pPr>
      <w:keepNext/>
      <w:keepLines/>
      <w:spacing w:before="260" w:beforeAutospacing="0" w:after="260" w:afterAutospacing="0" w:line="413" w:lineRule="auto"/>
      <w:outlineLvl w:val="1"/>
    </w:pPr>
    <w:rPr>
      <w:rFonts w:ascii="Arial" w:hAnsi="Arial" w:eastAsia="黑体"/>
    </w:rPr>
  </w:style>
  <w:style w:type="paragraph" w:styleId="4">
    <w:name w:val="heading 3"/>
    <w:basedOn w:val="1"/>
    <w:next w:val="1"/>
    <w:autoRedefine/>
    <w:qFormat/>
    <w:uiPriority w:val="0"/>
    <w:pPr>
      <w:keepNext/>
      <w:keepLines/>
      <w:spacing w:before="260" w:beforeAutospacing="0" w:after="260" w:afterAutospacing="0" w:line="413" w:lineRule="auto"/>
      <w:outlineLvl w:val="2"/>
    </w:pPr>
    <w:rPr>
      <w:rFonts w:eastAsia="楷体_GB2312"/>
    </w:rPr>
  </w:style>
  <w:style w:type="character" w:default="1" w:styleId="9">
    <w:name w:val="Default Paragraph Font"/>
    <w:autoRedefine/>
    <w:qFormat/>
    <w:uiPriority w:val="0"/>
  </w:style>
  <w:style w:type="table" w:default="1" w:styleId="8">
    <w:name w:val="Normal Table"/>
    <w:autoRedefine/>
    <w:qFormat/>
    <w:uiPriority w:val="0"/>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rPr>
  </w:style>
  <w:style w:type="paragraph" w:customStyle="1" w:styleId="10">
    <w:name w:val="标准正文"/>
    <w:basedOn w:val="1"/>
    <w:autoRedefine/>
    <w:qFormat/>
    <w:uiPriority w:val="0"/>
    <w:pPr>
      <w:spacing w:line="560" w:lineRule="exact"/>
      <w:ind w:firstLine="420" w:firstLineChars="200"/>
    </w:pPr>
    <w:rPr>
      <w:rFonts w:ascii="Times New Roman" w:hAnsi="Times New Roman" w:eastAsia="仿宋_GB2312"/>
      <w:sz w:val="34"/>
    </w:rPr>
  </w:style>
  <w:style w:type="paragraph" w:customStyle="1" w:styleId="11">
    <w:name w:val="普通(网站)1"/>
    <w:basedOn w:val="1"/>
    <w:autoRedefine/>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4236</Words>
  <Characters>4476</Characters>
  <Paragraphs>109</Paragraphs>
  <TotalTime>2</TotalTime>
  <ScaleCrop>false</ScaleCrop>
  <LinksUpToDate>false</LinksUpToDate>
  <CharactersWithSpaces>4482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2024-11-15T05:27:00Z</dcterms:created>
  <dc:creator>Lucky</dc:creator>
  <cp:lastModifiedBy>Lucky</cp:lastModifiedBy>
  <cp:lastPrinted>2024-11-27T03:33:00Z</cp:lastPrinted>
  <dcterms:modified xsi:type="dcterms:W3CDTF">2024-12-04T07:51:53Z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8CB332C93733439F8B2F0FF2AB19597B_13</vt:lpwstr>
  </property>
</Properties>
</file>