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133" w:tblpY="2201"/>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2085"/>
        <w:gridCol w:w="1924"/>
        <w:gridCol w:w="1935"/>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460" w:lineRule="exact"/>
              <w:jc w:val="both"/>
              <w:rPr>
                <w:rFonts w:hint="eastAsia" w:ascii="宋体" w:hAnsi="宋体"/>
                <w:sz w:val="22"/>
                <w:szCs w:val="22"/>
              </w:rPr>
            </w:pPr>
            <w:r>
              <w:rPr>
                <w:rFonts w:hint="eastAsia" w:ascii="宋体" w:hAnsi="宋体"/>
                <w:sz w:val="22"/>
                <w:szCs w:val="22"/>
              </w:rPr>
              <w:t>姓    名</w:t>
            </w:r>
          </w:p>
        </w:tc>
        <w:tc>
          <w:tcPr>
            <w:tcW w:w="2085" w:type="dxa"/>
            <w:noWrap w:val="0"/>
            <w:vAlign w:val="center"/>
          </w:tcPr>
          <w:p>
            <w:pPr>
              <w:spacing w:line="460" w:lineRule="exact"/>
              <w:jc w:val="both"/>
              <w:rPr>
                <w:rFonts w:hint="eastAsia" w:ascii="宋体" w:hAnsi="宋体"/>
                <w:sz w:val="22"/>
                <w:szCs w:val="22"/>
              </w:rPr>
            </w:pPr>
            <w:r>
              <w:rPr>
                <w:rFonts w:hint="eastAsia" w:ascii="宋体" w:hAnsi="宋体"/>
                <w:sz w:val="22"/>
                <w:szCs w:val="22"/>
              </w:rPr>
              <w:t>陈健</w:t>
            </w:r>
          </w:p>
        </w:tc>
        <w:tc>
          <w:tcPr>
            <w:tcW w:w="1924" w:type="dxa"/>
            <w:noWrap w:val="0"/>
            <w:vAlign w:val="center"/>
          </w:tcPr>
          <w:p>
            <w:pPr>
              <w:spacing w:line="460" w:lineRule="exact"/>
              <w:jc w:val="both"/>
              <w:rPr>
                <w:rFonts w:hint="eastAsia" w:ascii="宋体" w:hAnsi="宋体"/>
                <w:sz w:val="22"/>
                <w:szCs w:val="22"/>
              </w:rPr>
            </w:pPr>
            <w:r>
              <w:rPr>
                <w:rFonts w:hint="eastAsia" w:ascii="宋体" w:hAnsi="宋体"/>
                <w:sz w:val="22"/>
                <w:szCs w:val="22"/>
              </w:rPr>
              <w:t>性    别</w:t>
            </w:r>
          </w:p>
        </w:tc>
        <w:tc>
          <w:tcPr>
            <w:tcW w:w="1935" w:type="dxa"/>
            <w:noWrap w:val="0"/>
            <w:vAlign w:val="center"/>
          </w:tcPr>
          <w:p>
            <w:pPr>
              <w:spacing w:line="460" w:lineRule="exact"/>
              <w:jc w:val="both"/>
              <w:rPr>
                <w:rFonts w:hint="eastAsia" w:ascii="宋体" w:hAnsi="宋体"/>
                <w:sz w:val="22"/>
                <w:szCs w:val="22"/>
              </w:rPr>
            </w:pPr>
            <w:r>
              <w:rPr>
                <w:rFonts w:hint="eastAsia" w:ascii="宋体" w:hAnsi="宋体"/>
                <w:sz w:val="22"/>
                <w:szCs w:val="22"/>
              </w:rPr>
              <w:t>女</w:t>
            </w:r>
          </w:p>
        </w:tc>
        <w:tc>
          <w:tcPr>
            <w:tcW w:w="2218" w:type="dxa"/>
            <w:vMerge w:val="restart"/>
            <w:noWrap w:val="0"/>
            <w:vAlign w:val="center"/>
          </w:tcPr>
          <w:p>
            <w:pPr>
              <w:spacing w:line="400" w:lineRule="exact"/>
              <w:jc w:val="both"/>
              <w:rPr>
                <w:rFonts w:hint="eastAsia" w:ascii="宋体" w:hAnsi="宋体"/>
                <w:sz w:val="22"/>
                <w:szCs w:val="22"/>
              </w:rPr>
            </w:pPr>
            <w:r>
              <w:rPr>
                <w:rFonts w:hint="eastAsia" w:ascii="宋体" w:hAnsi="宋体"/>
                <w:bCs/>
                <w:color w:val="000000"/>
                <w:sz w:val="24"/>
              </w:rPr>
              <w:drawing>
                <wp:anchor distT="0" distB="0" distL="114300" distR="114300" simplePos="0" relativeHeight="251659264" behindDoc="0" locked="0" layoutInCell="1" allowOverlap="1">
                  <wp:simplePos x="0" y="0"/>
                  <wp:positionH relativeFrom="column">
                    <wp:posOffset>10160</wp:posOffset>
                  </wp:positionH>
                  <wp:positionV relativeFrom="paragraph">
                    <wp:posOffset>60325</wp:posOffset>
                  </wp:positionV>
                  <wp:extent cx="1288415" cy="1811655"/>
                  <wp:effectExtent l="0" t="0" r="6985" b="17145"/>
                  <wp:wrapSquare wrapText="bothSides"/>
                  <wp:docPr id="1" name="图片 2" descr="ea8493a9494c2aa2e2683ff97cf4b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ea8493a9494c2aa2e2683ff97cf4bce"/>
                          <pic:cNvPicPr>
                            <a:picLocks noChangeAspect="1"/>
                          </pic:cNvPicPr>
                        </pic:nvPicPr>
                        <pic:blipFill>
                          <a:blip r:embed="rId4"/>
                          <a:stretch>
                            <a:fillRect/>
                          </a:stretch>
                        </pic:blipFill>
                        <pic:spPr>
                          <a:xfrm>
                            <a:off x="0" y="0"/>
                            <a:ext cx="1288415" cy="181165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民    族</w:t>
            </w:r>
          </w:p>
        </w:tc>
        <w:tc>
          <w:tcPr>
            <w:tcW w:w="2085"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汉族</w:t>
            </w:r>
          </w:p>
        </w:tc>
        <w:tc>
          <w:tcPr>
            <w:tcW w:w="1924"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出生年月</w:t>
            </w:r>
          </w:p>
        </w:tc>
        <w:tc>
          <w:tcPr>
            <w:tcW w:w="1935" w:type="dxa"/>
            <w:noWrap w:val="0"/>
            <w:vAlign w:val="center"/>
          </w:tcPr>
          <w:p>
            <w:pPr>
              <w:spacing w:line="460" w:lineRule="exact"/>
              <w:jc w:val="center"/>
              <w:rPr>
                <w:rFonts w:ascii="宋体" w:hAnsi="宋体"/>
                <w:sz w:val="22"/>
                <w:szCs w:val="22"/>
              </w:rPr>
            </w:pPr>
            <w:r>
              <w:rPr>
                <w:rFonts w:hint="eastAsia" w:ascii="宋体" w:hAnsi="宋体"/>
                <w:sz w:val="22"/>
                <w:szCs w:val="22"/>
              </w:rPr>
              <w:t>1971.01</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政治面貌</w:t>
            </w:r>
          </w:p>
        </w:tc>
        <w:tc>
          <w:tcPr>
            <w:tcW w:w="2085" w:type="dxa"/>
            <w:noWrap w:val="0"/>
            <w:vAlign w:val="center"/>
          </w:tcPr>
          <w:p>
            <w:pPr>
              <w:tabs>
                <w:tab w:val="left" w:pos="1890"/>
              </w:tabs>
              <w:spacing w:line="460" w:lineRule="exact"/>
              <w:jc w:val="center"/>
              <w:rPr>
                <w:rFonts w:ascii="宋体" w:hAnsi="宋体"/>
                <w:sz w:val="22"/>
                <w:szCs w:val="22"/>
              </w:rPr>
            </w:pPr>
            <w:r>
              <w:rPr>
                <w:rFonts w:hint="eastAsia" w:ascii="宋体" w:hAnsi="宋体"/>
                <w:sz w:val="22"/>
                <w:szCs w:val="22"/>
              </w:rPr>
              <w:t>中共党员</w:t>
            </w:r>
          </w:p>
        </w:tc>
        <w:tc>
          <w:tcPr>
            <w:tcW w:w="1924" w:type="dxa"/>
            <w:noWrap w:val="0"/>
            <w:vAlign w:val="center"/>
          </w:tcPr>
          <w:p>
            <w:pPr>
              <w:spacing w:line="460" w:lineRule="exact"/>
              <w:jc w:val="center"/>
              <w:rPr>
                <w:rFonts w:hint="eastAsia" w:ascii="宋体" w:hAnsi="宋体"/>
                <w:sz w:val="22"/>
                <w:szCs w:val="22"/>
              </w:rPr>
            </w:pPr>
            <w:r>
              <w:rPr>
                <w:rFonts w:hint="eastAsia" w:ascii="宋体" w:hAnsi="宋体"/>
                <w:sz w:val="22"/>
                <w:szCs w:val="22"/>
              </w:rPr>
              <w:t>任教年限</w:t>
            </w:r>
          </w:p>
        </w:tc>
        <w:tc>
          <w:tcPr>
            <w:tcW w:w="1935" w:type="dxa"/>
            <w:noWrap w:val="0"/>
            <w:vAlign w:val="center"/>
          </w:tcPr>
          <w:p>
            <w:pPr>
              <w:spacing w:line="460" w:lineRule="exact"/>
              <w:jc w:val="center"/>
              <w:rPr>
                <w:rFonts w:ascii="宋体" w:hAnsi="宋体"/>
                <w:sz w:val="22"/>
                <w:szCs w:val="22"/>
              </w:rPr>
            </w:pPr>
            <w:r>
              <w:rPr>
                <w:rFonts w:hint="eastAsia" w:ascii="宋体" w:hAnsi="宋体"/>
                <w:sz w:val="22"/>
                <w:szCs w:val="22"/>
              </w:rPr>
              <w:t>30</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170" w:right="-170"/>
              <w:jc w:val="center"/>
              <w:rPr>
                <w:rFonts w:hint="eastAsia" w:ascii="宋体" w:hAnsi="宋体"/>
                <w:sz w:val="22"/>
                <w:szCs w:val="22"/>
              </w:rPr>
            </w:pPr>
            <w:r>
              <w:rPr>
                <w:rFonts w:hint="eastAsia" w:ascii="宋体" w:hAnsi="宋体"/>
                <w:spacing w:val="-10"/>
                <w:sz w:val="22"/>
                <w:szCs w:val="22"/>
              </w:rPr>
              <w:t>教师资格类别</w:t>
            </w:r>
          </w:p>
        </w:tc>
        <w:tc>
          <w:tcPr>
            <w:tcW w:w="2085" w:type="dxa"/>
            <w:noWrap w:val="0"/>
            <w:vAlign w:val="center"/>
          </w:tcPr>
          <w:p>
            <w:pPr>
              <w:spacing w:line="460" w:lineRule="exact"/>
              <w:jc w:val="center"/>
              <w:rPr>
                <w:rFonts w:ascii="宋体" w:hAnsi="宋体"/>
                <w:sz w:val="22"/>
                <w:szCs w:val="22"/>
              </w:rPr>
            </w:pPr>
            <w:r>
              <w:rPr>
                <w:rFonts w:hint="eastAsia" w:ascii="宋体" w:hAnsi="宋体"/>
                <w:sz w:val="22"/>
                <w:szCs w:val="22"/>
              </w:rPr>
              <w:t>高中政治</w:t>
            </w:r>
          </w:p>
        </w:tc>
        <w:tc>
          <w:tcPr>
            <w:tcW w:w="1924" w:type="dxa"/>
            <w:noWrap w:val="0"/>
            <w:vAlign w:val="center"/>
          </w:tcPr>
          <w:p>
            <w:pPr>
              <w:spacing w:line="460" w:lineRule="exact"/>
              <w:jc w:val="center"/>
              <w:rPr>
                <w:rFonts w:hint="eastAsia" w:ascii="宋体" w:hAnsi="宋体"/>
                <w:spacing w:val="-10"/>
                <w:sz w:val="22"/>
                <w:szCs w:val="22"/>
              </w:rPr>
            </w:pPr>
            <w:r>
              <w:rPr>
                <w:rFonts w:hint="eastAsia" w:ascii="宋体" w:hAnsi="宋体"/>
                <w:sz w:val="22"/>
                <w:szCs w:val="22"/>
              </w:rPr>
              <w:t>任教学段/学科</w:t>
            </w:r>
          </w:p>
        </w:tc>
        <w:tc>
          <w:tcPr>
            <w:tcW w:w="1935" w:type="dxa"/>
            <w:noWrap w:val="0"/>
            <w:vAlign w:val="center"/>
          </w:tcPr>
          <w:p>
            <w:pPr>
              <w:spacing w:line="460" w:lineRule="exact"/>
              <w:jc w:val="center"/>
              <w:rPr>
                <w:rFonts w:ascii="宋体" w:hAnsi="宋体"/>
                <w:sz w:val="22"/>
                <w:szCs w:val="22"/>
              </w:rPr>
            </w:pPr>
            <w:r>
              <w:rPr>
                <w:rFonts w:hint="eastAsia" w:ascii="宋体" w:hAnsi="宋体"/>
                <w:sz w:val="22"/>
                <w:szCs w:val="22"/>
              </w:rPr>
              <w:t>高中思想政治</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工作单位</w:t>
            </w:r>
          </w:p>
        </w:tc>
        <w:tc>
          <w:tcPr>
            <w:tcW w:w="2085" w:type="dxa"/>
            <w:noWrap w:val="0"/>
            <w:vAlign w:val="center"/>
          </w:tcPr>
          <w:p>
            <w:pPr>
              <w:spacing w:line="460" w:lineRule="exact"/>
              <w:jc w:val="center"/>
              <w:rPr>
                <w:rFonts w:ascii="宋体" w:hAnsi="宋体"/>
                <w:sz w:val="22"/>
                <w:szCs w:val="22"/>
              </w:rPr>
            </w:pPr>
            <w:r>
              <w:rPr>
                <w:rFonts w:hint="eastAsia" w:ascii="宋体" w:hAnsi="宋体"/>
                <w:sz w:val="22"/>
                <w:szCs w:val="22"/>
              </w:rPr>
              <w:t>海城同泽中学</w:t>
            </w:r>
          </w:p>
        </w:tc>
        <w:tc>
          <w:tcPr>
            <w:tcW w:w="1924"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是否农村学校</w:t>
            </w:r>
          </w:p>
        </w:tc>
        <w:tc>
          <w:tcPr>
            <w:tcW w:w="1935"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否</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现任专业技术</w:t>
            </w:r>
          </w:p>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职务</w:t>
            </w:r>
          </w:p>
        </w:tc>
        <w:tc>
          <w:tcPr>
            <w:tcW w:w="2085" w:type="dxa"/>
            <w:noWrap w:val="0"/>
            <w:vAlign w:val="center"/>
          </w:tcPr>
          <w:p>
            <w:pPr>
              <w:spacing w:line="240" w:lineRule="exact"/>
              <w:jc w:val="center"/>
              <w:rPr>
                <w:rFonts w:ascii="宋体" w:hAnsi="宋体"/>
                <w:sz w:val="22"/>
                <w:szCs w:val="22"/>
              </w:rPr>
            </w:pPr>
            <w:r>
              <w:rPr>
                <w:rFonts w:hint="eastAsia" w:ascii="宋体" w:hAnsi="宋体"/>
                <w:sz w:val="22"/>
                <w:szCs w:val="22"/>
              </w:rPr>
              <w:t>高级教师2003</w:t>
            </w:r>
          </w:p>
        </w:tc>
        <w:tc>
          <w:tcPr>
            <w:tcW w:w="1924" w:type="dxa"/>
            <w:noWrap w:val="0"/>
            <w:vAlign w:val="center"/>
          </w:tcPr>
          <w:p>
            <w:pPr>
              <w:spacing w:line="240" w:lineRule="exact"/>
              <w:jc w:val="center"/>
              <w:rPr>
                <w:rFonts w:hint="eastAsia" w:ascii="宋体" w:hAnsi="宋体"/>
                <w:sz w:val="22"/>
                <w:szCs w:val="22"/>
              </w:rPr>
            </w:pPr>
            <w:r>
              <w:rPr>
                <w:rFonts w:hint="eastAsia" w:ascii="宋体" w:hAnsi="宋体"/>
                <w:sz w:val="22"/>
                <w:szCs w:val="22"/>
              </w:rPr>
              <w:t>现任行政职务及</w:t>
            </w:r>
          </w:p>
          <w:p>
            <w:pPr>
              <w:spacing w:line="240" w:lineRule="exact"/>
              <w:jc w:val="center"/>
              <w:rPr>
                <w:rFonts w:hint="eastAsia" w:ascii="宋体" w:hAnsi="宋体"/>
                <w:sz w:val="22"/>
                <w:szCs w:val="22"/>
              </w:rPr>
            </w:pPr>
            <w:r>
              <w:rPr>
                <w:rFonts w:hint="eastAsia" w:ascii="宋体" w:hAnsi="宋体"/>
                <w:sz w:val="22"/>
                <w:szCs w:val="22"/>
              </w:rPr>
              <w:t>任职时间</w:t>
            </w:r>
          </w:p>
        </w:tc>
        <w:tc>
          <w:tcPr>
            <w:tcW w:w="4153" w:type="dxa"/>
            <w:gridSpan w:val="2"/>
            <w:noWrap w:val="0"/>
            <w:vAlign w:val="center"/>
          </w:tcPr>
          <w:p>
            <w:pPr>
              <w:spacing w:line="400" w:lineRule="exact"/>
              <w:jc w:val="center"/>
              <w:rPr>
                <w:rFonts w:hint="eastAsia" w:ascii="宋体" w:hAnsi="宋体" w:eastAsia="宋体"/>
                <w:sz w:val="22"/>
                <w:szCs w:val="22"/>
                <w:lang w:eastAsia="zh-CN"/>
              </w:rPr>
            </w:pPr>
            <w:r>
              <w:rPr>
                <w:rFonts w:hint="eastAsia" w:ascii="宋体" w:hAnsi="宋体"/>
                <w:sz w:val="22"/>
                <w:szCs w:val="22"/>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284" w:right="-284"/>
              <w:jc w:val="center"/>
              <w:rPr>
                <w:rFonts w:hint="eastAsia" w:ascii="宋体" w:hAnsi="宋体"/>
                <w:spacing w:val="-20"/>
                <w:sz w:val="22"/>
                <w:szCs w:val="22"/>
              </w:rPr>
            </w:pPr>
            <w:r>
              <w:rPr>
                <w:rFonts w:hint="eastAsia" w:ascii="宋体" w:hAnsi="宋体"/>
                <w:spacing w:val="-20"/>
                <w:sz w:val="22"/>
                <w:szCs w:val="22"/>
              </w:rPr>
              <w:t>最高学历学位</w:t>
            </w:r>
          </w:p>
        </w:tc>
        <w:tc>
          <w:tcPr>
            <w:tcW w:w="2085" w:type="dxa"/>
            <w:noWrap w:val="0"/>
            <w:vAlign w:val="center"/>
          </w:tcPr>
          <w:p>
            <w:pPr>
              <w:spacing w:line="460" w:lineRule="exact"/>
              <w:jc w:val="center"/>
              <w:rPr>
                <w:rFonts w:ascii="宋体" w:hAnsi="宋体"/>
                <w:sz w:val="22"/>
                <w:szCs w:val="22"/>
              </w:rPr>
            </w:pPr>
            <w:r>
              <w:rPr>
                <w:rFonts w:hint="eastAsia" w:ascii="宋体" w:hAnsi="宋体"/>
                <w:sz w:val="22"/>
                <w:szCs w:val="22"/>
              </w:rPr>
              <w:t>本科学士</w:t>
            </w:r>
          </w:p>
        </w:tc>
        <w:tc>
          <w:tcPr>
            <w:tcW w:w="1924"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毕业学校及专业</w:t>
            </w:r>
          </w:p>
        </w:tc>
        <w:tc>
          <w:tcPr>
            <w:tcW w:w="4153" w:type="dxa"/>
            <w:gridSpan w:val="2"/>
            <w:noWrap w:val="0"/>
            <w:vAlign w:val="center"/>
          </w:tcPr>
          <w:p>
            <w:pPr>
              <w:spacing w:line="460" w:lineRule="exact"/>
              <w:jc w:val="center"/>
              <w:rPr>
                <w:rFonts w:ascii="宋体" w:hAnsi="宋体"/>
                <w:sz w:val="22"/>
                <w:szCs w:val="22"/>
              </w:rPr>
            </w:pPr>
            <w:r>
              <w:rPr>
                <w:rFonts w:hint="eastAsia" w:ascii="宋体" w:hAnsi="宋体"/>
                <w:sz w:val="22"/>
                <w:szCs w:val="22"/>
              </w:rPr>
              <w:t>辽宁师范大学思想政治教育</w:t>
            </w:r>
          </w:p>
        </w:tc>
      </w:tr>
    </w:tbl>
    <w:p>
      <w:pPr>
        <w:jc w:val="center"/>
        <w:rPr>
          <w:rFonts w:hint="eastAsia"/>
          <w:b/>
          <w:bCs/>
          <w:sz w:val="32"/>
          <w:szCs w:val="32"/>
          <w:lang w:val="en-US" w:eastAsia="zh-CN"/>
        </w:rPr>
      </w:pPr>
      <w:r>
        <w:rPr>
          <w:rFonts w:hint="eastAsia"/>
          <w:b/>
          <w:bCs/>
          <w:sz w:val="32"/>
          <w:szCs w:val="32"/>
          <w:lang w:val="en-US" w:eastAsia="zh-CN"/>
        </w:rPr>
        <w:t>个人基本情况</w:t>
      </w:r>
    </w:p>
    <w:p>
      <w:pPr>
        <w:ind w:left="0" w:leftChars="0" w:firstLine="0" w:firstLineChars="0"/>
        <w:jc w:val="both"/>
        <w:rPr>
          <w:rFonts w:hint="eastAsia"/>
          <w:b/>
          <w:bCs/>
          <w:sz w:val="32"/>
          <w:szCs w:val="32"/>
          <w:lang w:val="en-US" w:eastAsia="zh-CN"/>
        </w:rPr>
      </w:pPr>
    </w:p>
    <w:p>
      <w:pPr>
        <w:jc w:val="center"/>
        <w:rPr>
          <w:rFonts w:hint="eastAsia"/>
          <w:b/>
          <w:bCs/>
          <w:sz w:val="32"/>
          <w:szCs w:val="32"/>
          <w:lang w:val="en-US" w:eastAsia="zh-CN"/>
        </w:rPr>
      </w:pPr>
    </w:p>
    <w:p>
      <w:pPr>
        <w:jc w:val="center"/>
        <w:rPr>
          <w:rFonts w:hint="eastAsia" w:eastAsia="宋体"/>
          <w:b/>
          <w:bCs/>
          <w:sz w:val="32"/>
          <w:szCs w:val="32"/>
          <w:lang w:val="en-US" w:eastAsia="zh-CN"/>
        </w:rPr>
      </w:pPr>
      <w:r>
        <w:rPr>
          <w:rFonts w:hint="eastAsia"/>
          <w:b/>
          <w:bCs/>
          <w:sz w:val="32"/>
          <w:szCs w:val="32"/>
          <w:lang w:val="en-US" w:eastAsia="zh-CN"/>
        </w:rPr>
        <w:t>个人主要事迹</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我是思政课高级教师陈健，1993年7月毕业于辽宁师范大学政治系政治教育专业，在教学一线工作30年，从事班主任工作17年。自任教以来始终忠诚人民的教育事业、无私奉献，认真履行教书育人这一神圣职责。在教育教学过程中，不断探索、求真务实，把当一名好教师作为人生的重要目标，工作业绩突出，教育教学成果显著，多次被评为鞍山市、海城市先进个人、优秀教师、优秀共产党员、最美思政教师，所带班级被评为鞍山市三好班级。</w:t>
      </w:r>
    </w:p>
    <w:p>
      <w:pPr>
        <w:keepNext w:val="0"/>
        <w:keepLines w:val="0"/>
        <w:pageBreakBefore w:val="0"/>
        <w:widowControl/>
        <w:kinsoku/>
        <w:wordWrap/>
        <w:overflowPunct/>
        <w:topLinePunct w:val="0"/>
        <w:autoSpaceDE/>
        <w:autoSpaceDN/>
        <w:bidi w:val="0"/>
        <w:adjustRightInd/>
        <w:snapToGrid/>
        <w:spacing w:line="360" w:lineRule="auto"/>
        <w:ind w:right="-51" w:firstLine="803" w:firstLineChars="250"/>
        <w:jc w:val="left"/>
        <w:textAlignment w:val="auto"/>
        <w:rPr>
          <w:rFonts w:hint="eastAsia" w:ascii="宋体" w:hAnsi="宋体" w:eastAsia="宋体" w:cs="宋体"/>
          <w:b/>
          <w:sz w:val="32"/>
          <w:szCs w:val="32"/>
        </w:rPr>
      </w:pPr>
      <w:r>
        <w:rPr>
          <w:rFonts w:hint="eastAsia" w:ascii="宋体" w:hAnsi="宋体" w:eastAsia="宋体" w:cs="宋体"/>
          <w:b/>
          <w:sz w:val="32"/>
          <w:szCs w:val="32"/>
        </w:rPr>
        <w:t>一、加强政治学习，提升政治素养，注重师德表现，做新时代新思想的追随者</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我作为一名共产党员和高中思想政治课教师，始终坚持用政治要强、情怀要深、思维要新、视野要广、自律要严、人格要正的标准要求自己，始终坚持加强政治理论学习，不断提高自身的政治素质和师德修养，做新时代新思想的追随者。始终坚持在日常教学和生活中，处处注重教师形象，自觉践行教师职业道德规范，以良好的师德形象和人格魅力去感染身边的人，为学生树立榜样，塑造学生良好的品行。始终坚持立足本职工作，教育学生树立正确的世界观、人生观和价值观，引领学生树立远大的理想目标，充当学生健康成长的指导者和引路人，成为学生信赖的人生导师，完成铸魂育人、培养时代新人的崇高职责使命。在我的影响下，我身边的师生形成了人人关心集体，个个积极向上，自觉遵规守纪的良好风气，所带班级多次被评为市县校级先进集体和三好班级。</w:t>
      </w:r>
    </w:p>
    <w:p>
      <w:pPr>
        <w:keepNext w:val="0"/>
        <w:keepLines w:val="0"/>
        <w:pageBreakBefore w:val="0"/>
        <w:widowControl/>
        <w:kinsoku/>
        <w:wordWrap/>
        <w:overflowPunct/>
        <w:topLinePunct w:val="0"/>
        <w:autoSpaceDE/>
        <w:autoSpaceDN/>
        <w:bidi w:val="0"/>
        <w:adjustRightInd/>
        <w:snapToGrid/>
        <w:spacing w:line="360" w:lineRule="auto"/>
        <w:ind w:left="0" w:right="-51" w:firstLine="643" w:firstLineChars="200"/>
        <w:jc w:val="left"/>
        <w:textAlignment w:val="auto"/>
        <w:rPr>
          <w:rFonts w:hint="eastAsia" w:ascii="宋体" w:hAnsi="宋体" w:eastAsia="宋体" w:cs="宋体"/>
          <w:b/>
          <w:sz w:val="32"/>
          <w:szCs w:val="32"/>
        </w:rPr>
      </w:pPr>
      <w:r>
        <w:rPr>
          <w:rFonts w:hint="eastAsia" w:ascii="宋体" w:hAnsi="宋体" w:eastAsia="宋体" w:cs="宋体"/>
          <w:b/>
          <w:sz w:val="32"/>
          <w:szCs w:val="32"/>
        </w:rPr>
        <w:t>二、认真钻研业务，狠抓教学质量，强化教书育人，做新德育新智育的传播者</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30年来，我坚持认真学习文化基础知识和政治学科专业知识，积极参加各类培训和教学研究活动，不断充实自己，做新智育新德育的传播者。在教学环节中，深入钻研教材，潜心研究教法，认真预习备课，精心设计每一节课，力求精益求精，因材施教，狠抓教学质量，让每一个学生学深悟透，全面掌握所学知识，不断取得好成绩，达到最佳的教学效果。在教学过程中，我坚持把思政小课堂同社会大课堂结合起来，注重用科学而系统的理论武装学生，同时重视用丰富而鲜活的事实和案例启发学生，通过生动、深入、具体的比较，引导学生悟道明理，立鸿鹄志，做奋斗者。久而久之，学生的学习兴趣高涨，各方面能力都得到促进和发展，成绩得到极大提升。由于业绩突出，我多次获评市县级骨干教师、名教师，最美思政教师等荣誉称号。</w:t>
      </w:r>
    </w:p>
    <w:p>
      <w:pPr>
        <w:keepNext w:val="0"/>
        <w:keepLines w:val="0"/>
        <w:pageBreakBefore w:val="0"/>
        <w:widowControl/>
        <w:kinsoku/>
        <w:wordWrap/>
        <w:overflowPunct/>
        <w:topLinePunct w:val="0"/>
        <w:autoSpaceDE/>
        <w:autoSpaceDN/>
        <w:bidi w:val="0"/>
        <w:adjustRightInd/>
        <w:snapToGrid/>
        <w:spacing w:line="360" w:lineRule="auto"/>
        <w:ind w:right="-51" w:firstLine="643" w:firstLineChars="200"/>
        <w:jc w:val="left"/>
        <w:textAlignment w:val="auto"/>
        <w:rPr>
          <w:rFonts w:hint="eastAsia" w:ascii="宋体" w:hAnsi="宋体" w:eastAsia="宋体" w:cs="宋体"/>
          <w:b/>
          <w:sz w:val="32"/>
          <w:szCs w:val="32"/>
        </w:rPr>
      </w:pPr>
      <w:bookmarkStart w:id="0" w:name="_GoBack"/>
      <w:bookmarkEnd w:id="0"/>
      <w:r>
        <w:rPr>
          <w:rFonts w:hint="eastAsia" w:ascii="宋体" w:hAnsi="宋体" w:eastAsia="宋体" w:cs="宋体"/>
          <w:b/>
          <w:sz w:val="32"/>
          <w:szCs w:val="32"/>
        </w:rPr>
        <w:t>三、突出求实创新，践行课程改革，潜心教研科研，做新课改新目标的实践者</w:t>
      </w:r>
    </w:p>
    <w:p>
      <w:pPr>
        <w:keepNext w:val="0"/>
        <w:keepLines w:val="0"/>
        <w:pageBreakBefore w:val="0"/>
        <w:widowControl/>
        <w:kinsoku/>
        <w:wordWrap/>
        <w:overflowPunct/>
        <w:topLinePunct w:val="0"/>
        <w:autoSpaceDE/>
        <w:autoSpaceDN/>
        <w:bidi w:val="0"/>
        <w:adjustRightInd/>
        <w:snapToGrid/>
        <w:spacing w:line="360" w:lineRule="auto"/>
        <w:ind w:left="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作为始终坚守在一线的思政教师，我的使命和担当就是立足本职、与时俱进、锐意探索，潜心教研科研，做新课改新目标的实践者。作为辽宁高考改革的第一批从教者，我积极参与国家和省市各级培训，认真学习和领会各级文件精神，协助学校领导开展工破解新高考改革难题，立足教学需要，主持或参与新课改科研课题的研究并获得结题，所撰写的论文《探讨高中思想政治课堂教学中爱国主义教育的融入》、《探究基于核心素养下的高中政治教学策略》分别在《科学与生活》和《中学课程辅导》杂志上发表，并获得教学成果一等奖。积极探索新课改形势下，基于学科核心素养的新的教学模式，打造符合时代发展和学生成长和认知规律的活动型政治课堂，特色鲜明，效果显著，带领学生走进多姿多彩的高中政治课堂，一改往日政治课给学生的无趣和枯燥的印象。我所参与的2017年立项的中国教育协会十三五教育科研课题《校本课程开发实现中华传统文化教育课程化》已于2020年9月结题。</w:t>
      </w:r>
    </w:p>
    <w:p>
      <w:pPr>
        <w:keepNext w:val="0"/>
        <w:keepLines w:val="0"/>
        <w:pageBreakBefore w:val="0"/>
        <w:widowControl/>
        <w:kinsoku/>
        <w:wordWrap/>
        <w:overflowPunct/>
        <w:topLinePunct w:val="0"/>
        <w:autoSpaceDE/>
        <w:autoSpaceDN/>
        <w:bidi w:val="0"/>
        <w:adjustRightInd/>
        <w:snapToGrid/>
        <w:spacing w:line="360" w:lineRule="auto"/>
        <w:ind w:right="-51" w:firstLine="643" w:firstLineChars="200"/>
        <w:jc w:val="left"/>
        <w:textAlignment w:val="auto"/>
        <w:rPr>
          <w:rFonts w:hint="eastAsia" w:ascii="宋体" w:hAnsi="宋体" w:eastAsia="宋体" w:cs="宋体"/>
          <w:b/>
          <w:sz w:val="32"/>
          <w:szCs w:val="32"/>
        </w:rPr>
      </w:pPr>
      <w:r>
        <w:rPr>
          <w:rFonts w:hint="eastAsia" w:ascii="宋体" w:hAnsi="宋体" w:eastAsia="宋体" w:cs="宋体"/>
          <w:b/>
          <w:sz w:val="32"/>
          <w:szCs w:val="32"/>
        </w:rPr>
        <w:t>四、坚定初心使命，注重言传身教，强调示范引领，做新岗位新征程的引路者</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作为鞍山市级骨干教师，我始终坚定不忘教育初心，牢记育人使命，在实际工作中身体力行，言传身教，注重示范引领 ，努力做青年教师和学生未来奋斗新岗位、开启新征程的引路者。海城同泽中学人文学社是海城同泽中学教师开展学术交流和教学研讨的重要平台，我作为首任社长，主编了学术期刊《同泽人文学刊》并定期开展学术交流活动，为同泽教师的成长和学术提高营造了良好学术氛围，使其在提高教师素质方面发挥了核心作用。我指导思政教师成长的同时，也在积极探索多学科课程思政化的路径，培养的青年教师李芳菲老师获“辽宁省地理青年教师大赛一等奖”。我还积极参加海城市教育局组织的“名师领航，开启学段衔接新引擎”活动，到海城市东四中学送教下乡，为该校初三师生和部分家长做《如何做好初高中衔接》专题讲座，帮助初中毕业年级学生及家长存在的初高中衔接的问题。</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多年的班主任和科任教师的言传身教，始终影响着我的学生学会与人为善，学会感受人世间的美好。引导学生思想的正确发展方向，培养他们成为社会发展需要的全面发展的人才。多年来所教学生也多次获得鞍山市三好学生、鞍山市优秀学生干部等荣誉称号。</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所谓厚积薄发，也正因为有自己如此的执着追求、潜心研究，也才有近年来的骄人成绩，并有幸成为鞍山市社区志愿团队教师、海城市“二十大”精神宣讲团成员。示范课《坚持党的领导》、《和平发展：新时代中国特色大国外交》等获得国家、省、市教学优质课。</w:t>
      </w:r>
    </w:p>
    <w:p>
      <w:pPr>
        <w:jc w:val="center"/>
        <w:rPr>
          <w:rFonts w:hint="eastAsia"/>
          <w:b/>
          <w:bCs/>
          <w:sz w:val="32"/>
          <w:szCs w:val="32"/>
          <w:lang w:val="en-US" w:eastAsia="zh-CN"/>
        </w:rPr>
      </w:pPr>
    </w:p>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185E1DA2"/>
    <w:rsid w:val="1BAA4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left="-50" w:right="-50"/>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2023-08-22T09:57:09Z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35812C1850DB43A8A97065407D53301E_12</vt:lpwstr>
  </property>
</Properties>
</file>