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3E3" w:rsidRDefault="00B01763">
      <w:pPr>
        <w:spacing w:line="540" w:lineRule="exact"/>
        <w:rPr>
          <w:rFonts w:ascii="黑体" w:eastAsia="黑体" w:hAnsi="黑体" w:cs="黑体"/>
          <w:bCs/>
          <w:sz w:val="28"/>
          <w:szCs w:val="28"/>
        </w:rPr>
      </w:pPr>
      <w:r>
        <w:rPr>
          <w:rFonts w:ascii="黑体" w:eastAsia="黑体" w:hAnsi="黑体" w:cs="黑体" w:hint="eastAsia"/>
          <w:bCs/>
          <w:sz w:val="28"/>
          <w:szCs w:val="28"/>
        </w:rPr>
        <w:t>附件</w:t>
      </w:r>
      <w:r>
        <w:rPr>
          <w:rFonts w:ascii="黑体" w:eastAsia="黑体" w:hAnsi="黑体" w:cs="黑体"/>
          <w:bCs/>
          <w:sz w:val="28"/>
          <w:szCs w:val="28"/>
        </w:rPr>
        <w:t>2</w:t>
      </w:r>
    </w:p>
    <w:p w:rsidR="00FF63E3" w:rsidRDefault="00FF63E3">
      <w:pPr>
        <w:spacing w:line="540" w:lineRule="exact"/>
        <w:jc w:val="center"/>
        <w:rPr>
          <w:b/>
          <w:sz w:val="44"/>
          <w:szCs w:val="44"/>
          <w:u w:val="single"/>
        </w:rPr>
      </w:pPr>
    </w:p>
    <w:p w:rsidR="00FF63E3" w:rsidRDefault="00FF63E3">
      <w:pPr>
        <w:spacing w:line="540" w:lineRule="exact"/>
        <w:jc w:val="center"/>
        <w:rPr>
          <w:b/>
          <w:sz w:val="44"/>
          <w:szCs w:val="44"/>
          <w:u w:val="single"/>
        </w:rPr>
      </w:pPr>
    </w:p>
    <w:p w:rsidR="00FF63E3" w:rsidRDefault="00FF63E3">
      <w:pPr>
        <w:spacing w:line="540" w:lineRule="exact"/>
        <w:jc w:val="center"/>
        <w:rPr>
          <w:b/>
          <w:sz w:val="44"/>
          <w:szCs w:val="44"/>
          <w:u w:val="single"/>
        </w:rPr>
      </w:pPr>
    </w:p>
    <w:p w:rsidR="00FF63E3" w:rsidRDefault="00FF63E3">
      <w:pPr>
        <w:spacing w:line="540" w:lineRule="exact"/>
        <w:jc w:val="center"/>
        <w:rPr>
          <w:b/>
          <w:sz w:val="44"/>
          <w:szCs w:val="44"/>
          <w:u w:val="single"/>
        </w:rPr>
      </w:pPr>
    </w:p>
    <w:p w:rsidR="00FF63E3" w:rsidRDefault="00FF63E3">
      <w:pPr>
        <w:spacing w:line="540" w:lineRule="exact"/>
        <w:jc w:val="center"/>
        <w:rPr>
          <w:b/>
          <w:sz w:val="44"/>
          <w:szCs w:val="44"/>
          <w:u w:val="single"/>
        </w:rPr>
      </w:pPr>
    </w:p>
    <w:p w:rsidR="000F7575" w:rsidRDefault="000F7575" w:rsidP="000F7575">
      <w:pPr>
        <w:jc w:val="center"/>
        <w:rPr>
          <w:rFonts w:ascii="宋体" w:hAnsi="宋体"/>
          <w:b/>
          <w:sz w:val="52"/>
          <w:szCs w:val="52"/>
        </w:rPr>
      </w:pPr>
      <w:r>
        <w:rPr>
          <w:rFonts w:ascii="宋体" w:hAnsi="宋体" w:hint="eastAsia"/>
          <w:b/>
          <w:sz w:val="52"/>
          <w:szCs w:val="52"/>
        </w:rPr>
        <w:t>鞍山市立山区纪委监委2021年度</w:t>
      </w:r>
    </w:p>
    <w:p w:rsidR="000F7575" w:rsidRDefault="000F7575" w:rsidP="000F7575">
      <w:pPr>
        <w:jc w:val="center"/>
        <w:rPr>
          <w:rFonts w:ascii="宋体" w:hAnsi="宋体"/>
          <w:b/>
          <w:sz w:val="52"/>
          <w:szCs w:val="52"/>
        </w:rPr>
      </w:pPr>
      <w:r>
        <w:rPr>
          <w:rFonts w:ascii="宋体" w:hAnsi="宋体" w:hint="eastAsia"/>
          <w:b/>
          <w:sz w:val="52"/>
          <w:szCs w:val="52"/>
        </w:rPr>
        <w:t>部门决算</w:t>
      </w:r>
    </w:p>
    <w:p w:rsidR="00FF63E3" w:rsidRPr="000F7575" w:rsidRDefault="00FF63E3">
      <w:pPr>
        <w:spacing w:line="540" w:lineRule="exact"/>
        <w:jc w:val="center"/>
        <w:rPr>
          <w:b/>
          <w:sz w:val="44"/>
          <w:szCs w:val="44"/>
          <w:u w:val="single"/>
        </w:rPr>
      </w:pPr>
    </w:p>
    <w:p w:rsidR="00FF63E3" w:rsidRDefault="00FF63E3">
      <w:pPr>
        <w:spacing w:line="540" w:lineRule="exact"/>
        <w:jc w:val="center"/>
        <w:rPr>
          <w:b/>
          <w:sz w:val="44"/>
          <w:szCs w:val="44"/>
          <w:u w:val="single"/>
        </w:rPr>
      </w:pPr>
    </w:p>
    <w:p w:rsidR="00FF63E3" w:rsidRDefault="00FF63E3">
      <w:pPr>
        <w:spacing w:line="540" w:lineRule="exact"/>
        <w:jc w:val="center"/>
        <w:rPr>
          <w:b/>
          <w:sz w:val="44"/>
          <w:szCs w:val="44"/>
          <w:u w:val="single"/>
        </w:rPr>
      </w:pPr>
    </w:p>
    <w:p w:rsidR="00FF63E3" w:rsidRDefault="00FF63E3">
      <w:pPr>
        <w:spacing w:line="540" w:lineRule="exact"/>
        <w:jc w:val="center"/>
        <w:rPr>
          <w:b/>
          <w:sz w:val="44"/>
          <w:szCs w:val="44"/>
          <w:u w:val="single"/>
        </w:rPr>
      </w:pPr>
    </w:p>
    <w:p w:rsidR="00FF63E3" w:rsidRDefault="00FF63E3">
      <w:pPr>
        <w:spacing w:line="540" w:lineRule="exact"/>
        <w:jc w:val="center"/>
        <w:rPr>
          <w:b/>
          <w:sz w:val="44"/>
          <w:szCs w:val="44"/>
          <w:u w:val="single"/>
        </w:rPr>
      </w:pPr>
    </w:p>
    <w:p w:rsidR="00FF63E3" w:rsidRDefault="00FF63E3">
      <w:pPr>
        <w:spacing w:line="540" w:lineRule="exact"/>
        <w:jc w:val="center"/>
        <w:rPr>
          <w:b/>
          <w:sz w:val="44"/>
          <w:szCs w:val="44"/>
          <w:u w:val="single"/>
        </w:rPr>
      </w:pPr>
    </w:p>
    <w:p w:rsidR="00FF63E3" w:rsidRDefault="00FF63E3">
      <w:pPr>
        <w:spacing w:line="540" w:lineRule="exact"/>
        <w:jc w:val="center"/>
        <w:rPr>
          <w:b/>
          <w:sz w:val="44"/>
          <w:szCs w:val="44"/>
          <w:u w:val="single"/>
        </w:rPr>
      </w:pPr>
    </w:p>
    <w:p w:rsidR="00FF63E3" w:rsidRDefault="00FF63E3">
      <w:pPr>
        <w:spacing w:line="540" w:lineRule="exact"/>
        <w:rPr>
          <w:b/>
          <w:sz w:val="44"/>
          <w:szCs w:val="44"/>
          <w:u w:val="single"/>
        </w:rPr>
      </w:pPr>
    </w:p>
    <w:p w:rsidR="00FF63E3" w:rsidRDefault="00FF63E3">
      <w:pPr>
        <w:spacing w:line="540" w:lineRule="exact"/>
        <w:jc w:val="center"/>
        <w:rPr>
          <w:b/>
          <w:sz w:val="44"/>
          <w:szCs w:val="44"/>
          <w:u w:val="single"/>
        </w:rPr>
      </w:pPr>
    </w:p>
    <w:p w:rsidR="00FF63E3" w:rsidRDefault="00FF63E3">
      <w:pPr>
        <w:spacing w:line="540" w:lineRule="exact"/>
        <w:jc w:val="center"/>
        <w:rPr>
          <w:b/>
          <w:sz w:val="44"/>
          <w:szCs w:val="44"/>
          <w:u w:val="single"/>
        </w:rPr>
      </w:pPr>
    </w:p>
    <w:p w:rsidR="00FF63E3" w:rsidRDefault="00FF63E3">
      <w:pPr>
        <w:spacing w:line="540" w:lineRule="exact"/>
        <w:jc w:val="center"/>
        <w:rPr>
          <w:b/>
          <w:sz w:val="44"/>
          <w:szCs w:val="44"/>
          <w:u w:val="single"/>
        </w:rPr>
      </w:pPr>
    </w:p>
    <w:p w:rsidR="00FF63E3" w:rsidRDefault="00FF63E3">
      <w:pPr>
        <w:spacing w:line="540" w:lineRule="exact"/>
        <w:jc w:val="center"/>
        <w:rPr>
          <w:b/>
          <w:sz w:val="44"/>
          <w:szCs w:val="44"/>
          <w:u w:val="single"/>
        </w:rPr>
      </w:pPr>
    </w:p>
    <w:p w:rsidR="00FF63E3" w:rsidRDefault="00FF63E3">
      <w:pPr>
        <w:spacing w:line="540" w:lineRule="exact"/>
        <w:jc w:val="center"/>
        <w:rPr>
          <w:b/>
          <w:sz w:val="44"/>
          <w:szCs w:val="44"/>
          <w:u w:val="single"/>
        </w:rPr>
      </w:pPr>
    </w:p>
    <w:p w:rsidR="00FF63E3" w:rsidRDefault="00FF63E3">
      <w:pPr>
        <w:spacing w:line="540" w:lineRule="exact"/>
        <w:jc w:val="center"/>
        <w:rPr>
          <w:b/>
          <w:sz w:val="44"/>
          <w:szCs w:val="44"/>
          <w:u w:val="single"/>
        </w:rPr>
      </w:pPr>
    </w:p>
    <w:p w:rsidR="00FF63E3" w:rsidRDefault="00FF63E3">
      <w:pPr>
        <w:spacing w:line="540" w:lineRule="exact"/>
        <w:jc w:val="center"/>
        <w:rPr>
          <w:b/>
          <w:sz w:val="44"/>
          <w:szCs w:val="44"/>
          <w:u w:val="single"/>
        </w:rPr>
      </w:pPr>
    </w:p>
    <w:p w:rsidR="00FF63E3" w:rsidRDefault="00FF63E3">
      <w:pPr>
        <w:spacing w:line="540" w:lineRule="exact"/>
        <w:rPr>
          <w:b/>
          <w:sz w:val="44"/>
          <w:szCs w:val="44"/>
        </w:rPr>
      </w:pPr>
    </w:p>
    <w:p w:rsidR="00FF63E3" w:rsidRDefault="00B01763">
      <w:pPr>
        <w:spacing w:line="540" w:lineRule="exact"/>
        <w:jc w:val="center"/>
        <w:rPr>
          <w:b/>
          <w:sz w:val="44"/>
          <w:szCs w:val="44"/>
        </w:rPr>
      </w:pPr>
      <w:r>
        <w:rPr>
          <w:rFonts w:hint="eastAsia"/>
          <w:b/>
          <w:sz w:val="44"/>
          <w:szCs w:val="44"/>
        </w:rPr>
        <w:t>目</w:t>
      </w:r>
      <w:r>
        <w:rPr>
          <w:rFonts w:hint="eastAsia"/>
          <w:b/>
          <w:sz w:val="44"/>
          <w:szCs w:val="44"/>
        </w:rPr>
        <w:t xml:space="preserve">    </w:t>
      </w:r>
      <w:r>
        <w:rPr>
          <w:rFonts w:hint="eastAsia"/>
          <w:b/>
          <w:sz w:val="44"/>
          <w:szCs w:val="44"/>
        </w:rPr>
        <w:t>录</w:t>
      </w:r>
    </w:p>
    <w:p w:rsidR="00FF63E3" w:rsidRDefault="00FF63E3">
      <w:pPr>
        <w:spacing w:line="540" w:lineRule="exact"/>
        <w:rPr>
          <w:b/>
          <w:sz w:val="44"/>
          <w:szCs w:val="44"/>
          <w:u w:val="single"/>
        </w:rPr>
      </w:pPr>
    </w:p>
    <w:p w:rsidR="00FF63E3" w:rsidRDefault="00B01763">
      <w:pPr>
        <w:spacing w:line="540" w:lineRule="exact"/>
        <w:rPr>
          <w:rFonts w:ascii="黑体" w:eastAsia="黑体" w:hAnsi="黑体"/>
          <w:sz w:val="32"/>
          <w:szCs w:val="32"/>
        </w:rPr>
      </w:pPr>
      <w:r>
        <w:rPr>
          <w:rFonts w:ascii="黑体" w:eastAsia="黑体" w:hAnsi="黑体" w:hint="eastAsia"/>
          <w:sz w:val="32"/>
          <w:szCs w:val="32"/>
        </w:rPr>
        <w:t>第一部分    部门概况</w:t>
      </w:r>
    </w:p>
    <w:p w:rsidR="00FF63E3" w:rsidRDefault="00B01763">
      <w:pPr>
        <w:numPr>
          <w:ilvl w:val="0"/>
          <w:numId w:val="1"/>
        </w:numPr>
        <w:tabs>
          <w:tab w:val="left" w:pos="720"/>
        </w:tabs>
        <w:spacing w:line="540" w:lineRule="exact"/>
        <w:rPr>
          <w:rFonts w:ascii="仿宋_GB2312" w:eastAsia="仿宋_GB2312" w:hAnsi="黑体"/>
          <w:sz w:val="32"/>
          <w:szCs w:val="32"/>
        </w:rPr>
      </w:pPr>
      <w:r>
        <w:rPr>
          <w:rFonts w:ascii="仿宋_GB2312" w:eastAsia="仿宋_GB2312" w:hAnsi="黑体" w:hint="eastAsia"/>
          <w:sz w:val="32"/>
          <w:szCs w:val="32"/>
        </w:rPr>
        <w:t>主要职责</w:t>
      </w:r>
    </w:p>
    <w:p w:rsidR="00FF63E3" w:rsidRDefault="00B01763">
      <w:pPr>
        <w:numPr>
          <w:ilvl w:val="0"/>
          <w:numId w:val="1"/>
        </w:numPr>
        <w:tabs>
          <w:tab w:val="left" w:pos="720"/>
        </w:tabs>
        <w:spacing w:line="540" w:lineRule="exact"/>
        <w:rPr>
          <w:rFonts w:ascii="仿宋_GB2312" w:eastAsia="仿宋_GB2312" w:hAnsi="黑体"/>
          <w:sz w:val="32"/>
          <w:szCs w:val="32"/>
        </w:rPr>
      </w:pPr>
      <w:r>
        <w:rPr>
          <w:rFonts w:ascii="仿宋_GB2312" w:eastAsia="仿宋_GB2312" w:hAnsi="黑体" w:hint="eastAsia"/>
          <w:sz w:val="32"/>
          <w:szCs w:val="32"/>
        </w:rPr>
        <w:t>部门决算单位构成</w:t>
      </w:r>
    </w:p>
    <w:p w:rsidR="00FF63E3" w:rsidRDefault="00B01763">
      <w:pPr>
        <w:spacing w:line="540" w:lineRule="exact"/>
        <w:rPr>
          <w:rFonts w:ascii="黑体" w:eastAsia="黑体" w:hAnsi="黑体"/>
          <w:sz w:val="32"/>
          <w:szCs w:val="32"/>
        </w:rPr>
      </w:pPr>
      <w:r>
        <w:rPr>
          <w:rFonts w:ascii="黑体" w:eastAsia="黑体" w:hAnsi="黑体" w:hint="eastAsia"/>
          <w:sz w:val="32"/>
          <w:szCs w:val="32"/>
        </w:rPr>
        <w:t>第二部分    2021年度部门决算情况说明</w:t>
      </w:r>
    </w:p>
    <w:p w:rsidR="00FF63E3" w:rsidRDefault="00B01763">
      <w:pPr>
        <w:spacing w:line="540" w:lineRule="exact"/>
        <w:rPr>
          <w:rFonts w:ascii="仿宋_GB2312" w:eastAsia="仿宋_GB2312"/>
          <w:sz w:val="32"/>
          <w:szCs w:val="32"/>
        </w:rPr>
      </w:pPr>
      <w:r>
        <w:rPr>
          <w:rFonts w:ascii="仿宋_GB2312" w:eastAsia="仿宋_GB2312" w:hint="eastAsia"/>
          <w:sz w:val="32"/>
          <w:szCs w:val="32"/>
        </w:rPr>
        <w:t>一、收入支出决算总体情况说明</w:t>
      </w:r>
    </w:p>
    <w:p w:rsidR="00FF63E3" w:rsidRDefault="00B01763">
      <w:pPr>
        <w:spacing w:line="540" w:lineRule="exact"/>
        <w:rPr>
          <w:rFonts w:ascii="仿宋_GB2312" w:eastAsia="仿宋_GB2312"/>
          <w:sz w:val="32"/>
          <w:szCs w:val="32"/>
        </w:rPr>
      </w:pPr>
      <w:r>
        <w:rPr>
          <w:rFonts w:ascii="仿宋_GB2312" w:eastAsia="仿宋_GB2312" w:hint="eastAsia"/>
          <w:sz w:val="32"/>
          <w:szCs w:val="32"/>
        </w:rPr>
        <w:t>二、财政拨款收入支出决算情况说明</w:t>
      </w:r>
    </w:p>
    <w:p w:rsidR="00FF63E3" w:rsidRDefault="00B01763">
      <w:pPr>
        <w:spacing w:line="540" w:lineRule="exact"/>
        <w:rPr>
          <w:rFonts w:ascii="仿宋_GB2312" w:eastAsia="仿宋_GB2312"/>
          <w:sz w:val="32"/>
          <w:szCs w:val="32"/>
        </w:rPr>
      </w:pPr>
      <w:r>
        <w:rPr>
          <w:rFonts w:ascii="仿宋_GB2312" w:eastAsia="仿宋_GB2312" w:hint="eastAsia"/>
          <w:sz w:val="32"/>
          <w:szCs w:val="32"/>
        </w:rPr>
        <w:t>三、一般公共预算财政拨款“三公”经费支出决算情况说明</w:t>
      </w:r>
    </w:p>
    <w:p w:rsidR="00FF63E3" w:rsidRDefault="00B01763">
      <w:pPr>
        <w:spacing w:line="540" w:lineRule="exact"/>
        <w:rPr>
          <w:rFonts w:ascii="仿宋_GB2312" w:eastAsia="仿宋_GB2312"/>
          <w:sz w:val="32"/>
          <w:szCs w:val="32"/>
        </w:rPr>
      </w:pPr>
      <w:r>
        <w:rPr>
          <w:rFonts w:ascii="仿宋_GB2312" w:eastAsia="仿宋_GB2312" w:hint="eastAsia"/>
          <w:sz w:val="32"/>
          <w:szCs w:val="32"/>
        </w:rPr>
        <w:t>四、一般公共预算财政拨款基本支出决算情况说明</w:t>
      </w:r>
    </w:p>
    <w:p w:rsidR="00FF63E3" w:rsidRDefault="00B01763">
      <w:pPr>
        <w:spacing w:line="540" w:lineRule="exact"/>
        <w:rPr>
          <w:rFonts w:ascii="仿宋_GB2312" w:eastAsia="仿宋_GB2312"/>
          <w:sz w:val="32"/>
          <w:szCs w:val="32"/>
        </w:rPr>
      </w:pPr>
      <w:r>
        <w:rPr>
          <w:rFonts w:ascii="仿宋_GB2312" w:eastAsia="仿宋_GB2312" w:hint="eastAsia"/>
          <w:sz w:val="32"/>
          <w:szCs w:val="32"/>
        </w:rPr>
        <w:t>五、其他重要事项的情况说明</w:t>
      </w:r>
    </w:p>
    <w:p w:rsidR="00FF63E3" w:rsidRDefault="00B01763">
      <w:pPr>
        <w:spacing w:line="540" w:lineRule="exact"/>
        <w:rPr>
          <w:rFonts w:ascii="黑体" w:eastAsia="黑体" w:hAnsi="黑体"/>
          <w:sz w:val="32"/>
          <w:szCs w:val="32"/>
        </w:rPr>
      </w:pPr>
      <w:r>
        <w:rPr>
          <w:rFonts w:ascii="黑体" w:eastAsia="黑体" w:hAnsi="黑体" w:hint="eastAsia"/>
          <w:sz w:val="32"/>
          <w:szCs w:val="32"/>
        </w:rPr>
        <w:t>第三部分    名词解释</w:t>
      </w:r>
    </w:p>
    <w:p w:rsidR="00FF63E3" w:rsidRDefault="00B01763">
      <w:pPr>
        <w:spacing w:line="540" w:lineRule="exact"/>
        <w:rPr>
          <w:rFonts w:ascii="黑体" w:eastAsia="黑体" w:hAnsi="黑体"/>
          <w:sz w:val="32"/>
          <w:szCs w:val="32"/>
        </w:rPr>
      </w:pPr>
      <w:r>
        <w:rPr>
          <w:rFonts w:ascii="黑体" w:eastAsia="黑体" w:hAnsi="黑体" w:hint="eastAsia"/>
          <w:sz w:val="32"/>
          <w:szCs w:val="32"/>
        </w:rPr>
        <w:t>第四部分    2021年度部门决算报表</w:t>
      </w:r>
    </w:p>
    <w:p w:rsidR="00FF63E3" w:rsidRDefault="00B01763">
      <w:pPr>
        <w:spacing w:line="540" w:lineRule="exact"/>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收入支出决算总表</w:t>
      </w:r>
    </w:p>
    <w:p w:rsidR="00FF63E3" w:rsidRDefault="00B01763">
      <w:pPr>
        <w:spacing w:line="540" w:lineRule="exact"/>
        <w:rPr>
          <w:rFonts w:ascii="仿宋_GB2312" w:eastAsia="仿宋_GB2312"/>
          <w:sz w:val="32"/>
          <w:szCs w:val="32"/>
        </w:rPr>
      </w:pPr>
      <w:r>
        <w:rPr>
          <w:rFonts w:ascii="仿宋_GB2312" w:eastAsia="仿宋_GB2312" w:hint="eastAsia"/>
          <w:sz w:val="32"/>
          <w:szCs w:val="32"/>
        </w:rPr>
        <w:t>二、收入决算表</w:t>
      </w:r>
    </w:p>
    <w:p w:rsidR="00FF63E3" w:rsidRDefault="00B01763">
      <w:pPr>
        <w:spacing w:line="540" w:lineRule="exact"/>
        <w:rPr>
          <w:rFonts w:ascii="仿宋_GB2312" w:eastAsia="仿宋_GB2312"/>
          <w:sz w:val="32"/>
          <w:szCs w:val="32"/>
        </w:rPr>
      </w:pPr>
      <w:r>
        <w:rPr>
          <w:rFonts w:ascii="仿宋_GB2312" w:eastAsia="仿宋_GB2312" w:hint="eastAsia"/>
          <w:sz w:val="32"/>
          <w:szCs w:val="32"/>
        </w:rPr>
        <w:t>三、支出决算表</w:t>
      </w:r>
    </w:p>
    <w:p w:rsidR="00FF63E3" w:rsidRDefault="00B01763">
      <w:pPr>
        <w:spacing w:line="54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财政拨款收入支出决算表</w:t>
      </w:r>
    </w:p>
    <w:p w:rsidR="00FF63E3" w:rsidRDefault="00B01763">
      <w:pPr>
        <w:spacing w:line="540" w:lineRule="exact"/>
        <w:rPr>
          <w:rFonts w:ascii="仿宋_GB2312" w:eastAsia="仿宋_GB2312"/>
          <w:sz w:val="32"/>
          <w:szCs w:val="32"/>
        </w:rPr>
      </w:pPr>
      <w:r>
        <w:rPr>
          <w:rFonts w:ascii="仿宋_GB2312" w:eastAsia="仿宋_GB2312" w:hint="eastAsia"/>
          <w:sz w:val="32"/>
          <w:szCs w:val="32"/>
        </w:rPr>
        <w:t>五、一般公共预算</w:t>
      </w:r>
      <w:r>
        <w:rPr>
          <w:rFonts w:ascii="仿宋_GB2312" w:eastAsia="仿宋_GB2312"/>
          <w:sz w:val="32"/>
          <w:szCs w:val="32"/>
        </w:rPr>
        <w:t>财政拨款支出决算表</w:t>
      </w:r>
    </w:p>
    <w:p w:rsidR="00FF63E3" w:rsidRDefault="00B01763">
      <w:pPr>
        <w:spacing w:line="540" w:lineRule="exact"/>
        <w:rPr>
          <w:rFonts w:ascii="仿宋_GB2312" w:eastAsia="仿宋_GB2312"/>
          <w:sz w:val="32"/>
          <w:szCs w:val="32"/>
        </w:rPr>
      </w:pPr>
      <w:r>
        <w:rPr>
          <w:rFonts w:ascii="仿宋_GB2312" w:eastAsia="仿宋_GB2312" w:hint="eastAsia"/>
          <w:sz w:val="32"/>
          <w:szCs w:val="32"/>
        </w:rPr>
        <w:t>六、一般公共预算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FF63E3" w:rsidRDefault="00B01763">
      <w:pPr>
        <w:spacing w:line="540" w:lineRule="exact"/>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政府性基金预算财政拨款支出决算表</w:t>
      </w:r>
    </w:p>
    <w:p w:rsidR="00FF63E3" w:rsidRDefault="00B01763">
      <w:pPr>
        <w:spacing w:line="540" w:lineRule="exact"/>
        <w:ind w:left="640" w:hangingChars="200" w:hanging="640"/>
        <w:rPr>
          <w:rFonts w:ascii="仿宋_GB2312" w:eastAsia="仿宋_GB2312"/>
          <w:sz w:val="32"/>
          <w:szCs w:val="32"/>
        </w:rPr>
      </w:pPr>
      <w:r>
        <w:rPr>
          <w:rFonts w:ascii="仿宋_GB2312" w:eastAsia="仿宋_GB2312" w:hint="eastAsia"/>
          <w:sz w:val="32"/>
          <w:szCs w:val="32"/>
        </w:rPr>
        <w:t>八、一般公共预算财政拨款“三公”经费支出决算表</w:t>
      </w:r>
    </w:p>
    <w:p w:rsidR="00FF63E3" w:rsidRDefault="00B01763">
      <w:pPr>
        <w:spacing w:line="540" w:lineRule="exact"/>
        <w:ind w:left="640" w:hangingChars="200" w:hanging="640"/>
        <w:rPr>
          <w:rFonts w:ascii="仿宋_GB2312" w:eastAsia="仿宋_GB2312"/>
          <w:sz w:val="32"/>
          <w:szCs w:val="32"/>
        </w:rPr>
      </w:pPr>
      <w:r>
        <w:rPr>
          <w:rFonts w:ascii="仿宋_GB2312" w:eastAsia="仿宋_GB2312" w:hint="eastAsia"/>
          <w:sz w:val="32"/>
          <w:szCs w:val="32"/>
        </w:rPr>
        <w:t>九、国有资本经营预算财政拨款支出决算表</w:t>
      </w:r>
    </w:p>
    <w:p w:rsidR="00FF63E3" w:rsidRDefault="00FF63E3">
      <w:pPr>
        <w:spacing w:line="540" w:lineRule="exact"/>
        <w:jc w:val="center"/>
        <w:rPr>
          <w:rFonts w:ascii="黑体" w:eastAsia="黑体" w:hAnsi="黑体"/>
          <w:b/>
          <w:sz w:val="44"/>
          <w:szCs w:val="44"/>
          <w:u w:val="single"/>
        </w:rPr>
      </w:pPr>
    </w:p>
    <w:p w:rsidR="00FF63E3" w:rsidRDefault="00B01763">
      <w:pPr>
        <w:spacing w:line="540" w:lineRule="exact"/>
        <w:jc w:val="center"/>
        <w:rPr>
          <w:rFonts w:ascii="宋体" w:hAnsi="宋体"/>
          <w:b/>
          <w:sz w:val="36"/>
          <w:szCs w:val="36"/>
        </w:rPr>
      </w:pPr>
      <w:r>
        <w:rPr>
          <w:rFonts w:hint="eastAsia"/>
          <w:b/>
          <w:sz w:val="44"/>
          <w:szCs w:val="44"/>
          <w:u w:val="single"/>
        </w:rPr>
        <w:br w:type="page"/>
      </w:r>
      <w:r>
        <w:rPr>
          <w:rFonts w:ascii="宋体" w:hAnsi="宋体" w:hint="eastAsia"/>
          <w:b/>
          <w:sz w:val="36"/>
          <w:szCs w:val="36"/>
        </w:rPr>
        <w:lastRenderedPageBreak/>
        <w:t>第一部分 部门概况</w:t>
      </w:r>
    </w:p>
    <w:p w:rsidR="00FF63E3" w:rsidRDefault="00FF63E3">
      <w:pPr>
        <w:spacing w:line="540" w:lineRule="exact"/>
        <w:ind w:firstLineChars="200" w:firstLine="640"/>
        <w:jc w:val="left"/>
        <w:rPr>
          <w:rFonts w:ascii="黑体" w:eastAsia="黑体"/>
          <w:sz w:val="32"/>
          <w:szCs w:val="32"/>
        </w:rPr>
      </w:pPr>
    </w:p>
    <w:p w:rsidR="00FF63E3" w:rsidRDefault="00B01763">
      <w:pPr>
        <w:spacing w:line="540" w:lineRule="exact"/>
        <w:ind w:firstLineChars="200" w:firstLine="640"/>
        <w:jc w:val="left"/>
        <w:rPr>
          <w:rFonts w:ascii="黑体" w:eastAsia="黑体"/>
          <w:sz w:val="32"/>
          <w:szCs w:val="32"/>
        </w:rPr>
      </w:pPr>
      <w:r>
        <w:rPr>
          <w:rFonts w:ascii="黑体" w:eastAsia="黑体" w:hint="eastAsia"/>
          <w:sz w:val="32"/>
          <w:szCs w:val="32"/>
        </w:rPr>
        <w:t>一、主要职责</w:t>
      </w:r>
    </w:p>
    <w:p w:rsidR="000D5266" w:rsidRPr="00F73C23" w:rsidRDefault="000D5266" w:rsidP="000D5266">
      <w:pPr>
        <w:widowControl/>
        <w:spacing w:line="600" w:lineRule="exact"/>
        <w:ind w:firstLineChars="200" w:firstLine="640"/>
        <w:jc w:val="left"/>
        <w:rPr>
          <w:rFonts w:ascii="仿宋_GB2312" w:eastAsia="仿宋_GB2312" w:hAnsi="仿宋" w:cs="宋体"/>
          <w:sz w:val="32"/>
          <w:szCs w:val="32"/>
        </w:rPr>
      </w:pPr>
      <w:r w:rsidRPr="00F73C23">
        <w:rPr>
          <w:rFonts w:ascii="仿宋_GB2312" w:eastAsia="仿宋_GB2312" w:hAnsi="仿宋" w:cs="宋体" w:hint="eastAsia"/>
          <w:sz w:val="32"/>
          <w:szCs w:val="32"/>
        </w:rPr>
        <w:t>纪律检查委员会主要任务：维护党的章程和其他党内法规，检查党的路线、方针、政策和决议的执行情况，协助党的委员会加强党风廉政建设和组织协调反腐工作。</w:t>
      </w:r>
    </w:p>
    <w:p w:rsidR="000D5266" w:rsidRPr="00F73C23" w:rsidRDefault="000D5266" w:rsidP="000D5266">
      <w:pPr>
        <w:widowControl/>
        <w:spacing w:line="600" w:lineRule="exact"/>
        <w:ind w:firstLineChars="200" w:firstLine="640"/>
        <w:jc w:val="left"/>
        <w:rPr>
          <w:rFonts w:ascii="仿宋_GB2312" w:eastAsia="仿宋_GB2312" w:hAnsi="仿宋" w:cs="宋体"/>
          <w:sz w:val="32"/>
          <w:szCs w:val="32"/>
        </w:rPr>
      </w:pPr>
      <w:r w:rsidRPr="00F73C23">
        <w:rPr>
          <w:rFonts w:ascii="仿宋_GB2312" w:eastAsia="仿宋_GB2312" w:hAnsi="仿宋" w:cs="宋体" w:hint="eastAsia"/>
          <w:sz w:val="32"/>
          <w:szCs w:val="32"/>
        </w:rPr>
        <w:t>纪律检查委员会要经常对党员进行遵守纪律的教育，做出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力。</w:t>
      </w:r>
    </w:p>
    <w:p w:rsidR="000D5266" w:rsidRPr="00F73C23" w:rsidRDefault="000D5266" w:rsidP="000D5266">
      <w:pPr>
        <w:widowControl/>
        <w:spacing w:line="600" w:lineRule="exact"/>
        <w:ind w:firstLineChars="200" w:firstLine="640"/>
        <w:jc w:val="left"/>
        <w:rPr>
          <w:rFonts w:ascii="仿宋_GB2312" w:eastAsia="仿宋_GB2312" w:hAnsi="仿宋" w:cs="宋体"/>
          <w:sz w:val="32"/>
          <w:szCs w:val="32"/>
        </w:rPr>
      </w:pPr>
      <w:r w:rsidRPr="00F73C23">
        <w:rPr>
          <w:rFonts w:ascii="仿宋_GB2312" w:eastAsia="仿宋_GB2312" w:hAnsi="仿宋" w:cs="宋体" w:hint="eastAsia"/>
          <w:sz w:val="32"/>
          <w:szCs w:val="32"/>
        </w:rPr>
        <w:t>监察机关主要职责：加强监察工作，保证政令通畅，维护行政纪律，促进廉政建设，改善行政管理，提高行政效能。</w:t>
      </w:r>
    </w:p>
    <w:p w:rsidR="000D5266" w:rsidRPr="00F73C23" w:rsidRDefault="000D5266" w:rsidP="000D5266">
      <w:pPr>
        <w:widowControl/>
        <w:spacing w:line="600" w:lineRule="exact"/>
        <w:ind w:firstLineChars="200" w:firstLine="640"/>
        <w:jc w:val="left"/>
        <w:rPr>
          <w:rFonts w:ascii="仿宋_GB2312" w:eastAsia="仿宋_GB2312" w:hAnsi="仿宋" w:cs="宋体"/>
          <w:sz w:val="32"/>
          <w:szCs w:val="32"/>
        </w:rPr>
      </w:pPr>
      <w:r w:rsidRPr="00F73C23">
        <w:rPr>
          <w:rFonts w:ascii="仿宋_GB2312" w:eastAsia="仿宋_GB2312" w:hAnsi="仿宋" w:cs="宋体" w:hint="eastAsia"/>
          <w:sz w:val="32"/>
          <w:szCs w:val="32"/>
        </w:rPr>
        <w:t>（1）检查我区行政机关在遵守和执行法律、法规和人民政府的决定、命令中的问题；</w:t>
      </w:r>
    </w:p>
    <w:p w:rsidR="000D5266" w:rsidRPr="00F73C23" w:rsidRDefault="000D5266" w:rsidP="000D5266">
      <w:pPr>
        <w:widowControl/>
        <w:spacing w:line="600" w:lineRule="exact"/>
        <w:ind w:firstLineChars="200" w:firstLine="640"/>
        <w:jc w:val="left"/>
        <w:rPr>
          <w:rFonts w:ascii="仿宋_GB2312" w:eastAsia="仿宋_GB2312" w:hAnsi="仿宋" w:cs="宋体"/>
          <w:sz w:val="32"/>
          <w:szCs w:val="32"/>
        </w:rPr>
      </w:pPr>
      <w:r w:rsidRPr="00F73C23">
        <w:rPr>
          <w:rFonts w:ascii="仿宋_GB2312" w:eastAsia="仿宋_GB2312" w:hAnsi="仿宋" w:cs="宋体" w:hint="eastAsia"/>
          <w:sz w:val="32"/>
          <w:szCs w:val="32"/>
        </w:rPr>
        <w:t>（2）受理对行政机关及其公务员和行政机关任命的其他人员违反行政纪律行为的控告、检举；</w:t>
      </w:r>
    </w:p>
    <w:p w:rsidR="000D5266" w:rsidRPr="00F73C23" w:rsidRDefault="000D5266" w:rsidP="000D5266">
      <w:pPr>
        <w:widowControl/>
        <w:spacing w:line="600" w:lineRule="exact"/>
        <w:ind w:firstLineChars="200" w:firstLine="640"/>
        <w:jc w:val="left"/>
        <w:rPr>
          <w:rFonts w:ascii="仿宋_GB2312" w:eastAsia="仿宋_GB2312" w:hAnsi="仿宋" w:cs="宋体"/>
          <w:sz w:val="32"/>
          <w:szCs w:val="32"/>
        </w:rPr>
      </w:pPr>
      <w:r w:rsidRPr="00F73C23">
        <w:rPr>
          <w:rFonts w:ascii="仿宋_GB2312" w:eastAsia="仿宋_GB2312" w:hAnsi="仿宋" w:cs="宋体" w:hint="eastAsia"/>
          <w:sz w:val="32"/>
          <w:szCs w:val="32"/>
        </w:rPr>
        <w:t>（3）调查处理行政机关及其公务员和行政机关任命的其他人员违反行政纪律的行为；</w:t>
      </w:r>
    </w:p>
    <w:p w:rsidR="000D5266" w:rsidRPr="00F73C23" w:rsidRDefault="000D5266" w:rsidP="000D5266">
      <w:pPr>
        <w:widowControl/>
        <w:spacing w:line="600" w:lineRule="exact"/>
        <w:ind w:firstLineChars="200" w:firstLine="640"/>
        <w:jc w:val="left"/>
        <w:rPr>
          <w:rFonts w:ascii="仿宋_GB2312" w:eastAsia="仿宋_GB2312" w:hAnsi="仿宋" w:cs="宋体"/>
          <w:sz w:val="32"/>
          <w:szCs w:val="32"/>
        </w:rPr>
      </w:pPr>
      <w:r w:rsidRPr="00F73C23">
        <w:rPr>
          <w:rFonts w:ascii="仿宋_GB2312" w:eastAsia="仿宋_GB2312" w:hAnsi="仿宋" w:cs="宋体" w:hint="eastAsia"/>
          <w:sz w:val="32"/>
          <w:szCs w:val="32"/>
        </w:rPr>
        <w:t>（4）受理行政机关公务员和行政机关任命的其他人员不服主管行政机关给予处分决定的申诉，以及法律、行政法规规定的其他由监察机关受理的申诉；</w:t>
      </w:r>
    </w:p>
    <w:p w:rsidR="000D5266" w:rsidRPr="00F73C23" w:rsidRDefault="000D5266" w:rsidP="000D5266">
      <w:pPr>
        <w:spacing w:line="540" w:lineRule="exact"/>
        <w:ind w:firstLineChars="200" w:firstLine="640"/>
        <w:jc w:val="left"/>
        <w:rPr>
          <w:rFonts w:ascii="仿宋_GB2312" w:eastAsia="仿宋_GB2312"/>
          <w:sz w:val="32"/>
          <w:szCs w:val="32"/>
        </w:rPr>
      </w:pPr>
      <w:r w:rsidRPr="00F73C23">
        <w:rPr>
          <w:rFonts w:ascii="仿宋_GB2312" w:eastAsia="仿宋_GB2312" w:hAnsi="仿宋" w:cs="宋体" w:hint="eastAsia"/>
          <w:sz w:val="32"/>
          <w:szCs w:val="32"/>
        </w:rPr>
        <w:lastRenderedPageBreak/>
        <w:t>（5）组织协调、检查指导政务公开工作和纠正损害群众利益的不正之风工作。</w:t>
      </w:r>
    </w:p>
    <w:p w:rsidR="00FF63E3" w:rsidRDefault="00B01763">
      <w:pPr>
        <w:spacing w:line="540" w:lineRule="exact"/>
        <w:ind w:firstLineChars="200" w:firstLine="640"/>
        <w:jc w:val="left"/>
        <w:rPr>
          <w:rFonts w:ascii="黑体" w:eastAsia="黑体"/>
          <w:sz w:val="32"/>
          <w:szCs w:val="32"/>
        </w:rPr>
      </w:pPr>
      <w:r>
        <w:rPr>
          <w:rFonts w:ascii="黑体" w:eastAsia="黑体" w:hint="eastAsia"/>
          <w:sz w:val="32"/>
          <w:szCs w:val="32"/>
        </w:rPr>
        <w:t>二、部门决算单位构成</w:t>
      </w:r>
    </w:p>
    <w:p w:rsidR="000D5266" w:rsidRDefault="000D5266" w:rsidP="006F14F6">
      <w:pPr>
        <w:spacing w:line="540" w:lineRule="exact"/>
        <w:ind w:firstLineChars="200" w:firstLine="640"/>
        <w:jc w:val="left"/>
        <w:rPr>
          <w:rFonts w:ascii="仿宋_GB2312" w:eastAsia="仿宋_GB2312"/>
          <w:sz w:val="32"/>
          <w:szCs w:val="32"/>
        </w:rPr>
      </w:pPr>
      <w:r>
        <w:rPr>
          <w:rFonts w:ascii="仿宋_GB2312" w:eastAsia="仿宋_GB2312" w:hint="eastAsia"/>
          <w:b/>
          <w:sz w:val="32"/>
          <w:szCs w:val="32"/>
        </w:rPr>
        <w:t>纳入立山区纪委监委2021年部门决算编制范围的二级预算单位没有</w:t>
      </w:r>
    </w:p>
    <w:p w:rsidR="000D5266" w:rsidRDefault="000D5266" w:rsidP="000D5266">
      <w:pPr>
        <w:spacing w:line="540" w:lineRule="exact"/>
        <w:jc w:val="left"/>
        <w:rPr>
          <w:rFonts w:ascii="宋体" w:hAnsi="宋体"/>
          <w:b/>
          <w:sz w:val="36"/>
          <w:szCs w:val="36"/>
        </w:rPr>
      </w:pPr>
    </w:p>
    <w:p w:rsidR="00FF63E3" w:rsidRDefault="00B01763">
      <w:pPr>
        <w:spacing w:line="540" w:lineRule="exact"/>
        <w:ind w:firstLineChars="200" w:firstLine="640"/>
        <w:jc w:val="center"/>
        <w:rPr>
          <w:rFonts w:ascii="宋体" w:hAnsi="宋体"/>
          <w:b/>
          <w:sz w:val="36"/>
          <w:szCs w:val="36"/>
        </w:rPr>
      </w:pPr>
      <w:r>
        <w:rPr>
          <w:rFonts w:ascii="仿宋_GB2312" w:eastAsia="仿宋_GB2312" w:hint="eastAsia"/>
          <w:sz w:val="32"/>
          <w:szCs w:val="32"/>
        </w:rPr>
        <w:t>……</w:t>
      </w:r>
      <w:r>
        <w:rPr>
          <w:rFonts w:ascii="仿宋_GB2312" w:eastAsia="仿宋_GB2312"/>
          <w:sz w:val="32"/>
          <w:szCs w:val="32"/>
        </w:rPr>
        <w:br w:type="page"/>
      </w:r>
      <w:r>
        <w:rPr>
          <w:rFonts w:ascii="宋体" w:hAnsi="宋体" w:hint="eastAsia"/>
          <w:b/>
          <w:sz w:val="36"/>
          <w:szCs w:val="36"/>
        </w:rPr>
        <w:lastRenderedPageBreak/>
        <w:t>第二部分 2021年度部门决算情况说明</w:t>
      </w:r>
    </w:p>
    <w:p w:rsidR="00FF63E3" w:rsidRDefault="00FF63E3">
      <w:pPr>
        <w:spacing w:line="540" w:lineRule="exact"/>
        <w:rPr>
          <w:rFonts w:ascii="宋体" w:hAnsi="宋体"/>
          <w:b/>
          <w:sz w:val="36"/>
          <w:szCs w:val="36"/>
        </w:rPr>
      </w:pPr>
    </w:p>
    <w:p w:rsidR="00FF63E3" w:rsidRDefault="00B01763">
      <w:pPr>
        <w:spacing w:line="540" w:lineRule="exact"/>
        <w:ind w:firstLineChars="196" w:firstLine="627"/>
        <w:rPr>
          <w:rFonts w:ascii="黑体" w:eastAsia="黑体" w:hAnsi="黑体"/>
          <w:sz w:val="32"/>
          <w:szCs w:val="32"/>
        </w:rPr>
      </w:pPr>
      <w:r>
        <w:rPr>
          <w:rFonts w:ascii="黑体" w:eastAsia="黑体" w:hAnsi="黑体" w:hint="eastAsia"/>
          <w:sz w:val="32"/>
          <w:szCs w:val="32"/>
        </w:rPr>
        <w:t>一、收入支出决算总体情况说明</w:t>
      </w:r>
    </w:p>
    <w:p w:rsidR="00FF63E3" w:rsidRDefault="00B01763">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w:t>
      </w:r>
      <w:r w:rsidR="00B462EF">
        <w:rPr>
          <w:rFonts w:ascii="楷体_GB2312" w:eastAsia="楷体_GB2312" w:hAnsi="宋体" w:hint="eastAsia"/>
          <w:b/>
          <w:sz w:val="32"/>
          <w:szCs w:val="32"/>
        </w:rPr>
        <w:t>823.92</w:t>
      </w:r>
      <w:r>
        <w:rPr>
          <w:rFonts w:ascii="楷体_GB2312" w:eastAsia="楷体_GB2312" w:hAnsi="宋体" w:hint="eastAsia"/>
          <w:b/>
          <w:sz w:val="32"/>
          <w:szCs w:val="32"/>
        </w:rPr>
        <w:t>万元，包括：</w:t>
      </w:r>
    </w:p>
    <w:p w:rsidR="00FF63E3" w:rsidRDefault="00B01763">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1.财政拨款收入</w:t>
      </w:r>
      <w:r w:rsidR="00B462EF">
        <w:rPr>
          <w:rFonts w:ascii="仿宋_GB2312" w:eastAsia="仿宋_GB2312" w:hAnsi="宋体" w:hint="eastAsia"/>
          <w:sz w:val="32"/>
          <w:szCs w:val="32"/>
        </w:rPr>
        <w:t>823.92</w:t>
      </w:r>
      <w:r>
        <w:rPr>
          <w:rFonts w:ascii="仿宋_GB2312" w:eastAsia="仿宋_GB2312" w:hAnsi="宋体" w:hint="eastAsia"/>
          <w:sz w:val="32"/>
          <w:szCs w:val="32"/>
        </w:rPr>
        <w:t>万元，占</w:t>
      </w:r>
      <w:r>
        <w:rPr>
          <w:rFonts w:ascii="仿宋_GB2312" w:eastAsia="仿宋_GB2312" w:hAnsi="宋体"/>
          <w:sz w:val="32"/>
          <w:szCs w:val="32"/>
        </w:rPr>
        <w:t>收入总计的</w:t>
      </w:r>
      <w:r w:rsidR="008E54AB">
        <w:rPr>
          <w:rFonts w:ascii="仿宋_GB2312" w:eastAsia="仿宋_GB2312" w:hAnsi="宋体" w:hint="eastAsia"/>
          <w:sz w:val="32"/>
          <w:szCs w:val="32"/>
        </w:rPr>
        <w:t>100</w:t>
      </w:r>
      <w:r>
        <w:rPr>
          <w:rFonts w:ascii="仿宋_GB2312" w:eastAsia="仿宋_GB2312" w:hAnsi="宋体"/>
          <w:sz w:val="32"/>
          <w:szCs w:val="32"/>
        </w:rPr>
        <w:t>%</w:t>
      </w:r>
      <w:r>
        <w:rPr>
          <w:rFonts w:ascii="仿宋_GB2312" w:eastAsia="仿宋_GB2312" w:hAnsi="宋体" w:hint="eastAsia"/>
          <w:sz w:val="32"/>
          <w:szCs w:val="32"/>
        </w:rPr>
        <w:t>。其中：一般公共预算财政拨款收入</w:t>
      </w:r>
      <w:r w:rsidR="00B462EF">
        <w:rPr>
          <w:rFonts w:ascii="仿宋_GB2312" w:eastAsia="仿宋_GB2312" w:hAnsi="宋体" w:hint="eastAsia"/>
          <w:sz w:val="32"/>
          <w:szCs w:val="32"/>
        </w:rPr>
        <w:t>823.92</w:t>
      </w:r>
      <w:r>
        <w:rPr>
          <w:rFonts w:ascii="仿宋_GB2312" w:eastAsia="仿宋_GB2312" w:hAnsi="宋体" w:hint="eastAsia"/>
          <w:sz w:val="32"/>
          <w:szCs w:val="32"/>
        </w:rPr>
        <w:t>万元，政府性基金收入</w:t>
      </w:r>
      <w:r>
        <w:rPr>
          <w:rFonts w:ascii="仿宋_GB2312" w:eastAsia="仿宋_GB2312" w:hAnsi="宋体"/>
          <w:sz w:val="32"/>
          <w:szCs w:val="32"/>
        </w:rPr>
        <w:t>XX</w:t>
      </w:r>
      <w:r>
        <w:rPr>
          <w:rFonts w:ascii="仿宋_GB2312" w:eastAsia="仿宋_GB2312" w:hAnsi="宋体" w:hint="eastAsia"/>
          <w:sz w:val="32"/>
          <w:szCs w:val="32"/>
        </w:rPr>
        <w:t>万元，国有资本经营预算财政拨款收入</w:t>
      </w:r>
      <w:r>
        <w:rPr>
          <w:rFonts w:ascii="仿宋_GB2312" w:eastAsia="仿宋_GB2312" w:hAnsi="宋体"/>
          <w:sz w:val="32"/>
          <w:szCs w:val="32"/>
        </w:rPr>
        <w:t>XX</w:t>
      </w:r>
      <w:r>
        <w:rPr>
          <w:rFonts w:ascii="仿宋_GB2312" w:eastAsia="仿宋_GB2312" w:hAnsi="宋体" w:hint="eastAsia"/>
          <w:sz w:val="32"/>
          <w:szCs w:val="32"/>
        </w:rPr>
        <w:t>万元。</w:t>
      </w:r>
    </w:p>
    <w:p w:rsidR="00FF63E3" w:rsidRDefault="00B01763">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2.上级补助收入</w:t>
      </w:r>
      <w:r>
        <w:rPr>
          <w:rFonts w:ascii="仿宋_GB2312" w:eastAsia="仿宋_GB2312" w:hAnsi="宋体"/>
          <w:sz w:val="32"/>
          <w:szCs w:val="32"/>
        </w:rPr>
        <w:t>XX</w:t>
      </w:r>
      <w:r>
        <w:rPr>
          <w:rFonts w:ascii="仿宋_GB2312" w:eastAsia="仿宋_GB2312" w:hAnsi="宋体" w:hint="eastAsia"/>
          <w:sz w:val="32"/>
          <w:szCs w:val="32"/>
        </w:rPr>
        <w:t>万元，占收入总计的XX%。主要是</w:t>
      </w:r>
      <w:r>
        <w:rPr>
          <w:rFonts w:ascii="仿宋_GB2312" w:eastAsia="仿宋_GB2312" w:hAnsi="宋体"/>
          <w:sz w:val="32"/>
          <w:szCs w:val="32"/>
        </w:rPr>
        <w:t>XX</w:t>
      </w:r>
      <w:r>
        <w:rPr>
          <w:rFonts w:ascii="仿宋_GB2312" w:eastAsia="仿宋_GB2312" w:hAnsi="宋体" w:hint="eastAsia"/>
          <w:sz w:val="32"/>
          <w:szCs w:val="32"/>
        </w:rPr>
        <w:t>等收入。</w:t>
      </w:r>
    </w:p>
    <w:p w:rsidR="00FF63E3" w:rsidRDefault="00B01763">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3.事业收入</w:t>
      </w:r>
      <w:r>
        <w:rPr>
          <w:rFonts w:ascii="仿宋_GB2312" w:eastAsia="仿宋_GB2312" w:hAnsi="宋体"/>
          <w:sz w:val="32"/>
          <w:szCs w:val="32"/>
        </w:rPr>
        <w:t>XX</w:t>
      </w:r>
      <w:r>
        <w:rPr>
          <w:rFonts w:ascii="仿宋_GB2312" w:eastAsia="仿宋_GB2312" w:hAnsi="宋体" w:hint="eastAsia"/>
          <w:sz w:val="32"/>
          <w:szCs w:val="32"/>
        </w:rPr>
        <w:t>万元，占收入总计的XX%。主要是</w:t>
      </w:r>
      <w:r>
        <w:rPr>
          <w:rFonts w:ascii="仿宋_GB2312" w:eastAsia="仿宋_GB2312" w:hAnsi="宋体"/>
          <w:sz w:val="32"/>
          <w:szCs w:val="32"/>
        </w:rPr>
        <w:t>XX</w:t>
      </w:r>
      <w:r>
        <w:rPr>
          <w:rFonts w:ascii="仿宋_GB2312" w:eastAsia="仿宋_GB2312" w:hAnsi="宋体" w:hint="eastAsia"/>
          <w:sz w:val="32"/>
          <w:szCs w:val="32"/>
        </w:rPr>
        <w:t>等收入。</w:t>
      </w:r>
    </w:p>
    <w:p w:rsidR="00FF63E3" w:rsidRDefault="00B01763">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4.经营收入</w:t>
      </w:r>
      <w:r>
        <w:rPr>
          <w:rFonts w:ascii="仿宋_GB2312" w:eastAsia="仿宋_GB2312" w:hAnsi="宋体"/>
          <w:sz w:val="32"/>
          <w:szCs w:val="32"/>
        </w:rPr>
        <w:t>XX</w:t>
      </w:r>
      <w:r>
        <w:rPr>
          <w:rFonts w:ascii="仿宋_GB2312" w:eastAsia="仿宋_GB2312" w:hAnsi="宋体" w:hint="eastAsia"/>
          <w:sz w:val="32"/>
          <w:szCs w:val="32"/>
        </w:rPr>
        <w:t>万元，占收入总计的XX%。主要是</w:t>
      </w:r>
      <w:r>
        <w:rPr>
          <w:rFonts w:ascii="仿宋_GB2312" w:eastAsia="仿宋_GB2312" w:hAnsi="宋体"/>
          <w:sz w:val="32"/>
          <w:szCs w:val="32"/>
        </w:rPr>
        <w:t>XX</w:t>
      </w:r>
      <w:r>
        <w:rPr>
          <w:rFonts w:ascii="仿宋_GB2312" w:eastAsia="仿宋_GB2312" w:hAnsi="宋体" w:hint="eastAsia"/>
          <w:sz w:val="32"/>
          <w:szCs w:val="32"/>
        </w:rPr>
        <w:t>等收入。</w:t>
      </w:r>
    </w:p>
    <w:p w:rsidR="00FF63E3" w:rsidRDefault="00B01763">
      <w:pPr>
        <w:spacing w:line="540" w:lineRule="exact"/>
        <w:ind w:firstLine="660"/>
        <w:rPr>
          <w:rFonts w:ascii="仿宋_GB2312" w:eastAsia="仿宋_GB2312" w:hAnsi="宋体"/>
          <w:sz w:val="32"/>
          <w:szCs w:val="32"/>
        </w:rPr>
      </w:pPr>
      <w:r>
        <w:rPr>
          <w:rFonts w:ascii="仿宋_GB2312" w:eastAsia="仿宋_GB2312" w:hAnsi="宋体" w:hint="eastAsia"/>
          <w:sz w:val="32"/>
          <w:szCs w:val="32"/>
        </w:rPr>
        <w:t>5.附属单位上缴收入</w:t>
      </w:r>
      <w:r>
        <w:rPr>
          <w:rFonts w:ascii="仿宋_GB2312" w:eastAsia="仿宋_GB2312" w:hAnsi="宋体"/>
          <w:sz w:val="32"/>
          <w:szCs w:val="32"/>
        </w:rPr>
        <w:t>XX</w:t>
      </w:r>
      <w:r>
        <w:rPr>
          <w:rFonts w:ascii="仿宋_GB2312" w:eastAsia="仿宋_GB2312" w:hAnsi="宋体" w:hint="eastAsia"/>
          <w:sz w:val="32"/>
          <w:szCs w:val="32"/>
        </w:rPr>
        <w:t>万元，占收入总计的XX%。主要是</w:t>
      </w:r>
      <w:r>
        <w:rPr>
          <w:rFonts w:ascii="仿宋_GB2312" w:eastAsia="仿宋_GB2312" w:hAnsi="宋体"/>
          <w:sz w:val="32"/>
          <w:szCs w:val="32"/>
        </w:rPr>
        <w:t>XX</w:t>
      </w:r>
      <w:r>
        <w:rPr>
          <w:rFonts w:ascii="仿宋_GB2312" w:eastAsia="仿宋_GB2312" w:hAnsi="宋体" w:hint="eastAsia"/>
          <w:sz w:val="32"/>
          <w:szCs w:val="32"/>
        </w:rPr>
        <w:t>等收入。</w:t>
      </w:r>
    </w:p>
    <w:p w:rsidR="00FF63E3" w:rsidRDefault="00B01763">
      <w:pPr>
        <w:spacing w:line="540" w:lineRule="exact"/>
        <w:ind w:firstLine="660"/>
        <w:rPr>
          <w:rFonts w:ascii="仿宋_GB2312" w:eastAsia="仿宋_GB2312" w:hAnsi="宋体"/>
          <w:sz w:val="32"/>
          <w:szCs w:val="32"/>
        </w:rPr>
      </w:pPr>
      <w:r>
        <w:rPr>
          <w:rFonts w:ascii="仿宋_GB2312" w:eastAsia="仿宋_GB2312" w:hAnsi="宋体" w:hint="eastAsia"/>
          <w:sz w:val="32"/>
          <w:szCs w:val="32"/>
        </w:rPr>
        <w:t>6.其他收入</w:t>
      </w:r>
      <w:r>
        <w:rPr>
          <w:rFonts w:ascii="仿宋_GB2312" w:eastAsia="仿宋_GB2312" w:hAnsi="宋体"/>
          <w:sz w:val="32"/>
          <w:szCs w:val="32"/>
        </w:rPr>
        <w:t>XX</w:t>
      </w:r>
      <w:r>
        <w:rPr>
          <w:rFonts w:ascii="仿宋_GB2312" w:eastAsia="仿宋_GB2312" w:hAnsi="宋体" w:hint="eastAsia"/>
          <w:sz w:val="32"/>
          <w:szCs w:val="32"/>
        </w:rPr>
        <w:t>万元，占收入总计的XX%。主要是</w:t>
      </w:r>
      <w:r>
        <w:rPr>
          <w:rFonts w:ascii="仿宋_GB2312" w:eastAsia="仿宋_GB2312" w:hAnsi="宋体"/>
          <w:sz w:val="32"/>
          <w:szCs w:val="32"/>
        </w:rPr>
        <w:t>XX</w:t>
      </w:r>
      <w:r>
        <w:rPr>
          <w:rFonts w:ascii="仿宋_GB2312" w:eastAsia="仿宋_GB2312" w:hAnsi="宋体" w:hint="eastAsia"/>
          <w:sz w:val="32"/>
          <w:szCs w:val="32"/>
        </w:rPr>
        <w:t>等收入。</w:t>
      </w:r>
    </w:p>
    <w:p w:rsidR="00FF63E3" w:rsidRDefault="00B01763">
      <w:pPr>
        <w:spacing w:line="540" w:lineRule="exact"/>
        <w:ind w:firstLine="660"/>
        <w:rPr>
          <w:rFonts w:ascii="仿宋_GB2312" w:eastAsia="仿宋_GB2312" w:hAnsi="宋体"/>
          <w:sz w:val="32"/>
          <w:szCs w:val="32"/>
        </w:rPr>
      </w:pPr>
      <w:r>
        <w:rPr>
          <w:rFonts w:ascii="仿宋_GB2312" w:eastAsia="仿宋_GB2312" w:hAnsi="宋体" w:hint="eastAsia"/>
          <w:sz w:val="32"/>
          <w:szCs w:val="32"/>
        </w:rPr>
        <w:t>7.使用非财政拨款结余</w:t>
      </w:r>
      <w:r>
        <w:rPr>
          <w:rFonts w:ascii="仿宋_GB2312" w:eastAsia="仿宋_GB2312" w:hAnsi="宋体"/>
          <w:sz w:val="32"/>
          <w:szCs w:val="32"/>
        </w:rPr>
        <w:t>XX</w:t>
      </w:r>
      <w:r>
        <w:rPr>
          <w:rFonts w:ascii="仿宋_GB2312" w:eastAsia="仿宋_GB2312" w:hAnsi="宋体" w:hint="eastAsia"/>
          <w:sz w:val="32"/>
          <w:szCs w:val="32"/>
        </w:rPr>
        <w:t>万元，占收入总计的XX%。主要是</w:t>
      </w:r>
      <w:r>
        <w:rPr>
          <w:rFonts w:ascii="仿宋_GB2312" w:eastAsia="仿宋_GB2312" w:hAnsi="宋体"/>
          <w:sz w:val="32"/>
          <w:szCs w:val="32"/>
        </w:rPr>
        <w:t>XX</w:t>
      </w:r>
      <w:r>
        <w:rPr>
          <w:rFonts w:ascii="仿宋_GB2312" w:eastAsia="仿宋_GB2312" w:hAnsi="宋体" w:hint="eastAsia"/>
          <w:sz w:val="32"/>
          <w:szCs w:val="32"/>
        </w:rPr>
        <w:t>等。</w:t>
      </w:r>
    </w:p>
    <w:p w:rsidR="00FF63E3" w:rsidRDefault="00B01763">
      <w:pPr>
        <w:spacing w:line="540" w:lineRule="exact"/>
        <w:ind w:firstLine="660"/>
        <w:rPr>
          <w:rFonts w:ascii="仿宋_GB2312" w:eastAsia="仿宋_GB2312" w:hAnsi="宋体"/>
          <w:sz w:val="32"/>
          <w:szCs w:val="32"/>
        </w:rPr>
      </w:pPr>
      <w:r>
        <w:rPr>
          <w:rFonts w:ascii="仿宋_GB2312" w:eastAsia="仿宋_GB2312" w:hAnsi="宋体" w:hint="eastAsia"/>
          <w:sz w:val="32"/>
          <w:szCs w:val="32"/>
        </w:rPr>
        <w:t>8.上年结转和结余</w:t>
      </w:r>
      <w:r w:rsidR="00B462EF">
        <w:rPr>
          <w:rFonts w:ascii="仿宋_GB2312" w:eastAsia="仿宋_GB2312" w:hAnsi="宋体" w:hint="eastAsia"/>
          <w:sz w:val="32"/>
          <w:szCs w:val="32"/>
        </w:rPr>
        <w:t>100.61</w:t>
      </w:r>
      <w:r>
        <w:rPr>
          <w:rFonts w:ascii="仿宋_GB2312" w:eastAsia="仿宋_GB2312" w:hAnsi="宋体" w:hint="eastAsia"/>
          <w:sz w:val="32"/>
          <w:szCs w:val="32"/>
        </w:rPr>
        <w:t>万元，占收入总计的</w:t>
      </w:r>
      <w:r w:rsidR="00B462EF">
        <w:rPr>
          <w:rFonts w:ascii="仿宋_GB2312" w:eastAsia="仿宋_GB2312" w:hAnsi="宋体" w:hint="eastAsia"/>
          <w:sz w:val="32"/>
          <w:szCs w:val="32"/>
        </w:rPr>
        <w:t>12.21</w:t>
      </w:r>
      <w:r>
        <w:rPr>
          <w:rFonts w:ascii="仿宋_GB2312" w:eastAsia="仿宋_GB2312" w:hAnsi="宋体" w:hint="eastAsia"/>
          <w:sz w:val="32"/>
          <w:szCs w:val="32"/>
        </w:rPr>
        <w:t>%。主要是</w:t>
      </w:r>
      <w:r w:rsidR="008E54AB">
        <w:rPr>
          <w:rFonts w:ascii="仿宋_GB2312" w:eastAsia="仿宋_GB2312" w:hAnsi="宋体"/>
          <w:sz w:val="32"/>
          <w:szCs w:val="32"/>
        </w:rPr>
        <w:t>财政拨款收入</w:t>
      </w:r>
      <w:r>
        <w:rPr>
          <w:rFonts w:ascii="仿宋_GB2312" w:eastAsia="仿宋_GB2312" w:hAnsi="宋体" w:hint="eastAsia"/>
          <w:sz w:val="32"/>
          <w:szCs w:val="32"/>
        </w:rPr>
        <w:t>。</w:t>
      </w:r>
    </w:p>
    <w:p w:rsidR="00FF63E3" w:rsidRDefault="00B01763">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与上年相比，今年收入增加（减少）</w:t>
      </w:r>
      <w:r w:rsidR="00B462EF">
        <w:rPr>
          <w:rFonts w:ascii="仿宋_GB2312" w:eastAsia="仿宋_GB2312" w:hAnsi="宋体" w:hint="eastAsia"/>
          <w:sz w:val="32"/>
          <w:szCs w:val="32"/>
        </w:rPr>
        <w:t>-555.99</w:t>
      </w:r>
      <w:r>
        <w:rPr>
          <w:rFonts w:ascii="仿宋_GB2312" w:eastAsia="仿宋_GB2312" w:hAnsi="宋体" w:hint="eastAsia"/>
          <w:sz w:val="32"/>
          <w:szCs w:val="32"/>
        </w:rPr>
        <w:t>万元，增长（降低）</w:t>
      </w:r>
      <w:r w:rsidR="00B462EF">
        <w:rPr>
          <w:rFonts w:ascii="仿宋_GB2312" w:eastAsia="仿宋_GB2312" w:hAnsi="宋体" w:hint="eastAsia"/>
          <w:sz w:val="32"/>
          <w:szCs w:val="32"/>
        </w:rPr>
        <w:t>-40.29</w:t>
      </w:r>
      <w:r>
        <w:rPr>
          <w:rFonts w:ascii="仿宋_GB2312" w:eastAsia="仿宋_GB2312" w:hAnsi="宋体" w:hint="eastAsia"/>
          <w:sz w:val="32"/>
          <w:szCs w:val="32"/>
        </w:rPr>
        <w:t>%，主要原因：</w:t>
      </w:r>
      <w:r>
        <w:rPr>
          <w:rFonts w:ascii="黑体" w:eastAsia="黑体" w:hAnsi="黑体" w:hint="eastAsia"/>
          <w:sz w:val="32"/>
          <w:szCs w:val="32"/>
        </w:rPr>
        <w:t>一是</w:t>
      </w:r>
      <w:r w:rsidR="00B462EF">
        <w:rPr>
          <w:rFonts w:ascii="黑体" w:eastAsia="黑体" w:hAnsi="黑体" w:hint="eastAsia"/>
          <w:sz w:val="32"/>
          <w:szCs w:val="32"/>
        </w:rPr>
        <w:t>节约财政资金</w:t>
      </w:r>
      <w:r>
        <w:rPr>
          <w:rFonts w:ascii="仿宋_GB2312" w:eastAsia="仿宋_GB2312" w:hAnsi="宋体" w:hint="eastAsia"/>
          <w:sz w:val="32"/>
          <w:szCs w:val="32"/>
        </w:rPr>
        <w:t>。</w:t>
      </w:r>
    </w:p>
    <w:p w:rsidR="00FF63E3" w:rsidRDefault="00B01763">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w:t>
      </w:r>
      <w:r w:rsidR="00B462EF">
        <w:rPr>
          <w:rFonts w:ascii="楷体_GB2312" w:eastAsia="楷体_GB2312" w:hAnsi="宋体" w:hint="eastAsia"/>
          <w:b/>
          <w:sz w:val="32"/>
          <w:szCs w:val="32"/>
        </w:rPr>
        <w:t>924.53</w:t>
      </w:r>
      <w:r>
        <w:rPr>
          <w:rFonts w:ascii="楷体_GB2312" w:eastAsia="楷体_GB2312" w:hAnsi="宋体" w:hint="eastAsia"/>
          <w:b/>
          <w:sz w:val="32"/>
          <w:szCs w:val="32"/>
        </w:rPr>
        <w:t>万元，包括：</w:t>
      </w:r>
    </w:p>
    <w:p w:rsidR="00FF63E3" w:rsidRDefault="00B01763">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1.</w:t>
      </w:r>
      <w:r w:rsidR="008E54AB">
        <w:rPr>
          <w:rFonts w:ascii="仿宋_GB2312" w:eastAsia="仿宋_GB2312" w:hAnsi="宋体" w:hint="eastAsia"/>
          <w:sz w:val="32"/>
          <w:szCs w:val="32"/>
        </w:rPr>
        <w:t>基本支</w:t>
      </w:r>
      <w:r w:rsidR="004F4F87">
        <w:rPr>
          <w:rFonts w:ascii="仿宋_GB2312" w:eastAsia="仿宋_GB2312" w:hAnsi="宋体" w:hint="eastAsia"/>
          <w:sz w:val="32"/>
          <w:szCs w:val="32"/>
        </w:rPr>
        <w:t>出</w:t>
      </w:r>
      <w:r w:rsidR="00B462EF">
        <w:rPr>
          <w:rFonts w:ascii="仿宋_GB2312" w:eastAsia="仿宋_GB2312" w:hAnsi="宋体" w:hint="eastAsia"/>
          <w:sz w:val="32"/>
          <w:szCs w:val="32"/>
        </w:rPr>
        <w:t>821.1</w:t>
      </w:r>
      <w:r>
        <w:rPr>
          <w:rFonts w:ascii="仿宋_GB2312" w:eastAsia="仿宋_GB2312" w:hAnsi="宋体" w:hint="eastAsia"/>
          <w:sz w:val="32"/>
          <w:szCs w:val="32"/>
        </w:rPr>
        <w:t>万元，占支出总计的</w:t>
      </w:r>
      <w:r w:rsidR="00B462EF">
        <w:rPr>
          <w:rFonts w:ascii="仿宋_GB2312" w:eastAsia="仿宋_GB2312" w:hAnsi="宋体" w:hint="eastAsia"/>
          <w:sz w:val="32"/>
          <w:szCs w:val="32"/>
        </w:rPr>
        <w:t>88.81</w:t>
      </w:r>
      <w:r>
        <w:rPr>
          <w:rFonts w:ascii="仿宋_GB2312" w:eastAsia="仿宋_GB2312" w:hAnsi="宋体" w:hint="eastAsia"/>
          <w:sz w:val="32"/>
          <w:szCs w:val="32"/>
        </w:rPr>
        <w:t>%。主要是为保障机构正常运转、完成日常工作任务而发生的各项支出，其中：工资福利支出</w:t>
      </w:r>
      <w:r w:rsidR="00B462EF">
        <w:rPr>
          <w:rFonts w:ascii="仿宋_GB2312" w:eastAsia="仿宋_GB2312" w:hAnsi="宋体" w:hint="eastAsia"/>
          <w:sz w:val="32"/>
          <w:szCs w:val="32"/>
        </w:rPr>
        <w:t>707.86</w:t>
      </w:r>
      <w:r>
        <w:rPr>
          <w:rFonts w:ascii="仿宋_GB2312" w:eastAsia="仿宋_GB2312" w:hAnsi="宋体" w:hint="eastAsia"/>
          <w:sz w:val="32"/>
          <w:szCs w:val="32"/>
        </w:rPr>
        <w:t>万元，对个人和家庭的补助支出</w:t>
      </w:r>
      <w:r w:rsidR="00B462EF">
        <w:rPr>
          <w:rFonts w:ascii="仿宋_GB2312" w:eastAsia="仿宋_GB2312" w:hAnsi="宋体" w:hint="eastAsia"/>
          <w:sz w:val="32"/>
          <w:szCs w:val="32"/>
        </w:rPr>
        <w:t>21.84</w:t>
      </w:r>
      <w:r>
        <w:rPr>
          <w:rFonts w:ascii="仿宋_GB2312" w:eastAsia="仿宋_GB2312" w:hAnsi="宋体" w:hint="eastAsia"/>
          <w:sz w:val="32"/>
          <w:szCs w:val="32"/>
        </w:rPr>
        <w:t>万元，商品和服务支出</w:t>
      </w:r>
      <w:r w:rsidR="00B462EF">
        <w:rPr>
          <w:rFonts w:ascii="仿宋_GB2312" w:eastAsia="仿宋_GB2312" w:hAnsi="宋体" w:hint="eastAsia"/>
          <w:sz w:val="32"/>
          <w:szCs w:val="32"/>
        </w:rPr>
        <w:t>126.27</w:t>
      </w:r>
      <w:r w:rsidR="004F4F87">
        <w:rPr>
          <w:rFonts w:ascii="仿宋_GB2312" w:eastAsia="仿宋_GB2312" w:hAnsi="宋体" w:hint="eastAsia"/>
          <w:sz w:val="32"/>
          <w:szCs w:val="32"/>
        </w:rPr>
        <w:t>万元</w:t>
      </w:r>
      <w:r>
        <w:rPr>
          <w:rFonts w:ascii="仿宋_GB2312" w:eastAsia="仿宋_GB2312" w:hAnsi="宋体" w:hint="eastAsia"/>
          <w:sz w:val="32"/>
          <w:szCs w:val="32"/>
        </w:rPr>
        <w:t>。</w:t>
      </w:r>
    </w:p>
    <w:p w:rsidR="00FF63E3" w:rsidRDefault="00B01763">
      <w:pPr>
        <w:spacing w:line="540" w:lineRule="exact"/>
        <w:ind w:firstLine="660"/>
        <w:rPr>
          <w:rFonts w:ascii="仿宋_GB2312" w:eastAsia="仿宋_GB2312" w:hAnsi="宋体"/>
          <w:sz w:val="32"/>
          <w:szCs w:val="32"/>
        </w:rPr>
      </w:pPr>
      <w:r>
        <w:rPr>
          <w:rFonts w:ascii="仿宋_GB2312" w:eastAsia="仿宋_GB2312" w:hAnsi="宋体" w:hint="eastAsia"/>
          <w:sz w:val="32"/>
          <w:szCs w:val="32"/>
        </w:rPr>
        <w:t>2.项目支出</w:t>
      </w:r>
      <w:r w:rsidR="00B462EF">
        <w:rPr>
          <w:rFonts w:ascii="仿宋_GB2312" w:eastAsia="仿宋_GB2312" w:hAnsi="宋体" w:hint="eastAsia"/>
          <w:sz w:val="32"/>
          <w:szCs w:val="32"/>
        </w:rPr>
        <w:t>103.43</w:t>
      </w:r>
      <w:r>
        <w:rPr>
          <w:rFonts w:ascii="仿宋_GB2312" w:eastAsia="仿宋_GB2312" w:hAnsi="宋体" w:hint="eastAsia"/>
          <w:sz w:val="32"/>
          <w:szCs w:val="32"/>
        </w:rPr>
        <w:t>万元，占支出总计的</w:t>
      </w:r>
      <w:r w:rsidR="00B462EF">
        <w:rPr>
          <w:rFonts w:ascii="仿宋_GB2312" w:eastAsia="仿宋_GB2312" w:hAnsi="宋体" w:hint="eastAsia"/>
          <w:sz w:val="32"/>
          <w:szCs w:val="32"/>
        </w:rPr>
        <w:t>11.19</w:t>
      </w:r>
      <w:r>
        <w:rPr>
          <w:rFonts w:ascii="仿宋_GB2312" w:eastAsia="仿宋_GB2312" w:hAnsi="宋体" w:hint="eastAsia"/>
          <w:sz w:val="32"/>
          <w:szCs w:val="32"/>
        </w:rPr>
        <w:t>%。主要包括</w:t>
      </w:r>
      <w:r w:rsidR="004F4F87">
        <w:rPr>
          <w:rFonts w:ascii="仿宋_GB2312" w:eastAsia="仿宋_GB2312" w:hAnsi="宋体"/>
          <w:sz w:val="32"/>
          <w:szCs w:val="32"/>
        </w:rPr>
        <w:t>办公设备购置</w:t>
      </w:r>
      <w:r>
        <w:rPr>
          <w:rFonts w:ascii="仿宋_GB2312" w:eastAsia="仿宋_GB2312" w:hAnsi="宋体" w:hint="eastAsia"/>
          <w:sz w:val="32"/>
          <w:szCs w:val="32"/>
        </w:rPr>
        <w:t>等业务支出。</w:t>
      </w:r>
    </w:p>
    <w:p w:rsidR="00FF63E3" w:rsidRDefault="00B01763">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3.上缴上级支出</w:t>
      </w:r>
      <w:r>
        <w:rPr>
          <w:rFonts w:ascii="仿宋_GB2312" w:eastAsia="仿宋_GB2312" w:hAnsi="宋体"/>
          <w:sz w:val="32"/>
          <w:szCs w:val="32"/>
        </w:rPr>
        <w:t>XX</w:t>
      </w:r>
      <w:r>
        <w:rPr>
          <w:rFonts w:ascii="仿宋_GB2312" w:eastAsia="仿宋_GB2312" w:hAnsi="宋体" w:hint="eastAsia"/>
          <w:sz w:val="32"/>
          <w:szCs w:val="32"/>
        </w:rPr>
        <w:t>万元，占支出总计的XX%。主要包括</w:t>
      </w:r>
      <w:r>
        <w:rPr>
          <w:rFonts w:ascii="仿宋_GB2312" w:eastAsia="仿宋_GB2312" w:hAnsi="宋体"/>
          <w:sz w:val="32"/>
          <w:szCs w:val="32"/>
        </w:rPr>
        <w:t>XX</w:t>
      </w:r>
      <w:r>
        <w:rPr>
          <w:rFonts w:ascii="仿宋_GB2312" w:eastAsia="仿宋_GB2312" w:hAnsi="宋体" w:hint="eastAsia"/>
          <w:sz w:val="32"/>
          <w:szCs w:val="32"/>
        </w:rPr>
        <w:t>等业务支出。</w:t>
      </w:r>
    </w:p>
    <w:p w:rsidR="00FF63E3" w:rsidRDefault="00B01763">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4.经营支出</w:t>
      </w:r>
      <w:r>
        <w:rPr>
          <w:rFonts w:ascii="仿宋_GB2312" w:eastAsia="仿宋_GB2312" w:hAnsi="宋体"/>
          <w:sz w:val="32"/>
          <w:szCs w:val="32"/>
        </w:rPr>
        <w:t>XX</w:t>
      </w:r>
      <w:r>
        <w:rPr>
          <w:rFonts w:ascii="仿宋_GB2312" w:eastAsia="仿宋_GB2312" w:hAnsi="宋体" w:hint="eastAsia"/>
          <w:sz w:val="32"/>
          <w:szCs w:val="32"/>
        </w:rPr>
        <w:t>万元，占支出总计的XX%。主要包括</w:t>
      </w:r>
      <w:r>
        <w:rPr>
          <w:rFonts w:ascii="仿宋_GB2312" w:eastAsia="仿宋_GB2312" w:hAnsi="宋体"/>
          <w:sz w:val="32"/>
          <w:szCs w:val="32"/>
        </w:rPr>
        <w:t>XX</w:t>
      </w:r>
      <w:r>
        <w:rPr>
          <w:rFonts w:ascii="仿宋_GB2312" w:eastAsia="仿宋_GB2312" w:hAnsi="宋体" w:hint="eastAsia"/>
          <w:sz w:val="32"/>
          <w:szCs w:val="32"/>
        </w:rPr>
        <w:t>等业务支出。</w:t>
      </w:r>
    </w:p>
    <w:p w:rsidR="00FF63E3" w:rsidRDefault="00B01763">
      <w:pPr>
        <w:spacing w:line="540" w:lineRule="exact"/>
        <w:ind w:firstLine="660"/>
        <w:rPr>
          <w:rFonts w:ascii="仿宋_GB2312" w:eastAsia="仿宋_GB2312" w:hAnsi="宋体"/>
          <w:sz w:val="32"/>
          <w:szCs w:val="32"/>
        </w:rPr>
      </w:pPr>
      <w:r>
        <w:rPr>
          <w:rFonts w:ascii="仿宋_GB2312" w:eastAsia="仿宋_GB2312" w:hAnsi="宋体" w:hint="eastAsia"/>
          <w:sz w:val="32"/>
          <w:szCs w:val="32"/>
        </w:rPr>
        <w:t>5.对附属单位补助支出</w:t>
      </w:r>
      <w:r>
        <w:rPr>
          <w:rFonts w:ascii="仿宋_GB2312" w:eastAsia="仿宋_GB2312" w:hAnsi="宋体"/>
          <w:sz w:val="32"/>
          <w:szCs w:val="32"/>
        </w:rPr>
        <w:t>XX</w:t>
      </w:r>
      <w:r>
        <w:rPr>
          <w:rFonts w:ascii="仿宋_GB2312" w:eastAsia="仿宋_GB2312" w:hAnsi="宋体" w:hint="eastAsia"/>
          <w:sz w:val="32"/>
          <w:szCs w:val="32"/>
        </w:rPr>
        <w:t>万元，占支出总计的XX%。主要包括</w:t>
      </w:r>
      <w:r>
        <w:rPr>
          <w:rFonts w:ascii="仿宋_GB2312" w:eastAsia="仿宋_GB2312" w:hAnsi="宋体"/>
          <w:sz w:val="32"/>
          <w:szCs w:val="32"/>
        </w:rPr>
        <w:t>XX</w:t>
      </w:r>
      <w:r>
        <w:rPr>
          <w:rFonts w:ascii="仿宋_GB2312" w:eastAsia="仿宋_GB2312" w:hAnsi="宋体" w:hint="eastAsia"/>
          <w:sz w:val="32"/>
          <w:szCs w:val="32"/>
        </w:rPr>
        <w:t>等业务支出。</w:t>
      </w:r>
    </w:p>
    <w:p w:rsidR="00FF63E3" w:rsidRDefault="00B01763">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与上年相比，今年支出增加（减少）</w:t>
      </w:r>
      <w:r>
        <w:rPr>
          <w:rFonts w:ascii="仿宋_GB2312" w:eastAsia="仿宋_GB2312" w:hAnsi="宋体"/>
          <w:sz w:val="32"/>
          <w:szCs w:val="32"/>
        </w:rPr>
        <w:t>XX</w:t>
      </w:r>
      <w:r>
        <w:rPr>
          <w:rFonts w:ascii="仿宋_GB2312" w:eastAsia="仿宋_GB2312" w:hAnsi="宋体" w:hint="eastAsia"/>
          <w:sz w:val="32"/>
          <w:szCs w:val="32"/>
        </w:rPr>
        <w:t>万元，增长（降低）</w:t>
      </w:r>
      <w:r>
        <w:rPr>
          <w:rFonts w:ascii="仿宋_GB2312" w:eastAsia="仿宋_GB2312" w:hAnsi="宋体"/>
          <w:sz w:val="32"/>
          <w:szCs w:val="32"/>
        </w:rPr>
        <w:t>XX</w:t>
      </w:r>
      <w:r>
        <w:rPr>
          <w:rFonts w:ascii="仿宋_GB2312" w:eastAsia="仿宋_GB2312" w:hAnsi="宋体" w:hint="eastAsia"/>
          <w:sz w:val="32"/>
          <w:szCs w:val="32"/>
        </w:rPr>
        <w:t>%，主要原因：</w:t>
      </w:r>
      <w:r>
        <w:rPr>
          <w:rFonts w:ascii="黑体" w:eastAsia="黑体" w:hAnsi="黑体" w:hint="eastAsia"/>
          <w:sz w:val="32"/>
          <w:szCs w:val="32"/>
        </w:rPr>
        <w:t>一是</w:t>
      </w:r>
      <w:r>
        <w:rPr>
          <w:rFonts w:ascii="仿宋_GB2312" w:eastAsia="仿宋_GB2312" w:hAnsi="宋体"/>
          <w:sz w:val="32"/>
          <w:szCs w:val="32"/>
        </w:rPr>
        <w:t>XX</w:t>
      </w:r>
      <w:r>
        <w:rPr>
          <w:rFonts w:ascii="仿宋_GB2312" w:eastAsia="仿宋_GB2312" w:hAnsi="宋体" w:hint="eastAsia"/>
          <w:sz w:val="32"/>
          <w:szCs w:val="32"/>
        </w:rPr>
        <w:t>；</w:t>
      </w:r>
      <w:r>
        <w:rPr>
          <w:rFonts w:ascii="黑体" w:eastAsia="黑体" w:hAnsi="黑体" w:hint="eastAsia"/>
          <w:sz w:val="32"/>
          <w:szCs w:val="32"/>
        </w:rPr>
        <w:t>二是</w:t>
      </w:r>
      <w:r>
        <w:rPr>
          <w:rFonts w:ascii="仿宋_GB2312" w:eastAsia="仿宋_GB2312" w:hAnsi="宋体"/>
          <w:sz w:val="32"/>
          <w:szCs w:val="32"/>
        </w:rPr>
        <w:t>XX</w:t>
      </w:r>
      <w:r>
        <w:rPr>
          <w:rFonts w:ascii="仿宋_GB2312" w:eastAsia="仿宋_GB2312" w:hAnsi="宋体"/>
          <w:sz w:val="32"/>
          <w:szCs w:val="32"/>
        </w:rPr>
        <w:t>……</w:t>
      </w:r>
      <w:r>
        <w:rPr>
          <w:rFonts w:ascii="仿宋_GB2312" w:eastAsia="仿宋_GB2312" w:hAnsi="宋体" w:hint="eastAsia"/>
          <w:sz w:val="32"/>
          <w:szCs w:val="32"/>
        </w:rPr>
        <w:t>。</w:t>
      </w:r>
    </w:p>
    <w:p w:rsidR="00FF63E3" w:rsidRDefault="00B01763">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（三）年末结转和结余</w:t>
      </w:r>
      <w:r w:rsidR="004F4F87">
        <w:rPr>
          <w:rFonts w:ascii="楷体_GB2312" w:eastAsia="楷体_GB2312" w:hAnsi="宋体" w:hint="eastAsia"/>
          <w:b/>
          <w:sz w:val="32"/>
          <w:szCs w:val="32"/>
        </w:rPr>
        <w:t>0</w:t>
      </w:r>
      <w:r>
        <w:rPr>
          <w:rFonts w:ascii="楷体_GB2312" w:eastAsia="楷体_GB2312" w:hAnsi="宋体" w:hint="eastAsia"/>
          <w:b/>
          <w:sz w:val="32"/>
          <w:szCs w:val="32"/>
        </w:rPr>
        <w:t>万元。</w:t>
      </w:r>
    </w:p>
    <w:p w:rsidR="00FF63E3" w:rsidRDefault="00B01763">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与上年相比，今年结转结余增加（减少）</w:t>
      </w:r>
      <w:r w:rsidR="004F4F87">
        <w:rPr>
          <w:rFonts w:ascii="仿宋_GB2312" w:eastAsia="仿宋_GB2312" w:hAnsi="宋体" w:hint="eastAsia"/>
          <w:sz w:val="32"/>
          <w:szCs w:val="32"/>
        </w:rPr>
        <w:t>-</w:t>
      </w:r>
      <w:r w:rsidR="00B462EF">
        <w:rPr>
          <w:rFonts w:ascii="仿宋_GB2312" w:eastAsia="仿宋_GB2312" w:hAnsi="宋体" w:hint="eastAsia"/>
          <w:sz w:val="32"/>
          <w:szCs w:val="32"/>
        </w:rPr>
        <w:t>198.86</w:t>
      </w:r>
      <w:r>
        <w:rPr>
          <w:rFonts w:ascii="仿宋_GB2312" w:eastAsia="仿宋_GB2312" w:hAnsi="宋体" w:hint="eastAsia"/>
          <w:sz w:val="32"/>
          <w:szCs w:val="32"/>
        </w:rPr>
        <w:t>万元，增长（降低）</w:t>
      </w:r>
      <w:r w:rsidR="004F4F87">
        <w:rPr>
          <w:rFonts w:ascii="仿宋_GB2312" w:eastAsia="仿宋_GB2312" w:hAnsi="宋体" w:hint="eastAsia"/>
          <w:sz w:val="32"/>
          <w:szCs w:val="32"/>
        </w:rPr>
        <w:t>-100</w:t>
      </w:r>
      <w:r>
        <w:rPr>
          <w:rFonts w:ascii="仿宋_GB2312" w:eastAsia="仿宋_GB2312" w:hAnsi="宋体" w:hint="eastAsia"/>
          <w:sz w:val="32"/>
          <w:szCs w:val="32"/>
        </w:rPr>
        <w:t>%，主要原因：</w:t>
      </w:r>
      <w:r>
        <w:rPr>
          <w:rFonts w:ascii="黑体" w:eastAsia="黑体" w:hAnsi="黑体" w:hint="eastAsia"/>
          <w:sz w:val="32"/>
          <w:szCs w:val="32"/>
        </w:rPr>
        <w:t>一是</w:t>
      </w:r>
      <w:r w:rsidR="004F4F87">
        <w:rPr>
          <w:rFonts w:ascii="仿宋_GB2312" w:eastAsia="仿宋_GB2312" w:hAnsi="宋体"/>
          <w:sz w:val="32"/>
          <w:szCs w:val="32"/>
        </w:rPr>
        <w:t>零余额上缴</w:t>
      </w:r>
      <w:r>
        <w:rPr>
          <w:rFonts w:ascii="仿宋_GB2312" w:eastAsia="仿宋_GB2312" w:hAnsi="宋体" w:hint="eastAsia"/>
          <w:sz w:val="32"/>
          <w:szCs w:val="32"/>
        </w:rPr>
        <w:t>。</w:t>
      </w:r>
    </w:p>
    <w:p w:rsidR="00FF63E3" w:rsidRPr="004F4F87" w:rsidRDefault="00B01763" w:rsidP="004F4F87">
      <w:pPr>
        <w:pStyle w:val="a6"/>
        <w:numPr>
          <w:ilvl w:val="0"/>
          <w:numId w:val="1"/>
        </w:numPr>
        <w:spacing w:line="540" w:lineRule="exact"/>
        <w:ind w:firstLineChars="0"/>
        <w:rPr>
          <w:rFonts w:ascii="黑体" w:eastAsia="黑体" w:hAnsi="黑体"/>
          <w:sz w:val="32"/>
          <w:szCs w:val="32"/>
        </w:rPr>
      </w:pPr>
      <w:r w:rsidRPr="004F4F87">
        <w:rPr>
          <w:rFonts w:ascii="黑体" w:eastAsia="黑体" w:hAnsi="黑体" w:hint="eastAsia"/>
          <w:sz w:val="32"/>
          <w:szCs w:val="32"/>
        </w:rPr>
        <w:t>财政拨款支出决算情况说明</w:t>
      </w:r>
    </w:p>
    <w:p w:rsidR="00FF63E3" w:rsidRDefault="00B01763">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FF63E3" w:rsidRDefault="00B01763">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2021年度财政拨款支出</w:t>
      </w:r>
      <w:r w:rsidR="005F4B0B">
        <w:rPr>
          <w:rFonts w:ascii="仿宋_GB2312" w:eastAsia="仿宋_GB2312" w:hAnsi="宋体" w:hint="eastAsia"/>
          <w:sz w:val="32"/>
          <w:szCs w:val="32"/>
        </w:rPr>
        <w:t>924.53</w:t>
      </w:r>
      <w:r>
        <w:rPr>
          <w:rFonts w:ascii="仿宋_GB2312" w:eastAsia="仿宋_GB2312" w:hAnsi="宋体" w:hint="eastAsia"/>
          <w:sz w:val="32"/>
          <w:szCs w:val="32"/>
        </w:rPr>
        <w:t>万元，其中：基本支出</w:t>
      </w:r>
      <w:r w:rsidR="005F4B0B">
        <w:rPr>
          <w:rFonts w:ascii="仿宋_GB2312" w:eastAsia="仿宋_GB2312" w:hAnsi="宋体" w:hint="eastAsia"/>
          <w:sz w:val="32"/>
          <w:szCs w:val="32"/>
        </w:rPr>
        <w:t>821.1</w:t>
      </w:r>
      <w:r>
        <w:rPr>
          <w:rFonts w:ascii="仿宋_GB2312" w:eastAsia="仿宋_GB2312" w:hAnsi="宋体" w:hint="eastAsia"/>
          <w:sz w:val="32"/>
          <w:szCs w:val="32"/>
        </w:rPr>
        <w:t>万元，项目支出</w:t>
      </w:r>
      <w:r w:rsidR="005F4B0B">
        <w:rPr>
          <w:rFonts w:ascii="仿宋_GB2312" w:eastAsia="仿宋_GB2312" w:hAnsi="宋体" w:hint="eastAsia"/>
          <w:sz w:val="32"/>
          <w:szCs w:val="32"/>
        </w:rPr>
        <w:t>103.43</w:t>
      </w:r>
      <w:r>
        <w:rPr>
          <w:rFonts w:ascii="仿宋_GB2312" w:eastAsia="仿宋_GB2312" w:hAnsi="宋体" w:hint="eastAsia"/>
          <w:sz w:val="32"/>
          <w:szCs w:val="32"/>
        </w:rPr>
        <w:t>万元。与</w:t>
      </w:r>
      <w:r>
        <w:rPr>
          <w:rFonts w:ascii="仿宋_GB2312" w:eastAsia="仿宋_GB2312" w:hAnsi="宋体"/>
          <w:sz w:val="32"/>
          <w:szCs w:val="32"/>
        </w:rPr>
        <w:t>上年相比，</w:t>
      </w:r>
      <w:r>
        <w:rPr>
          <w:rFonts w:ascii="仿宋_GB2312" w:eastAsia="仿宋_GB2312" w:hAnsi="宋体" w:hint="eastAsia"/>
          <w:sz w:val="32"/>
          <w:szCs w:val="32"/>
        </w:rPr>
        <w:t>财政拨款支出增加（减少）</w:t>
      </w:r>
      <w:r w:rsidR="005F4B0B">
        <w:rPr>
          <w:rFonts w:ascii="仿宋_GB2312" w:eastAsia="仿宋_GB2312" w:hAnsi="宋体" w:hint="eastAsia"/>
          <w:sz w:val="32"/>
          <w:szCs w:val="32"/>
        </w:rPr>
        <w:t>-338.73</w:t>
      </w:r>
      <w:r>
        <w:rPr>
          <w:rFonts w:ascii="仿宋_GB2312" w:eastAsia="仿宋_GB2312" w:hAnsi="宋体" w:hint="eastAsia"/>
          <w:sz w:val="32"/>
          <w:szCs w:val="32"/>
        </w:rPr>
        <w:t>万元，增长（降低）</w:t>
      </w:r>
      <w:r w:rsidR="005F4B0B">
        <w:rPr>
          <w:rFonts w:ascii="仿宋_GB2312" w:eastAsia="仿宋_GB2312" w:hAnsi="宋体" w:hint="eastAsia"/>
          <w:sz w:val="32"/>
          <w:szCs w:val="32"/>
        </w:rPr>
        <w:t>-26.81</w:t>
      </w:r>
      <w:r>
        <w:rPr>
          <w:rFonts w:ascii="仿宋_GB2312" w:eastAsia="仿宋_GB2312" w:hAnsi="宋体" w:hint="eastAsia"/>
          <w:sz w:val="32"/>
          <w:szCs w:val="32"/>
        </w:rPr>
        <w:t>%，主要原因：</w:t>
      </w:r>
      <w:r>
        <w:rPr>
          <w:rFonts w:ascii="黑体" w:eastAsia="黑体" w:hAnsi="黑体" w:hint="eastAsia"/>
          <w:sz w:val="32"/>
          <w:szCs w:val="32"/>
        </w:rPr>
        <w:t>一是</w:t>
      </w:r>
      <w:r w:rsidR="005F4B0B">
        <w:rPr>
          <w:rFonts w:ascii="仿宋_GB2312" w:eastAsia="仿宋_GB2312" w:hAnsi="宋体" w:hint="eastAsia"/>
          <w:sz w:val="32"/>
          <w:szCs w:val="32"/>
        </w:rPr>
        <w:t>节约财政资金，压缩专项支出</w:t>
      </w:r>
      <w:r>
        <w:rPr>
          <w:rFonts w:ascii="仿宋_GB2312" w:eastAsia="仿宋_GB2312" w:hAnsi="宋体" w:hint="eastAsia"/>
          <w:sz w:val="32"/>
          <w:szCs w:val="32"/>
        </w:rPr>
        <w:t>。与年初预算相比，2021年度财政拨款支出完成年初预算的</w:t>
      </w:r>
      <w:r w:rsidR="005F4B0B">
        <w:rPr>
          <w:rFonts w:ascii="仿宋_GB2312" w:eastAsia="仿宋_GB2312" w:hAnsi="宋体" w:hint="eastAsia"/>
          <w:sz w:val="32"/>
          <w:szCs w:val="32"/>
        </w:rPr>
        <w:t>110.36</w:t>
      </w:r>
      <w:r>
        <w:rPr>
          <w:rFonts w:ascii="仿宋_GB2312" w:eastAsia="仿宋_GB2312" w:hAnsi="宋体" w:hint="eastAsia"/>
          <w:sz w:val="32"/>
          <w:szCs w:val="32"/>
        </w:rPr>
        <w:t>%，其中：基本支出完成年初预算的</w:t>
      </w:r>
      <w:r w:rsidR="005F4B0B">
        <w:rPr>
          <w:rFonts w:ascii="仿宋_GB2312" w:eastAsia="仿宋_GB2312" w:hAnsi="宋体" w:hint="eastAsia"/>
          <w:sz w:val="32"/>
          <w:szCs w:val="32"/>
        </w:rPr>
        <w:lastRenderedPageBreak/>
        <w:t>98.02</w:t>
      </w:r>
      <w:r>
        <w:rPr>
          <w:rFonts w:ascii="仿宋_GB2312" w:eastAsia="仿宋_GB2312" w:hAnsi="宋体" w:hint="eastAsia"/>
          <w:sz w:val="32"/>
          <w:szCs w:val="32"/>
        </w:rPr>
        <w:t>%，项目完成年初预算的%。</w:t>
      </w:r>
    </w:p>
    <w:p w:rsidR="00FF63E3" w:rsidRDefault="00B01763">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（二）一般公共预算财政拨款支出情况。</w:t>
      </w:r>
    </w:p>
    <w:p w:rsidR="00FF63E3" w:rsidRDefault="00B01763">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2021年度一般公共预算财政拨款支出</w:t>
      </w:r>
      <w:r w:rsidR="005F4B0B">
        <w:rPr>
          <w:rFonts w:ascii="仿宋_GB2312" w:eastAsia="仿宋_GB2312" w:hAnsi="宋体" w:hint="eastAsia"/>
          <w:sz w:val="32"/>
          <w:szCs w:val="32"/>
        </w:rPr>
        <w:t>924.53</w:t>
      </w:r>
      <w:r>
        <w:rPr>
          <w:rFonts w:ascii="仿宋_GB2312" w:eastAsia="仿宋_GB2312" w:hAnsi="宋体" w:hint="eastAsia"/>
          <w:sz w:val="32"/>
          <w:szCs w:val="32"/>
        </w:rPr>
        <w:t>万元，按支出功能分类科目分，包括：一般公共服务支出</w:t>
      </w:r>
      <w:r w:rsidR="005F4B0B">
        <w:rPr>
          <w:rFonts w:ascii="仿宋_GB2312" w:eastAsia="仿宋_GB2312" w:hAnsi="宋体" w:hint="eastAsia"/>
          <w:sz w:val="32"/>
          <w:szCs w:val="32"/>
        </w:rPr>
        <w:t>924.53</w:t>
      </w:r>
      <w:r>
        <w:rPr>
          <w:rFonts w:ascii="仿宋_GB2312" w:eastAsia="仿宋_GB2312" w:hAnsi="宋体" w:hint="eastAsia"/>
          <w:sz w:val="32"/>
          <w:szCs w:val="32"/>
        </w:rPr>
        <w:t>万元，占</w:t>
      </w:r>
      <w:r w:rsidR="005F4B0B">
        <w:rPr>
          <w:rFonts w:ascii="仿宋_GB2312" w:eastAsia="仿宋_GB2312" w:hAnsi="宋体" w:hint="eastAsia"/>
          <w:sz w:val="32"/>
          <w:szCs w:val="32"/>
        </w:rPr>
        <w:t>100</w:t>
      </w:r>
      <w:r>
        <w:rPr>
          <w:rFonts w:ascii="仿宋_GB2312" w:eastAsia="仿宋_GB2312" w:hAnsi="宋体"/>
          <w:sz w:val="32"/>
          <w:szCs w:val="32"/>
        </w:rPr>
        <w:t>%</w:t>
      </w:r>
      <w:r>
        <w:rPr>
          <w:rFonts w:ascii="仿宋_GB2312" w:eastAsia="仿宋_GB2312" w:hAnsi="宋体" w:hint="eastAsia"/>
          <w:sz w:val="32"/>
          <w:szCs w:val="32"/>
        </w:rPr>
        <w:t>。</w:t>
      </w:r>
    </w:p>
    <w:p w:rsidR="00FF63E3" w:rsidRDefault="00B01763">
      <w:pPr>
        <w:spacing w:line="540" w:lineRule="exact"/>
        <w:ind w:firstLine="660"/>
        <w:rPr>
          <w:rFonts w:ascii="仿宋_GB2312" w:eastAsia="仿宋_GB2312" w:hAnsi="宋体"/>
          <w:sz w:val="32"/>
          <w:szCs w:val="32"/>
        </w:rPr>
      </w:pPr>
      <w:r>
        <w:rPr>
          <w:rFonts w:ascii="仿宋_GB2312" w:eastAsia="仿宋_GB2312" w:hAnsi="宋体" w:hint="eastAsia"/>
          <w:sz w:val="32"/>
          <w:szCs w:val="32"/>
        </w:rPr>
        <w:t>1.一般公共服务支出</w:t>
      </w:r>
      <w:r w:rsidR="00EE5AF8">
        <w:rPr>
          <w:rFonts w:ascii="仿宋_GB2312" w:eastAsia="仿宋_GB2312" w:hAnsi="宋体" w:hint="eastAsia"/>
          <w:sz w:val="32"/>
          <w:szCs w:val="32"/>
        </w:rPr>
        <w:t>767.9</w:t>
      </w:r>
      <w:r>
        <w:rPr>
          <w:rFonts w:ascii="仿宋_GB2312" w:eastAsia="仿宋_GB2312" w:hAnsi="宋体" w:hint="eastAsia"/>
          <w:sz w:val="32"/>
          <w:szCs w:val="32"/>
        </w:rPr>
        <w:t>万元，具体包括：</w:t>
      </w:r>
    </w:p>
    <w:p w:rsidR="00FF63E3" w:rsidRDefault="00B01763">
      <w:pPr>
        <w:spacing w:line="540" w:lineRule="exact"/>
        <w:ind w:firstLine="660"/>
        <w:rPr>
          <w:rFonts w:ascii="仿宋_GB2312" w:eastAsia="仿宋_GB2312" w:hAnsi="宋体"/>
          <w:sz w:val="32"/>
          <w:szCs w:val="32"/>
        </w:rPr>
      </w:pPr>
      <w:r>
        <w:rPr>
          <w:rFonts w:ascii="仿宋_GB2312" w:eastAsia="仿宋_GB2312" w:hAnsi="宋体" w:hint="eastAsia"/>
          <w:sz w:val="32"/>
          <w:szCs w:val="32"/>
        </w:rPr>
        <w:t>（1）一般公共服务支出（类）财政事务（款）行政运行（项）</w:t>
      </w:r>
      <w:r w:rsidR="00EE5AF8">
        <w:rPr>
          <w:rFonts w:ascii="仿宋_GB2312" w:eastAsia="仿宋_GB2312" w:hAnsi="宋体" w:hint="eastAsia"/>
          <w:sz w:val="32"/>
          <w:szCs w:val="32"/>
        </w:rPr>
        <w:t>664.47</w:t>
      </w:r>
      <w:r>
        <w:rPr>
          <w:rFonts w:ascii="仿宋_GB2312" w:eastAsia="仿宋_GB2312" w:hAnsi="宋体" w:hint="eastAsia"/>
          <w:sz w:val="32"/>
          <w:szCs w:val="32"/>
        </w:rPr>
        <w:t>万元，主要是</w:t>
      </w:r>
      <w:r w:rsidR="00EE5AF8">
        <w:rPr>
          <w:rFonts w:ascii="仿宋_GB2312" w:eastAsia="仿宋_GB2312" w:hAnsi="宋体"/>
          <w:sz w:val="32"/>
          <w:szCs w:val="32"/>
        </w:rPr>
        <w:t>人员经费</w:t>
      </w:r>
      <w:r>
        <w:rPr>
          <w:rFonts w:ascii="仿宋_GB2312" w:eastAsia="仿宋_GB2312" w:hAnsi="宋体" w:hint="eastAsia"/>
          <w:sz w:val="32"/>
          <w:szCs w:val="32"/>
        </w:rPr>
        <w:t>等支出，完成年初预算的</w:t>
      </w:r>
      <w:r w:rsidR="00EE5AF8">
        <w:rPr>
          <w:rFonts w:ascii="仿宋_GB2312" w:eastAsia="仿宋_GB2312" w:hAnsi="宋体" w:hint="eastAsia"/>
          <w:sz w:val="32"/>
          <w:szCs w:val="32"/>
        </w:rPr>
        <w:t>106.58</w:t>
      </w:r>
      <w:r>
        <w:rPr>
          <w:rFonts w:ascii="仿宋_GB2312" w:eastAsia="仿宋_GB2312" w:hAnsi="宋体" w:hint="eastAsia"/>
          <w:sz w:val="32"/>
          <w:szCs w:val="32"/>
        </w:rPr>
        <w:t>%，决算数小于（大于）年初预算数的原因主要是</w:t>
      </w:r>
      <w:r w:rsidR="00EE5AF8">
        <w:rPr>
          <w:rFonts w:ascii="仿宋_GB2312" w:eastAsia="仿宋_GB2312" w:hAnsi="宋体"/>
          <w:sz w:val="32"/>
          <w:szCs w:val="32"/>
        </w:rPr>
        <w:t>工资调标</w:t>
      </w:r>
      <w:r>
        <w:rPr>
          <w:rFonts w:ascii="仿宋_GB2312" w:eastAsia="仿宋_GB2312" w:hAnsi="宋体" w:hint="eastAsia"/>
          <w:sz w:val="32"/>
          <w:szCs w:val="32"/>
        </w:rPr>
        <w:t>。</w:t>
      </w:r>
    </w:p>
    <w:p w:rsidR="00FF63E3" w:rsidRDefault="00B01763">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（三）政府性基金预算财政拨款支出情况。</w:t>
      </w:r>
    </w:p>
    <w:p w:rsidR="00FF63E3" w:rsidRDefault="00B01763">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2021年度政府性基金预算财政拨款支出</w:t>
      </w:r>
      <w:r>
        <w:rPr>
          <w:rFonts w:ascii="仿宋_GB2312" w:eastAsia="仿宋_GB2312" w:hAnsi="宋体"/>
          <w:sz w:val="32"/>
          <w:szCs w:val="32"/>
        </w:rPr>
        <w:t>XX</w:t>
      </w:r>
      <w:r>
        <w:rPr>
          <w:rFonts w:ascii="仿宋_GB2312" w:eastAsia="仿宋_GB2312" w:hAnsi="宋体" w:hint="eastAsia"/>
          <w:sz w:val="32"/>
          <w:szCs w:val="32"/>
        </w:rPr>
        <w:t>万元，按支出功能分类科目分，包括：……。</w:t>
      </w:r>
    </w:p>
    <w:p w:rsidR="00FF63E3" w:rsidRDefault="00B01763">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p>
    <w:p w:rsidR="00FF63E3" w:rsidRDefault="00B01763">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（四）国有资本经营预算财政拨款支出情况。</w:t>
      </w:r>
    </w:p>
    <w:p w:rsidR="00FF63E3" w:rsidRDefault="00B01763">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2021年度国有资本经营预算财政拨款支出</w:t>
      </w:r>
      <w:r>
        <w:rPr>
          <w:rFonts w:ascii="仿宋_GB2312" w:eastAsia="仿宋_GB2312" w:hAnsi="宋体"/>
          <w:sz w:val="32"/>
          <w:szCs w:val="32"/>
        </w:rPr>
        <w:t>XX</w:t>
      </w:r>
      <w:r>
        <w:rPr>
          <w:rFonts w:ascii="仿宋_GB2312" w:eastAsia="仿宋_GB2312" w:hAnsi="宋体" w:hint="eastAsia"/>
          <w:sz w:val="32"/>
          <w:szCs w:val="32"/>
        </w:rPr>
        <w:t>万元，按支出功能分类科目分，包括：……。</w:t>
      </w:r>
    </w:p>
    <w:p w:rsidR="00FF63E3" w:rsidRDefault="00B01763">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p>
    <w:p w:rsidR="00FF63E3" w:rsidRDefault="00B01763">
      <w:pPr>
        <w:spacing w:line="540" w:lineRule="exact"/>
        <w:ind w:firstLine="660"/>
        <w:rPr>
          <w:rFonts w:ascii="黑体" w:eastAsia="黑体" w:hAnsi="黑体"/>
          <w:sz w:val="32"/>
          <w:szCs w:val="32"/>
        </w:rPr>
      </w:pPr>
      <w:r>
        <w:rPr>
          <w:rFonts w:ascii="黑体" w:eastAsia="黑体" w:hAnsi="黑体" w:hint="eastAsia"/>
          <w:sz w:val="32"/>
          <w:szCs w:val="32"/>
        </w:rPr>
        <w:t>三、一般公共预算财政拨款“三公”经费支出决算情况说明</w:t>
      </w:r>
    </w:p>
    <w:p w:rsidR="00FF63E3" w:rsidRDefault="00B01763">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2021年度一般公共预算财政拨款安排的“三公”经费支出</w:t>
      </w:r>
      <w:r w:rsidR="00EE5AF8">
        <w:rPr>
          <w:rFonts w:ascii="仿宋_GB2312" w:eastAsia="仿宋_GB2312" w:hAnsi="宋体" w:hint="eastAsia"/>
          <w:sz w:val="32"/>
          <w:szCs w:val="32"/>
        </w:rPr>
        <w:t>6.64</w:t>
      </w:r>
      <w:r>
        <w:rPr>
          <w:rFonts w:ascii="仿宋_GB2312" w:eastAsia="仿宋_GB2312" w:hAnsi="宋体" w:hint="eastAsia"/>
          <w:sz w:val="32"/>
          <w:szCs w:val="32"/>
        </w:rPr>
        <w:t>万元，完成年初预算的</w:t>
      </w:r>
      <w:r w:rsidR="00EE5AF8">
        <w:rPr>
          <w:rFonts w:ascii="仿宋_GB2312" w:eastAsia="仿宋_GB2312" w:hAnsi="宋体" w:hint="eastAsia"/>
          <w:sz w:val="32"/>
          <w:szCs w:val="32"/>
        </w:rPr>
        <w:t>85.13</w:t>
      </w:r>
      <w:r>
        <w:rPr>
          <w:rFonts w:ascii="仿宋_GB2312" w:eastAsia="仿宋_GB2312" w:hAnsi="宋体" w:hint="eastAsia"/>
          <w:sz w:val="32"/>
          <w:szCs w:val="32"/>
        </w:rPr>
        <w:t>%，决算数小于（大于）年初预算数的主要原因是</w:t>
      </w:r>
      <w:r w:rsidR="00EE5AF8">
        <w:rPr>
          <w:rFonts w:ascii="仿宋_GB2312" w:eastAsia="仿宋_GB2312" w:hAnsi="宋体"/>
          <w:sz w:val="32"/>
          <w:szCs w:val="32"/>
        </w:rPr>
        <w:t>节约财政支出</w:t>
      </w:r>
      <w:r>
        <w:rPr>
          <w:rFonts w:ascii="仿宋_GB2312" w:eastAsia="仿宋_GB2312" w:hAnsi="宋体" w:hint="eastAsia"/>
          <w:sz w:val="32"/>
          <w:szCs w:val="32"/>
        </w:rPr>
        <w:t>。其中：因公出国（境）费</w:t>
      </w:r>
      <w:r>
        <w:rPr>
          <w:rFonts w:ascii="仿宋_GB2312" w:eastAsia="仿宋_GB2312" w:hAnsi="宋体"/>
          <w:sz w:val="32"/>
          <w:szCs w:val="32"/>
        </w:rPr>
        <w:t>XX</w:t>
      </w:r>
      <w:r>
        <w:rPr>
          <w:rFonts w:ascii="仿宋_GB2312" w:eastAsia="仿宋_GB2312" w:hAnsi="宋体" w:hint="eastAsia"/>
          <w:sz w:val="32"/>
          <w:szCs w:val="32"/>
        </w:rPr>
        <w:t>万元，公务接待费</w:t>
      </w:r>
      <w:r>
        <w:rPr>
          <w:rFonts w:ascii="仿宋_GB2312" w:eastAsia="仿宋_GB2312" w:hAnsi="宋体"/>
          <w:sz w:val="32"/>
          <w:szCs w:val="32"/>
        </w:rPr>
        <w:t>XX</w:t>
      </w:r>
      <w:r>
        <w:rPr>
          <w:rFonts w:ascii="仿宋_GB2312" w:eastAsia="仿宋_GB2312" w:hAnsi="宋体" w:hint="eastAsia"/>
          <w:sz w:val="32"/>
          <w:szCs w:val="32"/>
        </w:rPr>
        <w:t>万元，公务用车购置及运行维护费</w:t>
      </w:r>
      <w:r w:rsidR="00EE5AF8">
        <w:rPr>
          <w:rFonts w:ascii="仿宋_GB2312" w:eastAsia="仿宋_GB2312" w:hAnsi="宋体" w:hint="eastAsia"/>
          <w:sz w:val="32"/>
          <w:szCs w:val="32"/>
        </w:rPr>
        <w:t>6.64</w:t>
      </w:r>
      <w:r>
        <w:rPr>
          <w:rFonts w:ascii="仿宋_GB2312" w:eastAsia="仿宋_GB2312" w:hAnsi="宋体" w:hint="eastAsia"/>
          <w:sz w:val="32"/>
          <w:szCs w:val="32"/>
        </w:rPr>
        <w:t>万元。</w:t>
      </w:r>
    </w:p>
    <w:p w:rsidR="00FF63E3" w:rsidRDefault="00B01763">
      <w:pPr>
        <w:spacing w:line="540" w:lineRule="exact"/>
        <w:ind w:firstLine="645"/>
        <w:rPr>
          <w:rFonts w:ascii="仿宋_GB2312" w:eastAsia="仿宋_GB2312" w:hAnsi="宋体"/>
          <w:sz w:val="32"/>
          <w:szCs w:val="32"/>
        </w:rPr>
      </w:pPr>
      <w:r>
        <w:rPr>
          <w:rFonts w:ascii="仿宋_GB2312" w:eastAsia="仿宋_GB2312" w:hAnsi="宋体" w:hint="eastAsia"/>
          <w:sz w:val="32"/>
          <w:szCs w:val="32"/>
        </w:rPr>
        <w:t>1.因公出国（境）费</w:t>
      </w:r>
      <w:r>
        <w:rPr>
          <w:rFonts w:ascii="仿宋_GB2312" w:eastAsia="仿宋_GB2312" w:hAnsi="宋体"/>
          <w:sz w:val="32"/>
          <w:szCs w:val="32"/>
        </w:rPr>
        <w:t>XX</w:t>
      </w:r>
      <w:r>
        <w:rPr>
          <w:rFonts w:ascii="仿宋_GB2312" w:eastAsia="仿宋_GB2312" w:hAnsi="宋体" w:hint="eastAsia"/>
          <w:sz w:val="32"/>
          <w:szCs w:val="32"/>
        </w:rPr>
        <w:t>万元，占“三公”经费支出的XX%。完成年初预算的</w:t>
      </w:r>
      <w:r>
        <w:rPr>
          <w:rFonts w:ascii="仿宋_GB2312" w:eastAsia="仿宋_GB2312" w:hAnsi="宋体"/>
          <w:sz w:val="32"/>
          <w:szCs w:val="32"/>
        </w:rPr>
        <w:t>XX</w:t>
      </w:r>
      <w:r>
        <w:rPr>
          <w:rFonts w:ascii="仿宋_GB2312" w:eastAsia="仿宋_GB2312" w:hAnsi="宋体" w:hint="eastAsia"/>
          <w:sz w:val="32"/>
          <w:szCs w:val="32"/>
        </w:rPr>
        <w:t>%，决算数小于（大于）年初预算数的主要原因是</w:t>
      </w:r>
      <w:r>
        <w:rPr>
          <w:rFonts w:ascii="仿宋_GB2312" w:eastAsia="仿宋_GB2312" w:hAnsi="宋体"/>
          <w:sz w:val="32"/>
          <w:szCs w:val="32"/>
        </w:rPr>
        <w:t>XX</w:t>
      </w:r>
      <w:r>
        <w:rPr>
          <w:rFonts w:ascii="仿宋_GB2312" w:eastAsia="仿宋_GB2312" w:hAnsi="宋体" w:hint="eastAsia"/>
          <w:sz w:val="32"/>
          <w:szCs w:val="32"/>
        </w:rPr>
        <w:t>。2021年参加出国（境）团组</w:t>
      </w:r>
      <w:r>
        <w:rPr>
          <w:rFonts w:ascii="仿宋_GB2312" w:eastAsia="仿宋_GB2312" w:hAnsi="宋体"/>
          <w:sz w:val="32"/>
          <w:szCs w:val="32"/>
        </w:rPr>
        <w:t>XX</w:t>
      </w:r>
      <w:r>
        <w:rPr>
          <w:rFonts w:ascii="仿宋_GB2312" w:eastAsia="仿宋_GB2312" w:hAnsi="宋体" w:hint="eastAsia"/>
          <w:sz w:val="32"/>
          <w:szCs w:val="32"/>
        </w:rPr>
        <w:t>个，累计</w:t>
      </w:r>
      <w:r>
        <w:rPr>
          <w:rFonts w:ascii="仿宋_GB2312" w:eastAsia="仿宋_GB2312" w:hAnsi="宋体"/>
          <w:sz w:val="32"/>
          <w:szCs w:val="32"/>
        </w:rPr>
        <w:t>XX</w:t>
      </w:r>
      <w:r>
        <w:rPr>
          <w:rFonts w:ascii="仿宋_GB2312" w:eastAsia="仿宋_GB2312" w:hAnsi="宋体" w:hint="eastAsia"/>
          <w:sz w:val="32"/>
          <w:szCs w:val="32"/>
        </w:rPr>
        <w:t>人次,主要</w:t>
      </w:r>
      <w:r>
        <w:rPr>
          <w:rFonts w:ascii="仿宋_GB2312" w:eastAsia="仿宋_GB2312" w:hAnsi="宋体" w:hint="eastAsia"/>
          <w:sz w:val="32"/>
          <w:szCs w:val="32"/>
        </w:rPr>
        <w:lastRenderedPageBreak/>
        <w:t>为参加</w:t>
      </w:r>
      <w:r>
        <w:rPr>
          <w:rFonts w:ascii="仿宋_GB2312" w:eastAsia="仿宋_GB2312" w:hAnsi="宋体"/>
          <w:sz w:val="32"/>
          <w:szCs w:val="32"/>
        </w:rPr>
        <w:t>XX</w:t>
      </w:r>
      <w:r>
        <w:rPr>
          <w:rFonts w:ascii="仿宋_GB2312" w:eastAsia="仿宋_GB2312" w:hAnsi="宋体" w:hint="eastAsia"/>
          <w:sz w:val="32"/>
          <w:szCs w:val="32"/>
        </w:rPr>
        <w:t>团等。2021年因公出国（境）费比上年减少（增加）</w:t>
      </w:r>
      <w:r>
        <w:rPr>
          <w:rFonts w:ascii="仿宋_GB2312" w:eastAsia="仿宋_GB2312" w:hAnsi="宋体"/>
          <w:sz w:val="32"/>
          <w:szCs w:val="32"/>
        </w:rPr>
        <w:t>XX</w:t>
      </w:r>
      <w:r>
        <w:rPr>
          <w:rFonts w:ascii="仿宋_GB2312" w:eastAsia="仿宋_GB2312" w:hAnsi="宋体" w:hint="eastAsia"/>
          <w:sz w:val="32"/>
          <w:szCs w:val="32"/>
        </w:rPr>
        <w:t>万元，下降（增长）</w:t>
      </w:r>
      <w:r>
        <w:rPr>
          <w:rFonts w:ascii="仿宋_GB2312" w:eastAsia="仿宋_GB2312" w:hAnsi="宋体"/>
          <w:sz w:val="32"/>
          <w:szCs w:val="32"/>
        </w:rPr>
        <w:t>XX</w:t>
      </w:r>
      <w:r>
        <w:rPr>
          <w:rFonts w:ascii="仿宋_GB2312" w:eastAsia="仿宋_GB2312" w:hAnsi="宋体" w:hint="eastAsia"/>
          <w:sz w:val="32"/>
          <w:szCs w:val="32"/>
        </w:rPr>
        <w:t>%，主要是</w:t>
      </w:r>
      <w:r>
        <w:rPr>
          <w:rFonts w:ascii="仿宋_GB2312" w:eastAsia="仿宋_GB2312" w:hAnsi="宋体"/>
          <w:sz w:val="32"/>
          <w:szCs w:val="32"/>
        </w:rPr>
        <w:t>XX</w:t>
      </w:r>
      <w:r>
        <w:rPr>
          <w:rFonts w:ascii="仿宋_GB2312" w:eastAsia="仿宋_GB2312" w:hAnsi="宋体" w:hint="eastAsia"/>
          <w:sz w:val="32"/>
          <w:szCs w:val="32"/>
        </w:rPr>
        <w:t>等原因。</w:t>
      </w:r>
    </w:p>
    <w:p w:rsidR="00FF63E3" w:rsidRDefault="00B01763">
      <w:pPr>
        <w:spacing w:line="540" w:lineRule="exact"/>
        <w:ind w:firstLine="645"/>
        <w:rPr>
          <w:rFonts w:ascii="仿宋_GB2312" w:eastAsia="仿宋_GB2312" w:hAnsi="宋体"/>
          <w:sz w:val="32"/>
          <w:szCs w:val="32"/>
        </w:rPr>
      </w:pPr>
      <w:r>
        <w:rPr>
          <w:rFonts w:ascii="仿宋_GB2312" w:eastAsia="仿宋_GB2312" w:hAnsi="宋体" w:hint="eastAsia"/>
          <w:sz w:val="32"/>
          <w:szCs w:val="32"/>
        </w:rPr>
        <w:t>2.公务接待费</w:t>
      </w:r>
      <w:r>
        <w:rPr>
          <w:rFonts w:ascii="仿宋_GB2312" w:eastAsia="仿宋_GB2312" w:hAnsi="宋体"/>
          <w:sz w:val="32"/>
          <w:szCs w:val="32"/>
        </w:rPr>
        <w:t>XX</w:t>
      </w:r>
      <w:r>
        <w:rPr>
          <w:rFonts w:ascii="仿宋_GB2312" w:eastAsia="仿宋_GB2312" w:hAnsi="宋体" w:hint="eastAsia"/>
          <w:sz w:val="32"/>
          <w:szCs w:val="32"/>
        </w:rPr>
        <w:t>万元，占“三公”经费支出的XX%。完成年初预算的</w:t>
      </w:r>
      <w:r>
        <w:rPr>
          <w:rFonts w:ascii="仿宋_GB2312" w:eastAsia="仿宋_GB2312" w:hAnsi="宋体"/>
          <w:sz w:val="32"/>
          <w:szCs w:val="32"/>
        </w:rPr>
        <w:t>XX</w:t>
      </w:r>
      <w:r>
        <w:rPr>
          <w:rFonts w:ascii="仿宋_GB2312" w:eastAsia="仿宋_GB2312" w:hAnsi="宋体" w:hint="eastAsia"/>
          <w:sz w:val="32"/>
          <w:szCs w:val="32"/>
        </w:rPr>
        <w:t>%，决算数小于（大于）年初预算数的主要原因是</w:t>
      </w:r>
      <w:r>
        <w:rPr>
          <w:rFonts w:ascii="仿宋_GB2312" w:eastAsia="仿宋_GB2312" w:hAnsi="宋体"/>
          <w:sz w:val="32"/>
          <w:szCs w:val="32"/>
        </w:rPr>
        <w:t>XX</w:t>
      </w:r>
      <w:r>
        <w:rPr>
          <w:rFonts w:ascii="仿宋_GB2312" w:eastAsia="仿宋_GB2312" w:hAnsi="宋体" w:hint="eastAsia"/>
          <w:sz w:val="32"/>
          <w:szCs w:val="32"/>
        </w:rPr>
        <w:t>。2021年国内公务接待累计</w:t>
      </w:r>
      <w:r>
        <w:rPr>
          <w:rFonts w:ascii="仿宋_GB2312" w:eastAsia="仿宋_GB2312" w:hAnsi="宋体"/>
          <w:sz w:val="32"/>
          <w:szCs w:val="32"/>
        </w:rPr>
        <w:t>XX</w:t>
      </w:r>
      <w:r>
        <w:rPr>
          <w:rFonts w:ascii="仿宋_GB2312" w:eastAsia="仿宋_GB2312" w:hAnsi="宋体" w:hint="eastAsia"/>
          <w:sz w:val="32"/>
          <w:szCs w:val="32"/>
        </w:rPr>
        <w:t>批次、</w:t>
      </w:r>
      <w:r>
        <w:rPr>
          <w:rFonts w:ascii="仿宋_GB2312" w:eastAsia="仿宋_GB2312" w:hAnsi="宋体"/>
          <w:sz w:val="32"/>
          <w:szCs w:val="32"/>
        </w:rPr>
        <w:t>XX</w:t>
      </w:r>
      <w:r>
        <w:rPr>
          <w:rFonts w:ascii="仿宋_GB2312" w:eastAsia="仿宋_GB2312" w:hAnsi="宋体" w:hint="eastAsia"/>
          <w:sz w:val="32"/>
          <w:szCs w:val="32"/>
        </w:rPr>
        <w:t>人、</w:t>
      </w:r>
      <w:r>
        <w:rPr>
          <w:rFonts w:ascii="仿宋_GB2312" w:eastAsia="仿宋_GB2312" w:hAnsi="宋体"/>
          <w:sz w:val="32"/>
          <w:szCs w:val="32"/>
        </w:rPr>
        <w:t>XX</w:t>
      </w:r>
      <w:r>
        <w:rPr>
          <w:rFonts w:ascii="仿宋_GB2312" w:eastAsia="仿宋_GB2312" w:hAnsi="宋体" w:hint="eastAsia"/>
          <w:sz w:val="32"/>
          <w:szCs w:val="32"/>
        </w:rPr>
        <w:t>万元，主要用于</w:t>
      </w:r>
      <w:r>
        <w:rPr>
          <w:rFonts w:ascii="仿宋_GB2312" w:eastAsia="仿宋_GB2312" w:hAnsi="宋体"/>
          <w:sz w:val="32"/>
          <w:szCs w:val="32"/>
        </w:rPr>
        <w:t>XX</w:t>
      </w:r>
      <w:r>
        <w:rPr>
          <w:rFonts w:ascii="仿宋_GB2312" w:eastAsia="仿宋_GB2312" w:hAnsi="宋体" w:hint="eastAsia"/>
          <w:sz w:val="32"/>
          <w:szCs w:val="32"/>
        </w:rPr>
        <w:t>等；其中外事接待累计</w:t>
      </w:r>
      <w:r>
        <w:rPr>
          <w:rFonts w:ascii="仿宋_GB2312" w:eastAsia="仿宋_GB2312" w:hAnsi="宋体"/>
          <w:sz w:val="32"/>
          <w:szCs w:val="32"/>
        </w:rPr>
        <w:t>XX</w:t>
      </w:r>
      <w:r>
        <w:rPr>
          <w:rFonts w:ascii="仿宋_GB2312" w:eastAsia="仿宋_GB2312" w:hAnsi="宋体" w:hint="eastAsia"/>
          <w:sz w:val="32"/>
          <w:szCs w:val="32"/>
        </w:rPr>
        <w:t>批次、</w:t>
      </w:r>
      <w:r>
        <w:rPr>
          <w:rFonts w:ascii="仿宋_GB2312" w:eastAsia="仿宋_GB2312" w:hAnsi="宋体"/>
          <w:sz w:val="32"/>
          <w:szCs w:val="32"/>
        </w:rPr>
        <w:t>XX</w:t>
      </w:r>
      <w:r>
        <w:rPr>
          <w:rFonts w:ascii="仿宋_GB2312" w:eastAsia="仿宋_GB2312" w:hAnsi="宋体" w:hint="eastAsia"/>
          <w:sz w:val="32"/>
          <w:szCs w:val="32"/>
        </w:rPr>
        <w:t>人、</w:t>
      </w:r>
      <w:r>
        <w:rPr>
          <w:rFonts w:ascii="仿宋_GB2312" w:eastAsia="仿宋_GB2312" w:hAnsi="宋体"/>
          <w:sz w:val="32"/>
          <w:szCs w:val="32"/>
        </w:rPr>
        <w:t>XX</w:t>
      </w:r>
      <w:r>
        <w:rPr>
          <w:rFonts w:ascii="仿宋_GB2312" w:eastAsia="仿宋_GB2312" w:hAnsi="宋体" w:hint="eastAsia"/>
          <w:sz w:val="32"/>
          <w:szCs w:val="32"/>
        </w:rPr>
        <w:t>万元，主要用于</w:t>
      </w:r>
      <w:r>
        <w:rPr>
          <w:rFonts w:ascii="仿宋_GB2312" w:eastAsia="仿宋_GB2312" w:hAnsi="宋体"/>
          <w:sz w:val="32"/>
          <w:szCs w:val="32"/>
        </w:rPr>
        <w:t>XX</w:t>
      </w:r>
      <w:r>
        <w:rPr>
          <w:rFonts w:ascii="仿宋_GB2312" w:eastAsia="仿宋_GB2312" w:hAnsi="宋体" w:hint="eastAsia"/>
          <w:sz w:val="32"/>
          <w:szCs w:val="32"/>
        </w:rPr>
        <w:t>等。2021年公务接待费比上年减少（增加）</w:t>
      </w:r>
      <w:r>
        <w:rPr>
          <w:rFonts w:ascii="仿宋_GB2312" w:eastAsia="仿宋_GB2312" w:hAnsi="宋体"/>
          <w:sz w:val="32"/>
          <w:szCs w:val="32"/>
        </w:rPr>
        <w:t>XX</w:t>
      </w:r>
      <w:r>
        <w:rPr>
          <w:rFonts w:ascii="仿宋_GB2312" w:eastAsia="仿宋_GB2312" w:hAnsi="宋体" w:hint="eastAsia"/>
          <w:sz w:val="32"/>
          <w:szCs w:val="32"/>
        </w:rPr>
        <w:t>万元，下降（增长）</w:t>
      </w:r>
      <w:r>
        <w:rPr>
          <w:rFonts w:ascii="仿宋_GB2312" w:eastAsia="仿宋_GB2312" w:hAnsi="宋体"/>
          <w:sz w:val="32"/>
          <w:szCs w:val="32"/>
        </w:rPr>
        <w:t>XX</w:t>
      </w:r>
      <w:r>
        <w:rPr>
          <w:rFonts w:ascii="仿宋_GB2312" w:eastAsia="仿宋_GB2312" w:hAnsi="宋体" w:hint="eastAsia"/>
          <w:sz w:val="32"/>
          <w:szCs w:val="32"/>
        </w:rPr>
        <w:t>%，主要是</w:t>
      </w:r>
      <w:r>
        <w:rPr>
          <w:rFonts w:ascii="仿宋_GB2312" w:eastAsia="仿宋_GB2312" w:hAnsi="宋体"/>
          <w:sz w:val="32"/>
          <w:szCs w:val="32"/>
        </w:rPr>
        <w:t>XX</w:t>
      </w:r>
      <w:r>
        <w:rPr>
          <w:rFonts w:ascii="仿宋_GB2312" w:eastAsia="仿宋_GB2312" w:hAnsi="宋体" w:hint="eastAsia"/>
          <w:sz w:val="32"/>
          <w:szCs w:val="32"/>
        </w:rPr>
        <w:t>等原因。</w:t>
      </w:r>
    </w:p>
    <w:p w:rsidR="00FF63E3" w:rsidRDefault="00B01763">
      <w:pPr>
        <w:spacing w:line="540" w:lineRule="exact"/>
        <w:ind w:firstLine="645"/>
        <w:rPr>
          <w:rFonts w:ascii="仿宋_GB2312" w:eastAsia="仿宋_GB2312" w:hAnsi="宋体"/>
          <w:sz w:val="32"/>
          <w:szCs w:val="32"/>
        </w:rPr>
      </w:pPr>
      <w:r>
        <w:rPr>
          <w:rFonts w:ascii="仿宋_GB2312" w:eastAsia="仿宋_GB2312" w:hAnsi="宋体" w:hint="eastAsia"/>
          <w:sz w:val="32"/>
          <w:szCs w:val="32"/>
        </w:rPr>
        <w:t>3.公务用车购置及</w:t>
      </w:r>
      <w:r>
        <w:rPr>
          <w:rFonts w:ascii="仿宋_GB2312" w:eastAsia="仿宋_GB2312" w:hAnsi="宋体"/>
          <w:sz w:val="32"/>
          <w:szCs w:val="32"/>
        </w:rPr>
        <w:t>运行费</w:t>
      </w:r>
      <w:r w:rsidR="00EE5AF8">
        <w:rPr>
          <w:rFonts w:ascii="仿宋_GB2312" w:eastAsia="仿宋_GB2312" w:hAnsi="宋体" w:hint="eastAsia"/>
          <w:sz w:val="32"/>
          <w:szCs w:val="32"/>
        </w:rPr>
        <w:t>6.64</w:t>
      </w:r>
      <w:r>
        <w:rPr>
          <w:rFonts w:ascii="仿宋_GB2312" w:eastAsia="仿宋_GB2312" w:hAnsi="宋体" w:hint="eastAsia"/>
          <w:sz w:val="32"/>
          <w:szCs w:val="32"/>
        </w:rPr>
        <w:t>万元，占“三公”经费支出的</w:t>
      </w:r>
      <w:r w:rsidR="00EE5AF8">
        <w:rPr>
          <w:rFonts w:ascii="仿宋_GB2312" w:eastAsia="仿宋_GB2312" w:hAnsi="宋体" w:hint="eastAsia"/>
          <w:sz w:val="32"/>
          <w:szCs w:val="32"/>
        </w:rPr>
        <w:t>100</w:t>
      </w:r>
      <w:r>
        <w:rPr>
          <w:rFonts w:ascii="仿宋_GB2312" w:eastAsia="仿宋_GB2312" w:hAnsi="宋体" w:hint="eastAsia"/>
          <w:sz w:val="32"/>
          <w:szCs w:val="32"/>
        </w:rPr>
        <w:t>%。完成年初预算的</w:t>
      </w:r>
      <w:r w:rsidR="00EE5AF8">
        <w:rPr>
          <w:rFonts w:ascii="仿宋_GB2312" w:eastAsia="仿宋_GB2312" w:hAnsi="宋体" w:hint="eastAsia"/>
          <w:sz w:val="32"/>
          <w:szCs w:val="32"/>
        </w:rPr>
        <w:t>85.13</w:t>
      </w:r>
      <w:r>
        <w:rPr>
          <w:rFonts w:ascii="仿宋_GB2312" w:eastAsia="仿宋_GB2312" w:hAnsi="宋体" w:hint="eastAsia"/>
          <w:sz w:val="32"/>
          <w:szCs w:val="32"/>
        </w:rPr>
        <w:t>%，决算数小于（大于）年初预算数的主要原因是</w:t>
      </w:r>
      <w:r w:rsidR="00EE5AF8">
        <w:rPr>
          <w:rFonts w:ascii="仿宋_GB2312" w:eastAsia="仿宋_GB2312" w:hAnsi="宋体" w:hint="eastAsia"/>
          <w:sz w:val="32"/>
          <w:szCs w:val="32"/>
        </w:rPr>
        <w:t>节约财政资金</w:t>
      </w:r>
      <w:r>
        <w:rPr>
          <w:rFonts w:ascii="仿宋_GB2312" w:eastAsia="仿宋_GB2312" w:hAnsi="宋体" w:hint="eastAsia"/>
          <w:sz w:val="32"/>
          <w:szCs w:val="32"/>
        </w:rPr>
        <w:t>。比上年减少（增加）</w:t>
      </w:r>
      <w:r w:rsidR="00281063">
        <w:rPr>
          <w:rFonts w:ascii="仿宋_GB2312" w:eastAsia="仿宋_GB2312" w:hAnsi="宋体" w:hint="eastAsia"/>
          <w:sz w:val="32"/>
          <w:szCs w:val="32"/>
        </w:rPr>
        <w:t>1.71</w:t>
      </w:r>
      <w:r>
        <w:rPr>
          <w:rFonts w:ascii="仿宋_GB2312" w:eastAsia="仿宋_GB2312" w:hAnsi="宋体" w:hint="eastAsia"/>
          <w:sz w:val="32"/>
          <w:szCs w:val="32"/>
        </w:rPr>
        <w:t>万元，下降（增长）</w:t>
      </w:r>
      <w:r w:rsidR="00281063">
        <w:rPr>
          <w:rFonts w:ascii="仿宋_GB2312" w:eastAsia="仿宋_GB2312" w:hAnsi="宋体" w:hint="eastAsia"/>
          <w:sz w:val="32"/>
          <w:szCs w:val="32"/>
        </w:rPr>
        <w:t>20.48的合理安排车辆出行</w:t>
      </w:r>
      <w:r>
        <w:rPr>
          <w:rFonts w:ascii="仿宋_GB2312" w:eastAsia="仿宋_GB2312" w:hAnsi="宋体" w:hint="eastAsia"/>
          <w:sz w:val="32"/>
          <w:szCs w:val="32"/>
        </w:rPr>
        <w:t>等原因。</w:t>
      </w:r>
    </w:p>
    <w:p w:rsidR="00FF63E3" w:rsidRDefault="00B01763">
      <w:pPr>
        <w:spacing w:line="540" w:lineRule="exact"/>
        <w:ind w:firstLine="645"/>
        <w:rPr>
          <w:rFonts w:ascii="仿宋_GB2312" w:eastAsia="仿宋_GB2312" w:hAnsi="宋体"/>
          <w:sz w:val="32"/>
          <w:szCs w:val="32"/>
        </w:rPr>
      </w:pPr>
      <w:r>
        <w:rPr>
          <w:rFonts w:ascii="仿宋_GB2312" w:eastAsia="仿宋_GB2312" w:hAnsi="宋体" w:hint="eastAsia"/>
          <w:sz w:val="32"/>
          <w:szCs w:val="32"/>
        </w:rPr>
        <w:t>其中：公用车购置费</w:t>
      </w:r>
      <w:r>
        <w:rPr>
          <w:rFonts w:ascii="仿宋_GB2312" w:eastAsia="仿宋_GB2312" w:hAnsi="宋体"/>
          <w:sz w:val="32"/>
          <w:szCs w:val="32"/>
        </w:rPr>
        <w:t>XX</w:t>
      </w:r>
      <w:r>
        <w:rPr>
          <w:rFonts w:ascii="仿宋_GB2312" w:eastAsia="仿宋_GB2312" w:hAnsi="宋体" w:hint="eastAsia"/>
          <w:sz w:val="32"/>
          <w:szCs w:val="32"/>
        </w:rPr>
        <w:t>万元，主要用于</w:t>
      </w:r>
      <w:r>
        <w:rPr>
          <w:rFonts w:ascii="仿宋_GB2312" w:eastAsia="仿宋_GB2312" w:hAnsi="宋体"/>
          <w:sz w:val="32"/>
          <w:szCs w:val="32"/>
        </w:rPr>
        <w:t>XX</w:t>
      </w:r>
      <w:r>
        <w:rPr>
          <w:rFonts w:ascii="仿宋_GB2312" w:eastAsia="仿宋_GB2312" w:hAnsi="宋体" w:hint="eastAsia"/>
          <w:sz w:val="32"/>
          <w:szCs w:val="32"/>
        </w:rPr>
        <w:t>等,当年购置公务用车</w:t>
      </w:r>
      <w:r>
        <w:rPr>
          <w:rFonts w:ascii="仿宋_GB2312" w:eastAsia="仿宋_GB2312" w:hAnsi="宋体"/>
          <w:sz w:val="32"/>
          <w:szCs w:val="32"/>
        </w:rPr>
        <w:t>XX</w:t>
      </w:r>
      <w:r>
        <w:rPr>
          <w:rFonts w:ascii="仿宋_GB2312" w:eastAsia="仿宋_GB2312" w:hAnsi="宋体" w:hint="eastAsia"/>
          <w:sz w:val="32"/>
          <w:szCs w:val="32"/>
        </w:rPr>
        <w:t>辆。公务用车运行维护费</w:t>
      </w:r>
      <w:r w:rsidR="00281063">
        <w:rPr>
          <w:rFonts w:ascii="仿宋_GB2312" w:eastAsia="仿宋_GB2312" w:hAnsi="宋体" w:hint="eastAsia"/>
          <w:sz w:val="32"/>
          <w:szCs w:val="32"/>
        </w:rPr>
        <w:t>6.64</w:t>
      </w:r>
      <w:r>
        <w:rPr>
          <w:rFonts w:ascii="仿宋_GB2312" w:eastAsia="仿宋_GB2312" w:hAnsi="宋体" w:hint="eastAsia"/>
          <w:sz w:val="32"/>
          <w:szCs w:val="32"/>
        </w:rPr>
        <w:t>要用于</w:t>
      </w:r>
      <w:r w:rsidR="006F14F6">
        <w:rPr>
          <w:rFonts w:ascii="仿宋_GB2312" w:eastAsia="仿宋_GB2312" w:hAnsi="宋体"/>
          <w:sz w:val="32"/>
          <w:szCs w:val="32"/>
        </w:rPr>
        <w:t>车辆燃油保险</w:t>
      </w:r>
      <w:r>
        <w:rPr>
          <w:rFonts w:ascii="仿宋_GB2312" w:eastAsia="仿宋_GB2312" w:hAnsi="宋体" w:hint="eastAsia"/>
          <w:sz w:val="32"/>
          <w:szCs w:val="32"/>
        </w:rPr>
        <w:t>等，截至年末使用</w:t>
      </w:r>
      <w:r>
        <w:rPr>
          <w:rFonts w:ascii="仿宋_GB2312" w:eastAsia="仿宋_GB2312" w:hAnsi="宋体"/>
          <w:sz w:val="32"/>
          <w:szCs w:val="32"/>
        </w:rPr>
        <w:t>一般公共预算财政拨款开支</w:t>
      </w:r>
      <w:r>
        <w:rPr>
          <w:rFonts w:ascii="仿宋_GB2312" w:eastAsia="仿宋_GB2312" w:hAnsi="宋体" w:hint="eastAsia"/>
          <w:sz w:val="32"/>
          <w:szCs w:val="32"/>
        </w:rPr>
        <w:t>运行维护费</w:t>
      </w:r>
      <w:r>
        <w:rPr>
          <w:rFonts w:ascii="仿宋_GB2312" w:eastAsia="仿宋_GB2312" w:hAnsi="宋体"/>
          <w:sz w:val="32"/>
          <w:szCs w:val="32"/>
        </w:rPr>
        <w:t>的</w:t>
      </w:r>
      <w:r>
        <w:rPr>
          <w:rFonts w:ascii="仿宋_GB2312" w:eastAsia="仿宋_GB2312" w:hAnsi="宋体" w:hint="eastAsia"/>
          <w:sz w:val="32"/>
          <w:szCs w:val="32"/>
        </w:rPr>
        <w:t>公务用车保有量</w:t>
      </w:r>
      <w:r w:rsidR="00281063">
        <w:rPr>
          <w:rFonts w:ascii="仿宋_GB2312" w:eastAsia="仿宋_GB2312" w:hAnsi="宋体" w:hint="eastAsia"/>
          <w:sz w:val="32"/>
          <w:szCs w:val="32"/>
        </w:rPr>
        <w:t>4</w:t>
      </w:r>
      <w:r>
        <w:rPr>
          <w:rFonts w:ascii="仿宋_GB2312" w:eastAsia="仿宋_GB2312" w:hAnsi="宋体" w:hint="eastAsia"/>
          <w:sz w:val="32"/>
          <w:szCs w:val="32"/>
        </w:rPr>
        <w:t>。</w:t>
      </w:r>
    </w:p>
    <w:p w:rsidR="00FF63E3" w:rsidRDefault="00B01763">
      <w:pPr>
        <w:spacing w:line="540" w:lineRule="exact"/>
        <w:ind w:firstLine="645"/>
        <w:rPr>
          <w:rFonts w:ascii="黑体" w:eastAsia="黑体" w:hAnsi="黑体"/>
          <w:sz w:val="32"/>
          <w:szCs w:val="32"/>
        </w:rPr>
      </w:pPr>
      <w:r>
        <w:rPr>
          <w:rFonts w:ascii="黑体" w:eastAsia="黑体" w:hAnsi="黑体" w:hint="eastAsia"/>
          <w:sz w:val="32"/>
          <w:szCs w:val="32"/>
        </w:rPr>
        <w:t>四、一般公共预算财政拨款基本支出决算情况说明</w:t>
      </w:r>
    </w:p>
    <w:p w:rsidR="00FF63E3" w:rsidRDefault="00B01763">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2021年度一般公共预算财政拨款基本支出</w:t>
      </w:r>
      <w:r w:rsidR="00281063">
        <w:rPr>
          <w:rFonts w:ascii="仿宋_GB2312" w:eastAsia="仿宋_GB2312" w:hAnsi="宋体" w:hint="eastAsia"/>
          <w:sz w:val="32"/>
          <w:szCs w:val="32"/>
        </w:rPr>
        <w:t>821.1</w:t>
      </w:r>
      <w:r>
        <w:rPr>
          <w:rFonts w:ascii="仿宋_GB2312" w:eastAsia="仿宋_GB2312" w:hAnsi="宋体" w:hint="eastAsia"/>
          <w:sz w:val="32"/>
          <w:szCs w:val="32"/>
        </w:rPr>
        <w:t>：人员经费</w:t>
      </w:r>
      <w:r w:rsidR="00281063">
        <w:rPr>
          <w:rFonts w:ascii="仿宋_GB2312" w:eastAsia="仿宋_GB2312" w:hAnsi="宋体" w:hint="eastAsia"/>
          <w:sz w:val="32"/>
          <w:szCs w:val="32"/>
        </w:rPr>
        <w:t>712.91</w:t>
      </w:r>
      <w:r>
        <w:rPr>
          <w:rFonts w:ascii="仿宋_GB2312" w:eastAsia="仿宋_GB2312" w:hAnsi="宋体" w:hint="eastAsia"/>
          <w:sz w:val="32"/>
          <w:szCs w:val="32"/>
        </w:rPr>
        <w:t>括基本工资、津贴补贴、奖金、其他社会保障缴费、机关事业单位基本养老保险缴费、其他工资福利支出、离休费、退休费、抚恤金、生活补助、奖励金、住房公积金、采暖补贴、其他对个人和家庭补助的支出；日常公用经费</w:t>
      </w:r>
      <w:r w:rsidR="00281063">
        <w:rPr>
          <w:rFonts w:ascii="仿宋_GB2312" w:eastAsia="仿宋_GB2312" w:hAnsi="宋体" w:hint="eastAsia"/>
          <w:sz w:val="32"/>
          <w:szCs w:val="32"/>
        </w:rPr>
        <w:t>108.1</w:t>
      </w:r>
      <w:r>
        <w:rPr>
          <w:rFonts w:ascii="仿宋_GB2312" w:eastAsia="仿宋_GB2312" w:hAnsi="宋体" w:hint="eastAsia"/>
          <w:sz w:val="32"/>
          <w:szCs w:val="32"/>
        </w:rPr>
        <w:t>包括办公费、印刷费、手续费、水费、电费、邮电费、取暖费、物业费、差旅费、因公出国（境）费用、维修（护）费、租赁费、会议费、培训费、</w:t>
      </w:r>
      <w:r>
        <w:rPr>
          <w:rFonts w:ascii="仿宋_GB2312" w:eastAsia="仿宋_GB2312" w:hAnsi="宋体" w:hint="eastAsia"/>
          <w:sz w:val="32"/>
          <w:szCs w:val="32"/>
        </w:rPr>
        <w:lastRenderedPageBreak/>
        <w:t>公务接待费、劳务费、委托业务费、工会经费、福利费、公务用车运行维护费、其他交通费用、其他商品和服务支出、办公设备购置、专用设备购置、信息网络及软件购置更新。</w:t>
      </w:r>
    </w:p>
    <w:p w:rsidR="00FF63E3" w:rsidRDefault="00B01763">
      <w:pPr>
        <w:spacing w:line="540" w:lineRule="exact"/>
        <w:ind w:firstLineChars="200" w:firstLine="640"/>
        <w:rPr>
          <w:rFonts w:ascii="黑体" w:eastAsia="黑体" w:hAnsi="黑体"/>
          <w:sz w:val="32"/>
          <w:szCs w:val="32"/>
        </w:rPr>
      </w:pPr>
      <w:r>
        <w:rPr>
          <w:rFonts w:ascii="黑体" w:eastAsia="黑体" w:hAnsi="黑体" w:hint="eastAsia"/>
          <w:sz w:val="32"/>
          <w:szCs w:val="32"/>
        </w:rPr>
        <w:t>五、其他重要事项的情况说明</w:t>
      </w:r>
    </w:p>
    <w:p w:rsidR="00FF63E3" w:rsidRDefault="00B01763" w:rsidP="006F14F6">
      <w:pPr>
        <w:spacing w:line="540" w:lineRule="exact"/>
        <w:ind w:firstLineChars="200" w:firstLine="640"/>
        <w:rPr>
          <w:rFonts w:ascii="楷体_GB2312" w:eastAsia="楷体_GB2312" w:hAnsi="黑体"/>
          <w:b/>
          <w:sz w:val="32"/>
          <w:szCs w:val="32"/>
        </w:rPr>
      </w:pPr>
      <w:r>
        <w:rPr>
          <w:rFonts w:ascii="楷体_GB2312" w:eastAsia="楷体_GB2312" w:hAnsi="黑体" w:hint="eastAsia"/>
          <w:b/>
          <w:sz w:val="32"/>
          <w:szCs w:val="32"/>
        </w:rPr>
        <w:t>（一）机关运行经费支出情况。</w:t>
      </w:r>
    </w:p>
    <w:p w:rsidR="00FF63E3" w:rsidRDefault="00B01763">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2021年机关运行经费支出</w:t>
      </w:r>
      <w:r w:rsidR="00281063">
        <w:rPr>
          <w:rFonts w:ascii="仿宋_GB2312" w:eastAsia="仿宋_GB2312" w:hAnsi="黑体" w:hint="eastAsia"/>
          <w:sz w:val="32"/>
          <w:szCs w:val="32"/>
        </w:rPr>
        <w:t>108.18</w:t>
      </w:r>
      <w:r>
        <w:rPr>
          <w:rFonts w:ascii="仿宋_GB2312" w:eastAsia="仿宋_GB2312" w:hAnsi="黑体" w:hint="eastAsia"/>
          <w:sz w:val="32"/>
          <w:szCs w:val="32"/>
        </w:rPr>
        <w:t>万元，比上年增加（减少）</w:t>
      </w:r>
      <w:r w:rsidR="00281063">
        <w:rPr>
          <w:rFonts w:ascii="仿宋_GB2312" w:eastAsia="仿宋_GB2312" w:hAnsi="黑体" w:hint="eastAsia"/>
          <w:sz w:val="32"/>
          <w:szCs w:val="32"/>
        </w:rPr>
        <w:t>11.4</w:t>
      </w:r>
      <w:r>
        <w:rPr>
          <w:rFonts w:ascii="仿宋_GB2312" w:eastAsia="仿宋_GB2312" w:hAnsi="黑体" w:hint="eastAsia"/>
          <w:sz w:val="32"/>
          <w:szCs w:val="32"/>
        </w:rPr>
        <w:t>万元，增长（降低）</w:t>
      </w:r>
      <w:r w:rsidR="00281063">
        <w:rPr>
          <w:rFonts w:ascii="仿宋_GB2312" w:eastAsia="仿宋_GB2312" w:hAnsi="黑体" w:hint="eastAsia"/>
          <w:sz w:val="32"/>
          <w:szCs w:val="32"/>
        </w:rPr>
        <w:t>11.78</w:t>
      </w:r>
      <w:r>
        <w:rPr>
          <w:rFonts w:ascii="仿宋_GB2312" w:eastAsia="仿宋_GB2312" w:hAnsi="黑体" w:hint="eastAsia"/>
          <w:sz w:val="32"/>
          <w:szCs w:val="32"/>
        </w:rPr>
        <w:t>%，主要原因是</w:t>
      </w:r>
      <w:r w:rsidR="00281063">
        <w:rPr>
          <w:rFonts w:ascii="仿宋_GB2312" w:eastAsia="仿宋_GB2312" w:hAnsi="黑体" w:hint="eastAsia"/>
          <w:sz w:val="32"/>
          <w:szCs w:val="32"/>
        </w:rPr>
        <w:t>人员增加</w:t>
      </w:r>
      <w:r w:rsidR="006F14F6">
        <w:rPr>
          <w:rFonts w:ascii="仿宋_GB2312" w:eastAsia="仿宋_GB2312" w:hAnsi="黑体" w:hint="eastAsia"/>
          <w:sz w:val="32"/>
          <w:szCs w:val="32"/>
        </w:rPr>
        <w:t>，工资</w:t>
      </w:r>
      <w:r w:rsidR="00281063">
        <w:rPr>
          <w:rFonts w:ascii="仿宋_GB2312" w:eastAsia="仿宋_GB2312" w:hAnsi="黑体" w:hint="eastAsia"/>
          <w:sz w:val="32"/>
          <w:szCs w:val="32"/>
        </w:rPr>
        <w:t>支出</w:t>
      </w:r>
      <w:r w:rsidR="006F14F6">
        <w:rPr>
          <w:rFonts w:ascii="仿宋_GB2312" w:eastAsia="仿宋_GB2312" w:hAnsi="黑体" w:hint="eastAsia"/>
          <w:sz w:val="32"/>
          <w:szCs w:val="32"/>
        </w:rPr>
        <w:t>增加</w:t>
      </w:r>
      <w:r>
        <w:rPr>
          <w:rFonts w:ascii="仿宋_GB2312" w:eastAsia="仿宋_GB2312" w:hAnsi="黑体" w:hint="eastAsia"/>
          <w:sz w:val="32"/>
          <w:szCs w:val="32"/>
        </w:rPr>
        <w:t>。</w:t>
      </w:r>
    </w:p>
    <w:p w:rsidR="00FF63E3" w:rsidRDefault="00B01763" w:rsidP="006F14F6">
      <w:pPr>
        <w:spacing w:line="540" w:lineRule="exact"/>
        <w:ind w:firstLineChars="200" w:firstLine="640"/>
        <w:rPr>
          <w:rFonts w:ascii="楷体_GB2312" w:eastAsia="楷体_GB2312" w:hAnsi="黑体"/>
          <w:b/>
          <w:sz w:val="32"/>
          <w:szCs w:val="32"/>
        </w:rPr>
      </w:pPr>
      <w:r>
        <w:rPr>
          <w:rFonts w:ascii="楷体_GB2312" w:eastAsia="楷体_GB2312" w:hAnsi="黑体" w:hint="eastAsia"/>
          <w:b/>
          <w:sz w:val="32"/>
          <w:szCs w:val="32"/>
        </w:rPr>
        <w:t>（二）政府采购支出情况。</w:t>
      </w:r>
    </w:p>
    <w:p w:rsidR="00FF63E3" w:rsidRDefault="00B01763">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2021年政府采购支出总额XX万元，其中：政府采购货物支出XX万元，政府采购工程支出XX万元，政府采购服务支出XX万元。</w:t>
      </w:r>
      <w:r>
        <w:rPr>
          <w:rFonts w:ascii="仿宋_GB2312" w:eastAsia="仿宋_GB2312" w:hint="eastAsia"/>
          <w:sz w:val="32"/>
          <w:szCs w:val="32"/>
        </w:rPr>
        <w:t>授予中小企业合同金额XX万元，占政府采购支出总额的XX%，其中：授予小微企业合同金额XX万元，占政府采购支出总额的XX%；货物采购授予中小企业合同金额占货物支出金额的XX%；工程采购授予中小企业合同金额占货物支出金额的XX%；服务采购授予中小企业合同金额占货物支出金额的XX%。</w:t>
      </w:r>
    </w:p>
    <w:p w:rsidR="00FF63E3" w:rsidRDefault="00B01763" w:rsidP="006F14F6">
      <w:pPr>
        <w:spacing w:line="540" w:lineRule="exact"/>
        <w:ind w:firstLineChars="200" w:firstLine="640"/>
        <w:rPr>
          <w:rFonts w:ascii="楷体_GB2312" w:eastAsia="楷体_GB2312" w:hAnsi="黑体"/>
          <w:b/>
          <w:sz w:val="32"/>
          <w:szCs w:val="32"/>
        </w:rPr>
      </w:pPr>
      <w:r>
        <w:rPr>
          <w:rFonts w:ascii="楷体_GB2312" w:eastAsia="楷体_GB2312" w:hAnsi="黑体" w:hint="eastAsia"/>
          <w:b/>
          <w:sz w:val="32"/>
          <w:szCs w:val="32"/>
        </w:rPr>
        <w:t>（三）国有资产占用情况。</w:t>
      </w:r>
    </w:p>
    <w:p w:rsidR="00FF63E3" w:rsidRDefault="00B01763">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截至2021年12月31日，共有车辆</w:t>
      </w:r>
      <w:r w:rsidR="006F14F6">
        <w:rPr>
          <w:rFonts w:ascii="仿宋_GB2312" w:eastAsia="仿宋_GB2312" w:hAnsi="黑体" w:hint="eastAsia"/>
          <w:sz w:val="32"/>
          <w:szCs w:val="32"/>
        </w:rPr>
        <w:t>4</w:t>
      </w:r>
      <w:r>
        <w:rPr>
          <w:rFonts w:ascii="仿宋_GB2312" w:eastAsia="仿宋_GB2312" w:hAnsi="黑体" w:hint="eastAsia"/>
          <w:sz w:val="32"/>
          <w:szCs w:val="32"/>
        </w:rPr>
        <w:t>辆，其中：副省级以上领导干部用车XX辆，主要</w:t>
      </w:r>
      <w:r>
        <w:rPr>
          <w:rFonts w:ascii="仿宋_GB2312" w:eastAsia="仿宋_GB2312" w:hAnsi="黑体"/>
          <w:sz w:val="32"/>
          <w:szCs w:val="32"/>
        </w:rPr>
        <w:t>领导干部</w:t>
      </w:r>
      <w:r>
        <w:rPr>
          <w:rFonts w:ascii="仿宋_GB2312" w:eastAsia="仿宋_GB2312" w:hAnsi="黑体" w:hint="eastAsia"/>
          <w:sz w:val="32"/>
          <w:szCs w:val="32"/>
        </w:rPr>
        <w:t>用车XX辆，机要通讯用车XX辆，应急</w:t>
      </w:r>
      <w:r>
        <w:rPr>
          <w:rFonts w:ascii="仿宋_GB2312" w:eastAsia="仿宋_GB2312" w:hAnsi="黑体"/>
          <w:sz w:val="32"/>
          <w:szCs w:val="32"/>
        </w:rPr>
        <w:t>保障用车XX辆，</w:t>
      </w:r>
      <w:r>
        <w:rPr>
          <w:rFonts w:ascii="仿宋_GB2312" w:eastAsia="仿宋_GB2312" w:hAnsi="黑体" w:hint="eastAsia"/>
          <w:sz w:val="32"/>
          <w:szCs w:val="32"/>
        </w:rPr>
        <w:t>执法执勤</w:t>
      </w:r>
      <w:r>
        <w:rPr>
          <w:rFonts w:ascii="仿宋_GB2312" w:eastAsia="仿宋_GB2312" w:hAnsi="黑体"/>
          <w:sz w:val="32"/>
          <w:szCs w:val="32"/>
        </w:rPr>
        <w:t>用车</w:t>
      </w:r>
      <w:r w:rsidR="006F14F6">
        <w:rPr>
          <w:rFonts w:ascii="仿宋_GB2312" w:eastAsia="仿宋_GB2312" w:hAnsi="黑体" w:hint="eastAsia"/>
          <w:sz w:val="32"/>
          <w:szCs w:val="32"/>
        </w:rPr>
        <w:t>1</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特种专业技术用车XX辆，离退休</w:t>
      </w:r>
      <w:r>
        <w:rPr>
          <w:rFonts w:ascii="仿宋_GB2312" w:eastAsia="仿宋_GB2312" w:hAnsi="黑体"/>
          <w:sz w:val="32"/>
          <w:szCs w:val="32"/>
        </w:rPr>
        <w:t>干部用车XX</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其他用车</w:t>
      </w:r>
      <w:r w:rsidR="006F14F6">
        <w:rPr>
          <w:rFonts w:ascii="仿宋_GB2312" w:eastAsia="仿宋_GB2312" w:hAnsi="黑体" w:hint="eastAsia"/>
          <w:sz w:val="32"/>
          <w:szCs w:val="32"/>
        </w:rPr>
        <w:t>3</w:t>
      </w:r>
      <w:r>
        <w:rPr>
          <w:rFonts w:ascii="仿宋_GB2312" w:eastAsia="仿宋_GB2312" w:hAnsi="黑体" w:hint="eastAsia"/>
          <w:sz w:val="32"/>
          <w:szCs w:val="32"/>
        </w:rPr>
        <w:t>辆，其他用车主要是</w:t>
      </w:r>
      <w:r w:rsidR="006F14F6">
        <w:rPr>
          <w:rFonts w:ascii="仿宋_GB2312" w:eastAsia="仿宋_GB2312" w:hAnsi="黑体"/>
          <w:sz w:val="32"/>
          <w:szCs w:val="32"/>
        </w:rPr>
        <w:t>办案取证等</w:t>
      </w:r>
      <w:r>
        <w:rPr>
          <w:rFonts w:ascii="仿宋_GB2312" w:eastAsia="仿宋_GB2312" w:hAnsi="黑体" w:hint="eastAsia"/>
          <w:sz w:val="32"/>
          <w:szCs w:val="32"/>
        </w:rPr>
        <w:t>；单位价值50万元以上通用设备XX台（套），单价100万元以上专用设备XX台（套）。</w:t>
      </w:r>
    </w:p>
    <w:p w:rsidR="00FF63E3" w:rsidRDefault="00B01763">
      <w:pPr>
        <w:widowControl/>
        <w:rPr>
          <w:rFonts w:ascii="仿宋_GB2312" w:eastAsia="仿宋_GB2312" w:hAnsi="宋体" w:cs="仿宋_GB2312"/>
          <w:sz w:val="32"/>
          <w:szCs w:val="32"/>
        </w:rPr>
      </w:pPr>
      <w:r>
        <w:rPr>
          <w:rFonts w:ascii="仿宋_GB2312" w:eastAsia="仿宋_GB2312" w:hAnsi="宋体" w:cs="仿宋_GB2312" w:hint="eastAsia"/>
          <w:sz w:val="32"/>
          <w:szCs w:val="32"/>
        </w:rPr>
        <w:br w:type="page"/>
      </w:r>
      <w:r>
        <w:rPr>
          <w:rFonts w:ascii="宋体" w:hAnsi="宋体" w:hint="eastAsia"/>
          <w:b/>
          <w:sz w:val="36"/>
          <w:szCs w:val="36"/>
        </w:rPr>
        <w:lastRenderedPageBreak/>
        <w:t>第三部分 名词解释</w:t>
      </w:r>
    </w:p>
    <w:p w:rsidR="00FF63E3" w:rsidRDefault="00FF63E3">
      <w:pPr>
        <w:spacing w:line="540" w:lineRule="exact"/>
        <w:jc w:val="center"/>
        <w:rPr>
          <w:rFonts w:ascii="宋体" w:hAnsi="宋体"/>
          <w:b/>
          <w:sz w:val="36"/>
          <w:szCs w:val="36"/>
        </w:rPr>
      </w:pPr>
    </w:p>
    <w:p w:rsidR="00FF63E3" w:rsidRDefault="00B01763" w:rsidP="006F14F6">
      <w:pPr>
        <w:spacing w:line="540" w:lineRule="exact"/>
        <w:ind w:firstLineChars="200" w:firstLine="640"/>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指单位从同级财政部门取得的财政预算资金。</w:t>
      </w:r>
    </w:p>
    <w:p w:rsidR="00FF63E3" w:rsidRDefault="00B01763" w:rsidP="006F14F6">
      <w:pPr>
        <w:spacing w:line="540" w:lineRule="exact"/>
        <w:ind w:firstLineChars="200" w:firstLine="640"/>
        <w:rPr>
          <w:rFonts w:ascii="仿宋_GB2312" w:eastAsia="仿宋_GB2312"/>
          <w:sz w:val="32"/>
          <w:szCs w:val="32"/>
        </w:rPr>
      </w:pPr>
      <w:r>
        <w:rPr>
          <w:rFonts w:ascii="仿宋_GB2312" w:eastAsia="仿宋_GB2312" w:hint="eastAsia"/>
          <w:b/>
          <w:sz w:val="32"/>
          <w:szCs w:val="32"/>
        </w:rPr>
        <w:t>2.上级补助收入：</w:t>
      </w:r>
      <w:r>
        <w:rPr>
          <w:rFonts w:ascii="仿宋_GB2312" w:eastAsia="仿宋_GB2312" w:hint="eastAsia"/>
          <w:sz w:val="32"/>
          <w:szCs w:val="32"/>
        </w:rPr>
        <w:t>指单位从主管部门和上级单位取得的非财政性补助收入。</w:t>
      </w:r>
    </w:p>
    <w:p w:rsidR="00FF63E3" w:rsidRDefault="00B01763" w:rsidP="006F14F6">
      <w:pPr>
        <w:spacing w:line="540" w:lineRule="exact"/>
        <w:ind w:firstLineChars="200" w:firstLine="640"/>
        <w:rPr>
          <w:rFonts w:ascii="仿宋_GB2312" w:eastAsia="仿宋_GB2312"/>
          <w:sz w:val="32"/>
          <w:szCs w:val="32"/>
        </w:rPr>
      </w:pPr>
      <w:r>
        <w:rPr>
          <w:rFonts w:ascii="仿宋_GB2312" w:eastAsia="仿宋_GB2312" w:hint="eastAsia"/>
          <w:b/>
          <w:sz w:val="32"/>
          <w:szCs w:val="32"/>
        </w:rPr>
        <w:t>3.事业收入：</w:t>
      </w:r>
      <w:r>
        <w:rPr>
          <w:rFonts w:ascii="仿宋_GB2312" w:eastAsia="仿宋_GB2312" w:hint="eastAsia"/>
          <w:sz w:val="32"/>
          <w:szCs w:val="32"/>
        </w:rPr>
        <w:t>指事业单位开展专业业务活动及辅助活动所取得的收入。</w:t>
      </w:r>
    </w:p>
    <w:p w:rsidR="00FF63E3" w:rsidRDefault="00B01763" w:rsidP="006F14F6">
      <w:pPr>
        <w:spacing w:line="540" w:lineRule="exact"/>
        <w:ind w:firstLineChars="200" w:firstLine="640"/>
        <w:rPr>
          <w:rFonts w:ascii="仿宋_GB2312" w:eastAsia="仿宋_GB2312"/>
          <w:sz w:val="32"/>
          <w:szCs w:val="32"/>
        </w:rPr>
      </w:pPr>
      <w:r>
        <w:rPr>
          <w:rFonts w:ascii="仿宋_GB2312" w:eastAsia="仿宋_GB2312" w:hint="eastAsia"/>
          <w:b/>
          <w:sz w:val="32"/>
          <w:szCs w:val="32"/>
        </w:rPr>
        <w:t>4.经营收入：</w:t>
      </w:r>
      <w:r>
        <w:rPr>
          <w:rFonts w:ascii="仿宋_GB2312" w:eastAsia="仿宋_GB2312" w:hint="eastAsia"/>
          <w:sz w:val="32"/>
          <w:szCs w:val="32"/>
        </w:rPr>
        <w:t>指事业单位在专业业务活动及辅助活动之外开展非独立核算经营活动取得的收入。</w:t>
      </w:r>
    </w:p>
    <w:p w:rsidR="00FF63E3" w:rsidRDefault="00B01763" w:rsidP="006F14F6">
      <w:pPr>
        <w:spacing w:line="540" w:lineRule="exact"/>
        <w:ind w:firstLineChars="200" w:firstLine="640"/>
        <w:rPr>
          <w:rFonts w:ascii="仿宋_GB2312" w:eastAsia="仿宋_GB2312"/>
          <w:sz w:val="32"/>
          <w:szCs w:val="32"/>
        </w:rPr>
      </w:pPr>
      <w:r>
        <w:rPr>
          <w:rFonts w:ascii="仿宋_GB2312" w:eastAsia="仿宋_GB2312" w:hint="eastAsia"/>
          <w:b/>
          <w:sz w:val="32"/>
          <w:szCs w:val="32"/>
        </w:rPr>
        <w:t>5.附属单位上缴收入：</w:t>
      </w:r>
      <w:r>
        <w:rPr>
          <w:rFonts w:ascii="仿宋_GB2312" w:eastAsia="仿宋_GB2312" w:hint="eastAsia"/>
          <w:sz w:val="32"/>
          <w:szCs w:val="32"/>
        </w:rPr>
        <w:t>指单位附属的独立核算单位按照规定上缴的收入。</w:t>
      </w:r>
    </w:p>
    <w:p w:rsidR="00FF63E3" w:rsidRDefault="00B01763" w:rsidP="006F14F6">
      <w:pPr>
        <w:spacing w:line="540" w:lineRule="exact"/>
        <w:ind w:firstLineChars="200" w:firstLine="640"/>
        <w:rPr>
          <w:rFonts w:ascii="仿宋_GB2312" w:eastAsia="仿宋_GB2312"/>
          <w:sz w:val="32"/>
          <w:szCs w:val="32"/>
        </w:rPr>
      </w:pPr>
      <w:r>
        <w:rPr>
          <w:rFonts w:ascii="仿宋_GB2312" w:eastAsia="仿宋_GB2312" w:hint="eastAsia"/>
          <w:b/>
          <w:sz w:val="32"/>
          <w:szCs w:val="32"/>
        </w:rPr>
        <w:t>6.其他收入：</w:t>
      </w:r>
      <w:r>
        <w:rPr>
          <w:rFonts w:ascii="仿宋_GB2312" w:eastAsia="仿宋_GB2312" w:hint="eastAsia"/>
          <w:sz w:val="32"/>
          <w:szCs w:val="32"/>
        </w:rPr>
        <w:t>指除上述“财政拨款收入”、</w:t>
      </w:r>
      <w:r>
        <w:rPr>
          <w:rFonts w:ascii="仿宋_GB2312" w:eastAsia="仿宋_GB2312" w:hint="eastAsia"/>
          <w:b/>
          <w:sz w:val="32"/>
          <w:szCs w:val="32"/>
        </w:rPr>
        <w:t xml:space="preserve"> </w:t>
      </w:r>
      <w:r>
        <w:rPr>
          <w:rFonts w:ascii="仿宋_GB2312" w:eastAsia="仿宋_GB2312" w:hint="eastAsia"/>
          <w:sz w:val="32"/>
          <w:szCs w:val="32"/>
        </w:rPr>
        <w:t>“上级补助收入”、“事业收入”、“经营收入”、“附属单位上缴收入”等以外的收入。</w:t>
      </w:r>
    </w:p>
    <w:p w:rsidR="00FF63E3" w:rsidRDefault="00B01763" w:rsidP="006F14F6">
      <w:pPr>
        <w:spacing w:line="540" w:lineRule="exact"/>
        <w:ind w:firstLineChars="200" w:firstLine="640"/>
        <w:rPr>
          <w:rFonts w:ascii="仿宋_GB2312" w:eastAsia="仿宋_GB2312"/>
          <w:sz w:val="32"/>
          <w:szCs w:val="32"/>
        </w:rPr>
      </w:pPr>
      <w:r>
        <w:rPr>
          <w:rFonts w:ascii="仿宋_GB2312" w:eastAsia="仿宋_GB2312" w:hint="eastAsia"/>
          <w:b/>
          <w:sz w:val="32"/>
          <w:szCs w:val="32"/>
        </w:rPr>
        <w:t>7.使用非财政拨款结余：</w:t>
      </w:r>
      <w:r>
        <w:rPr>
          <w:rFonts w:ascii="仿宋_GB2312" w:eastAsia="仿宋_GB2312" w:hint="eastAsia"/>
          <w:sz w:val="32"/>
          <w:szCs w:val="32"/>
        </w:rPr>
        <w:t>指事业单位按照预算管理要求使用非财政拨款结余弥补收支差额的金额。</w:t>
      </w:r>
    </w:p>
    <w:p w:rsidR="00FF63E3" w:rsidRDefault="00B01763" w:rsidP="006F14F6">
      <w:pPr>
        <w:spacing w:line="540" w:lineRule="exact"/>
        <w:ind w:firstLineChars="200" w:firstLine="640"/>
        <w:rPr>
          <w:rFonts w:ascii="仿宋_GB2312" w:eastAsia="仿宋_GB2312"/>
          <w:sz w:val="32"/>
          <w:szCs w:val="32"/>
        </w:rPr>
      </w:pPr>
      <w:r>
        <w:rPr>
          <w:rFonts w:ascii="仿宋_GB2312" w:eastAsia="仿宋_GB2312" w:hint="eastAsia"/>
          <w:b/>
          <w:sz w:val="32"/>
          <w:szCs w:val="32"/>
        </w:rPr>
        <w:t>8.上年结转和结余：</w:t>
      </w:r>
      <w:r>
        <w:rPr>
          <w:rFonts w:ascii="仿宋_GB2312" w:eastAsia="仿宋_GB2312" w:hint="eastAsia"/>
          <w:sz w:val="32"/>
          <w:szCs w:val="32"/>
        </w:rPr>
        <w:t>指以前年度尚未完成、结转到本年按有关规定继续使用的资金。</w:t>
      </w:r>
    </w:p>
    <w:p w:rsidR="00FF63E3" w:rsidRDefault="00B01763" w:rsidP="006F14F6">
      <w:pPr>
        <w:spacing w:line="540" w:lineRule="exact"/>
        <w:ind w:firstLineChars="200" w:firstLine="640"/>
        <w:rPr>
          <w:rFonts w:ascii="仿宋_GB2312" w:eastAsia="仿宋_GB2312"/>
          <w:sz w:val="32"/>
          <w:szCs w:val="32"/>
        </w:rPr>
      </w:pPr>
      <w:r>
        <w:rPr>
          <w:rFonts w:ascii="仿宋_GB2312" w:eastAsia="仿宋_GB2312" w:hint="eastAsia"/>
          <w:b/>
          <w:sz w:val="32"/>
          <w:szCs w:val="32"/>
        </w:rPr>
        <w:t>9.基本支出：</w:t>
      </w:r>
      <w:r>
        <w:rPr>
          <w:rFonts w:ascii="仿宋_GB2312" w:eastAsia="仿宋_GB2312" w:hint="eastAsia"/>
          <w:sz w:val="32"/>
          <w:szCs w:val="32"/>
        </w:rPr>
        <w:t>指保障机构正常运转、完成日常工作任务而发生的人员支出和公用支出。</w:t>
      </w:r>
    </w:p>
    <w:p w:rsidR="00FF63E3" w:rsidRDefault="00B01763" w:rsidP="006F14F6">
      <w:pPr>
        <w:spacing w:line="540" w:lineRule="exact"/>
        <w:ind w:firstLineChars="200" w:firstLine="640"/>
        <w:rPr>
          <w:rFonts w:ascii="仿宋_GB2312" w:eastAsia="仿宋_GB2312"/>
          <w:sz w:val="32"/>
          <w:szCs w:val="32"/>
        </w:rPr>
      </w:pPr>
      <w:r>
        <w:rPr>
          <w:rFonts w:ascii="仿宋_GB2312" w:eastAsia="仿宋_GB2312" w:hint="eastAsia"/>
          <w:b/>
          <w:sz w:val="32"/>
          <w:szCs w:val="32"/>
        </w:rPr>
        <w:t>10.项目支出：</w:t>
      </w:r>
      <w:r>
        <w:rPr>
          <w:rFonts w:ascii="仿宋_GB2312" w:eastAsia="仿宋_GB2312" w:hint="eastAsia"/>
          <w:sz w:val="32"/>
          <w:szCs w:val="32"/>
        </w:rPr>
        <w:t>指在基本支出之外为完成特定行政任务和事业发展目标所发生的支出。</w:t>
      </w:r>
    </w:p>
    <w:p w:rsidR="00FF63E3" w:rsidRDefault="00B01763" w:rsidP="006F14F6">
      <w:pPr>
        <w:spacing w:line="540" w:lineRule="exact"/>
        <w:ind w:firstLineChars="200" w:firstLine="640"/>
        <w:rPr>
          <w:rFonts w:ascii="仿宋_GB2312" w:eastAsia="仿宋_GB2312"/>
          <w:sz w:val="32"/>
          <w:szCs w:val="32"/>
        </w:rPr>
      </w:pPr>
      <w:r>
        <w:rPr>
          <w:rFonts w:ascii="仿宋_GB2312" w:eastAsia="仿宋_GB2312" w:hint="eastAsia"/>
          <w:b/>
          <w:sz w:val="32"/>
          <w:szCs w:val="32"/>
        </w:rPr>
        <w:t>11.上缴上级支出：</w:t>
      </w:r>
      <w:r>
        <w:rPr>
          <w:rFonts w:ascii="仿宋_GB2312" w:eastAsia="仿宋_GB2312" w:hint="eastAsia"/>
          <w:sz w:val="32"/>
          <w:szCs w:val="32"/>
        </w:rPr>
        <w:t>指事业单位按照财政部门和主管部门的规定上缴上级单位的支出。</w:t>
      </w:r>
    </w:p>
    <w:p w:rsidR="00FF63E3" w:rsidRDefault="00B01763" w:rsidP="006F14F6">
      <w:pPr>
        <w:spacing w:line="540" w:lineRule="exact"/>
        <w:ind w:firstLineChars="200" w:firstLine="640"/>
        <w:rPr>
          <w:rFonts w:ascii="仿宋_GB2312" w:eastAsia="仿宋_GB2312"/>
          <w:sz w:val="32"/>
          <w:szCs w:val="32"/>
        </w:rPr>
      </w:pPr>
      <w:r>
        <w:rPr>
          <w:rFonts w:ascii="仿宋_GB2312" w:eastAsia="仿宋_GB2312" w:hint="eastAsia"/>
          <w:b/>
          <w:sz w:val="32"/>
          <w:szCs w:val="32"/>
        </w:rPr>
        <w:t>12.经营支出：</w:t>
      </w:r>
      <w:r>
        <w:rPr>
          <w:rFonts w:ascii="仿宋_GB2312" w:eastAsia="仿宋_GB2312" w:hint="eastAsia"/>
          <w:sz w:val="32"/>
          <w:szCs w:val="32"/>
        </w:rPr>
        <w:t>指事业单位在专业活动及辅助活动之外开展非</w:t>
      </w:r>
      <w:r>
        <w:rPr>
          <w:rFonts w:ascii="仿宋_GB2312" w:eastAsia="仿宋_GB2312" w:hint="eastAsia"/>
          <w:sz w:val="32"/>
          <w:szCs w:val="32"/>
        </w:rPr>
        <w:lastRenderedPageBreak/>
        <w:t>独立核算经营活动发生的支出。</w:t>
      </w:r>
    </w:p>
    <w:p w:rsidR="00FF63E3" w:rsidRDefault="00B01763" w:rsidP="006F14F6">
      <w:pPr>
        <w:spacing w:line="540" w:lineRule="exact"/>
        <w:ind w:firstLineChars="200" w:firstLine="640"/>
        <w:rPr>
          <w:rFonts w:ascii="仿宋_GB2312" w:eastAsia="仿宋_GB2312"/>
          <w:b/>
          <w:sz w:val="32"/>
          <w:szCs w:val="32"/>
        </w:rPr>
      </w:pPr>
      <w:r>
        <w:rPr>
          <w:rFonts w:ascii="仿宋_GB2312" w:eastAsia="仿宋_GB2312" w:hint="eastAsia"/>
          <w:b/>
          <w:sz w:val="32"/>
          <w:szCs w:val="32"/>
        </w:rPr>
        <w:t>13.对附属单位补助支出：</w:t>
      </w:r>
      <w:r>
        <w:rPr>
          <w:rFonts w:ascii="仿宋_GB2312" w:eastAsia="仿宋_GB2312" w:hint="eastAsia"/>
          <w:sz w:val="32"/>
          <w:szCs w:val="32"/>
        </w:rPr>
        <w:t>指事业单位用财政补助收入之外的收入对附属单位补助发生的支出。</w:t>
      </w:r>
    </w:p>
    <w:p w:rsidR="00FF63E3" w:rsidRDefault="00B01763" w:rsidP="006F14F6">
      <w:pPr>
        <w:spacing w:line="540" w:lineRule="exact"/>
        <w:ind w:firstLineChars="200" w:firstLine="640"/>
        <w:rPr>
          <w:rFonts w:ascii="仿宋_GB2312" w:eastAsia="仿宋_GB2312"/>
          <w:sz w:val="32"/>
          <w:szCs w:val="32"/>
        </w:rPr>
      </w:pPr>
      <w:r>
        <w:rPr>
          <w:rFonts w:ascii="仿宋_GB2312" w:eastAsia="仿宋_GB2312" w:hint="eastAsia"/>
          <w:b/>
          <w:sz w:val="32"/>
          <w:szCs w:val="32"/>
        </w:rPr>
        <w:t>14.“三公”经费：</w:t>
      </w:r>
      <w:r>
        <w:rPr>
          <w:rFonts w:ascii="仿宋_GB2312" w:eastAsia="仿宋_GB2312" w:hint="eastAsia"/>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FF63E3" w:rsidRDefault="00B01763" w:rsidP="006F14F6">
      <w:pPr>
        <w:spacing w:line="540" w:lineRule="exact"/>
        <w:ind w:firstLineChars="200" w:firstLine="640"/>
        <w:rPr>
          <w:rFonts w:ascii="仿宋_GB2312" w:eastAsia="仿宋_GB2312"/>
          <w:sz w:val="32"/>
          <w:szCs w:val="32"/>
        </w:rPr>
      </w:pPr>
      <w:r>
        <w:rPr>
          <w:rFonts w:ascii="仿宋_GB2312" w:eastAsia="仿宋_GB2312" w:hint="eastAsia"/>
          <w:b/>
          <w:bCs/>
          <w:sz w:val="32"/>
          <w:szCs w:val="32"/>
        </w:rPr>
        <w:t>15.机关运行经费：</w:t>
      </w:r>
      <w:r>
        <w:rPr>
          <w:rFonts w:ascii="仿宋_GB2312" w:eastAsia="仿宋_GB2312" w:hint="eastAsia"/>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F63E3" w:rsidRDefault="00B01763" w:rsidP="006F14F6">
      <w:pPr>
        <w:spacing w:line="540" w:lineRule="exact"/>
        <w:ind w:firstLineChars="200" w:firstLine="640"/>
        <w:rPr>
          <w:rFonts w:ascii="仿宋_GB2312" w:eastAsia="仿宋_GB2312"/>
          <w:b/>
          <w:sz w:val="32"/>
          <w:szCs w:val="32"/>
        </w:rPr>
      </w:pPr>
      <w:r>
        <w:rPr>
          <w:rFonts w:ascii="仿宋_GB2312" w:eastAsia="仿宋_GB2312" w:hint="eastAsia"/>
          <w:b/>
          <w:sz w:val="32"/>
          <w:szCs w:val="32"/>
        </w:rPr>
        <w:t>16.一般公共服务（类）财政事务（款）行政运行（项）：</w:t>
      </w:r>
      <w:r>
        <w:rPr>
          <w:rFonts w:ascii="仿宋_GB2312" w:eastAsia="仿宋_GB2312" w:hint="eastAsia"/>
          <w:sz w:val="32"/>
          <w:szCs w:val="32"/>
        </w:rPr>
        <w:t>反映行政单位（包括实行公务员管理的事业单位）的基本支出。</w:t>
      </w:r>
    </w:p>
    <w:p w:rsidR="00FF63E3" w:rsidRDefault="00B01763">
      <w:pPr>
        <w:spacing w:line="540" w:lineRule="exact"/>
        <w:ind w:firstLineChars="200" w:firstLine="640"/>
        <w:rPr>
          <w:rFonts w:ascii="仿宋_GB2312" w:eastAsia="仿宋_GB2312"/>
          <w:b/>
          <w:sz w:val="32"/>
          <w:szCs w:val="32"/>
        </w:rPr>
      </w:pPr>
      <w:r>
        <w:rPr>
          <w:rFonts w:ascii="仿宋_GB2312" w:eastAsia="仿宋_GB2312" w:hint="eastAsia"/>
          <w:i/>
          <w:sz w:val="32"/>
          <w:szCs w:val="32"/>
          <w:u w:val="single"/>
        </w:rPr>
        <w:t>（部门决算涉及的支出功能分类全部项级科目，逐一解释）……</w:t>
      </w:r>
    </w:p>
    <w:p w:rsidR="00FF63E3" w:rsidRDefault="00FF63E3">
      <w:pPr>
        <w:spacing w:line="540" w:lineRule="exact"/>
        <w:rPr>
          <w:sz w:val="32"/>
          <w:szCs w:val="32"/>
        </w:rPr>
        <w:sectPr w:rsidR="00FF63E3">
          <w:footerReference w:type="even" r:id="rId7"/>
          <w:footerReference w:type="default" r:id="rId8"/>
          <w:pgSz w:w="11906" w:h="16838"/>
          <w:pgMar w:top="1701" w:right="1417" w:bottom="1701" w:left="1417" w:header="851" w:footer="992" w:gutter="0"/>
          <w:cols w:space="720"/>
          <w:docGrid w:type="lines" w:linePitch="312"/>
        </w:sectPr>
      </w:pPr>
    </w:p>
    <w:p w:rsidR="00FF63E3" w:rsidRDefault="00FF63E3">
      <w:pPr>
        <w:spacing w:line="540" w:lineRule="exact"/>
        <w:ind w:firstLineChars="200" w:firstLine="640"/>
        <w:jc w:val="left"/>
        <w:rPr>
          <w:rFonts w:ascii="仿宋_GB2312" w:eastAsia="仿宋_GB2312"/>
          <w:i/>
          <w:sz w:val="32"/>
          <w:szCs w:val="32"/>
          <w:u w:val="single"/>
        </w:rPr>
      </w:pPr>
    </w:p>
    <w:p w:rsidR="00FF63E3" w:rsidRDefault="00FF63E3">
      <w:pPr>
        <w:spacing w:line="540" w:lineRule="exact"/>
        <w:rPr>
          <w:rFonts w:ascii="宋体" w:hAnsi="宋体"/>
          <w:b/>
          <w:sz w:val="36"/>
          <w:szCs w:val="36"/>
        </w:rPr>
      </w:pPr>
    </w:p>
    <w:p w:rsidR="00FF63E3" w:rsidRDefault="00FF63E3">
      <w:pPr>
        <w:spacing w:line="540" w:lineRule="exact"/>
        <w:jc w:val="center"/>
        <w:rPr>
          <w:rFonts w:ascii="宋体" w:hAnsi="宋体"/>
          <w:b/>
          <w:sz w:val="36"/>
          <w:szCs w:val="36"/>
        </w:rPr>
      </w:pPr>
    </w:p>
    <w:p w:rsidR="00FF63E3" w:rsidRDefault="00FF63E3">
      <w:pPr>
        <w:spacing w:line="540" w:lineRule="exact"/>
        <w:jc w:val="center"/>
        <w:rPr>
          <w:rFonts w:ascii="宋体" w:hAnsi="宋体"/>
          <w:b/>
          <w:sz w:val="36"/>
          <w:szCs w:val="36"/>
        </w:rPr>
      </w:pPr>
    </w:p>
    <w:p w:rsidR="00FF63E3" w:rsidRDefault="00FF63E3">
      <w:pPr>
        <w:spacing w:line="540" w:lineRule="exact"/>
        <w:jc w:val="center"/>
        <w:rPr>
          <w:rFonts w:ascii="宋体" w:hAnsi="宋体"/>
          <w:b/>
          <w:sz w:val="36"/>
          <w:szCs w:val="36"/>
        </w:rPr>
      </w:pPr>
    </w:p>
    <w:p w:rsidR="00FF63E3" w:rsidRDefault="00FF63E3">
      <w:pPr>
        <w:spacing w:line="540" w:lineRule="exact"/>
        <w:jc w:val="center"/>
        <w:rPr>
          <w:rFonts w:ascii="宋体" w:hAnsi="宋体"/>
          <w:b/>
          <w:sz w:val="36"/>
          <w:szCs w:val="36"/>
        </w:rPr>
      </w:pPr>
    </w:p>
    <w:p w:rsidR="00FF63E3" w:rsidRDefault="00FF63E3">
      <w:pPr>
        <w:spacing w:line="540" w:lineRule="exact"/>
        <w:jc w:val="center"/>
        <w:rPr>
          <w:rFonts w:ascii="宋体" w:hAnsi="宋体"/>
          <w:b/>
          <w:sz w:val="36"/>
          <w:szCs w:val="36"/>
        </w:rPr>
      </w:pPr>
    </w:p>
    <w:p w:rsidR="00FF63E3" w:rsidRDefault="00B01763">
      <w:pPr>
        <w:spacing w:line="540" w:lineRule="exact"/>
        <w:jc w:val="center"/>
        <w:rPr>
          <w:rFonts w:ascii="仿宋_GB2312" w:eastAsia="仿宋_GB2312"/>
          <w:sz w:val="52"/>
          <w:szCs w:val="52"/>
        </w:rPr>
      </w:pPr>
      <w:r>
        <w:rPr>
          <w:rFonts w:ascii="宋体" w:hAnsi="宋体" w:hint="eastAsia"/>
          <w:b/>
          <w:sz w:val="52"/>
          <w:szCs w:val="52"/>
        </w:rPr>
        <w:t>第四部分 2021年度部门决算表</w:t>
      </w:r>
    </w:p>
    <w:p w:rsidR="00FF63E3" w:rsidRDefault="00FF63E3">
      <w:pPr>
        <w:spacing w:line="540" w:lineRule="exact"/>
        <w:jc w:val="left"/>
        <w:rPr>
          <w:sz w:val="32"/>
          <w:szCs w:val="32"/>
        </w:rPr>
      </w:pPr>
    </w:p>
    <w:p w:rsidR="00FF63E3" w:rsidRDefault="00FF63E3">
      <w:pPr>
        <w:spacing w:line="540" w:lineRule="exact"/>
        <w:rPr>
          <w:sz w:val="32"/>
          <w:szCs w:val="32"/>
        </w:rPr>
      </w:pPr>
    </w:p>
    <w:p w:rsidR="00FF63E3" w:rsidRDefault="00FF63E3">
      <w:pPr>
        <w:spacing w:line="540" w:lineRule="exact"/>
        <w:jc w:val="center"/>
        <w:rPr>
          <w:rFonts w:ascii="宋体" w:hAnsi="宋体"/>
          <w:b/>
          <w:sz w:val="36"/>
          <w:szCs w:val="36"/>
        </w:rPr>
      </w:pPr>
    </w:p>
    <w:p w:rsidR="00FF63E3" w:rsidRDefault="00FF63E3">
      <w:pPr>
        <w:spacing w:line="540" w:lineRule="exact"/>
        <w:rPr>
          <w:sz w:val="32"/>
          <w:szCs w:val="32"/>
        </w:rPr>
        <w:sectPr w:rsidR="00FF63E3">
          <w:footerReference w:type="even" r:id="rId9"/>
          <w:footerReference w:type="default" r:id="rId10"/>
          <w:pgSz w:w="11906" w:h="16838"/>
          <w:pgMar w:top="1418" w:right="1701" w:bottom="1418" w:left="1701" w:header="851" w:footer="992" w:gutter="0"/>
          <w:cols w:space="720"/>
          <w:docGrid w:type="lines" w:linePitch="312"/>
        </w:sectPr>
      </w:pPr>
    </w:p>
    <w:tbl>
      <w:tblPr>
        <w:tblW w:w="0" w:type="auto"/>
        <w:tblInd w:w="108" w:type="dxa"/>
        <w:tblLayout w:type="fixed"/>
        <w:tblLook w:val="0000"/>
      </w:tblPr>
      <w:tblGrid>
        <w:gridCol w:w="4297"/>
        <w:gridCol w:w="2903"/>
        <w:gridCol w:w="4312"/>
        <w:gridCol w:w="2903"/>
      </w:tblGrid>
      <w:tr w:rsidR="00FF63E3">
        <w:trPr>
          <w:trHeight w:val="421"/>
        </w:trPr>
        <w:tc>
          <w:tcPr>
            <w:tcW w:w="4297" w:type="dxa"/>
            <w:tcBorders>
              <w:top w:val="nil"/>
              <w:left w:val="nil"/>
              <w:bottom w:val="nil"/>
              <w:right w:val="nil"/>
            </w:tcBorders>
            <w:vAlign w:val="center"/>
          </w:tcPr>
          <w:p w:rsidR="00FF63E3" w:rsidRDefault="00B01763">
            <w:pPr>
              <w:widowControl/>
              <w:jc w:val="left"/>
              <w:rPr>
                <w:rFonts w:ascii="宋体" w:hAnsi="宋体" w:cs="宋体"/>
                <w:b/>
                <w:bCs/>
                <w:kern w:val="0"/>
                <w:sz w:val="28"/>
                <w:szCs w:val="28"/>
              </w:rPr>
            </w:pPr>
            <w:r>
              <w:rPr>
                <w:rFonts w:ascii="宋体" w:hAnsi="宋体" w:cs="宋体" w:hint="eastAsia"/>
                <w:b/>
                <w:bCs/>
                <w:kern w:val="0"/>
                <w:sz w:val="28"/>
                <w:szCs w:val="28"/>
              </w:rPr>
              <w:lastRenderedPageBreak/>
              <w:t>附件3-1：</w:t>
            </w:r>
          </w:p>
        </w:tc>
        <w:tc>
          <w:tcPr>
            <w:tcW w:w="2903" w:type="dxa"/>
            <w:tcBorders>
              <w:top w:val="nil"/>
              <w:left w:val="nil"/>
              <w:bottom w:val="nil"/>
              <w:right w:val="nil"/>
            </w:tcBorders>
            <w:vAlign w:val="center"/>
          </w:tcPr>
          <w:p w:rsidR="00FF63E3" w:rsidRDefault="00FF63E3">
            <w:pPr>
              <w:widowControl/>
              <w:jc w:val="left"/>
              <w:rPr>
                <w:rFonts w:ascii="宋体" w:hAnsi="宋体" w:cs="宋体"/>
                <w:i/>
                <w:kern w:val="0"/>
                <w:sz w:val="24"/>
              </w:rPr>
            </w:pPr>
          </w:p>
        </w:tc>
        <w:tc>
          <w:tcPr>
            <w:tcW w:w="4312" w:type="dxa"/>
            <w:tcBorders>
              <w:top w:val="nil"/>
              <w:left w:val="nil"/>
              <w:bottom w:val="nil"/>
              <w:right w:val="nil"/>
            </w:tcBorders>
            <w:vAlign w:val="center"/>
          </w:tcPr>
          <w:p w:rsidR="00FF63E3" w:rsidRDefault="00FF63E3">
            <w:pPr>
              <w:widowControl/>
              <w:jc w:val="left"/>
              <w:rPr>
                <w:rFonts w:ascii="宋体" w:hAnsi="宋体" w:cs="宋体"/>
                <w:i/>
                <w:kern w:val="0"/>
                <w:sz w:val="24"/>
              </w:rPr>
            </w:pPr>
          </w:p>
        </w:tc>
        <w:tc>
          <w:tcPr>
            <w:tcW w:w="2903" w:type="dxa"/>
            <w:tcBorders>
              <w:top w:val="nil"/>
              <w:left w:val="nil"/>
              <w:bottom w:val="nil"/>
              <w:right w:val="nil"/>
            </w:tcBorders>
            <w:vAlign w:val="center"/>
          </w:tcPr>
          <w:p w:rsidR="00FF63E3" w:rsidRDefault="00FF63E3">
            <w:pPr>
              <w:widowControl/>
              <w:jc w:val="left"/>
              <w:rPr>
                <w:rFonts w:ascii="宋体" w:hAnsi="宋体" w:cs="宋体"/>
                <w:i/>
                <w:kern w:val="0"/>
                <w:sz w:val="24"/>
              </w:rPr>
            </w:pPr>
          </w:p>
        </w:tc>
      </w:tr>
      <w:tr w:rsidR="00FF63E3">
        <w:trPr>
          <w:trHeight w:val="691"/>
        </w:trPr>
        <w:tc>
          <w:tcPr>
            <w:tcW w:w="14415" w:type="dxa"/>
            <w:gridSpan w:val="4"/>
            <w:tcBorders>
              <w:top w:val="nil"/>
              <w:left w:val="nil"/>
              <w:bottom w:val="nil"/>
              <w:right w:val="nil"/>
            </w:tcBorders>
            <w:vAlign w:val="center"/>
          </w:tcPr>
          <w:p w:rsidR="00FF63E3" w:rsidRDefault="00B01763">
            <w:pPr>
              <w:widowControl/>
              <w:jc w:val="center"/>
              <w:rPr>
                <w:rFonts w:ascii="黑体" w:eastAsia="黑体" w:hAnsi="宋体" w:cs="宋体"/>
                <w:kern w:val="0"/>
                <w:sz w:val="36"/>
                <w:szCs w:val="36"/>
              </w:rPr>
            </w:pPr>
            <w:r>
              <w:rPr>
                <w:rFonts w:ascii="黑体" w:eastAsia="黑体" w:hAnsi="宋体" w:cs="宋体" w:hint="eastAsia"/>
                <w:kern w:val="0"/>
                <w:sz w:val="36"/>
                <w:szCs w:val="36"/>
              </w:rPr>
              <w:t>2021年度部门决算公开及批复情况反馈表</w:t>
            </w:r>
          </w:p>
        </w:tc>
      </w:tr>
      <w:tr w:rsidR="00FF63E3">
        <w:trPr>
          <w:trHeight w:val="541"/>
        </w:trPr>
        <w:tc>
          <w:tcPr>
            <w:tcW w:w="4297" w:type="dxa"/>
            <w:tcBorders>
              <w:top w:val="nil"/>
              <w:left w:val="nil"/>
              <w:bottom w:val="nil"/>
              <w:right w:val="nil"/>
            </w:tcBorders>
            <w:vAlign w:val="center"/>
          </w:tcPr>
          <w:p w:rsidR="00FF63E3" w:rsidRDefault="00B01763">
            <w:pPr>
              <w:widowControl/>
              <w:jc w:val="left"/>
              <w:rPr>
                <w:rFonts w:ascii="宋体" w:hAnsi="宋体" w:cs="宋体"/>
                <w:kern w:val="0"/>
                <w:sz w:val="24"/>
              </w:rPr>
            </w:pPr>
            <w:r>
              <w:rPr>
                <w:rFonts w:ascii="宋体" w:hAnsi="宋体" w:cs="宋体" w:hint="eastAsia"/>
                <w:kern w:val="0"/>
                <w:sz w:val="24"/>
              </w:rPr>
              <w:t>单位名称（公章）：</w:t>
            </w:r>
          </w:p>
        </w:tc>
        <w:tc>
          <w:tcPr>
            <w:tcW w:w="2903" w:type="dxa"/>
            <w:tcBorders>
              <w:top w:val="nil"/>
              <w:left w:val="nil"/>
              <w:bottom w:val="nil"/>
              <w:right w:val="nil"/>
            </w:tcBorders>
            <w:vAlign w:val="center"/>
          </w:tcPr>
          <w:p w:rsidR="00FF63E3" w:rsidRDefault="00FF63E3">
            <w:pPr>
              <w:widowControl/>
              <w:jc w:val="center"/>
              <w:rPr>
                <w:rFonts w:ascii="宋体" w:hAnsi="宋体" w:cs="宋体"/>
                <w:b/>
                <w:bCs/>
                <w:kern w:val="0"/>
                <w:sz w:val="24"/>
              </w:rPr>
            </w:pPr>
          </w:p>
        </w:tc>
        <w:tc>
          <w:tcPr>
            <w:tcW w:w="4312" w:type="dxa"/>
            <w:tcBorders>
              <w:top w:val="nil"/>
              <w:left w:val="nil"/>
              <w:bottom w:val="nil"/>
              <w:right w:val="nil"/>
            </w:tcBorders>
            <w:vAlign w:val="center"/>
          </w:tcPr>
          <w:p w:rsidR="00FF63E3" w:rsidRDefault="00FF63E3">
            <w:pPr>
              <w:widowControl/>
              <w:jc w:val="center"/>
              <w:rPr>
                <w:rFonts w:ascii="宋体" w:hAnsi="宋体" w:cs="宋体"/>
                <w:b/>
                <w:bCs/>
                <w:kern w:val="0"/>
                <w:sz w:val="24"/>
              </w:rPr>
            </w:pPr>
          </w:p>
        </w:tc>
        <w:tc>
          <w:tcPr>
            <w:tcW w:w="2903" w:type="dxa"/>
            <w:tcBorders>
              <w:top w:val="nil"/>
              <w:left w:val="nil"/>
              <w:bottom w:val="nil"/>
              <w:right w:val="nil"/>
            </w:tcBorders>
            <w:vAlign w:val="center"/>
          </w:tcPr>
          <w:p w:rsidR="00FF63E3" w:rsidRDefault="00FF63E3">
            <w:pPr>
              <w:widowControl/>
              <w:jc w:val="center"/>
              <w:rPr>
                <w:rFonts w:ascii="宋体" w:hAnsi="宋体" w:cs="宋体"/>
                <w:b/>
                <w:bCs/>
                <w:kern w:val="0"/>
                <w:sz w:val="24"/>
              </w:rPr>
            </w:pPr>
          </w:p>
        </w:tc>
      </w:tr>
      <w:tr w:rsidR="00FF63E3">
        <w:trPr>
          <w:trHeight w:val="842"/>
        </w:trPr>
        <w:tc>
          <w:tcPr>
            <w:tcW w:w="4297" w:type="dxa"/>
            <w:tcBorders>
              <w:top w:val="single" w:sz="4" w:space="0" w:color="auto"/>
              <w:left w:val="single" w:sz="4" w:space="0" w:color="auto"/>
              <w:bottom w:val="single" w:sz="4" w:space="0" w:color="auto"/>
              <w:right w:val="single" w:sz="4" w:space="0" w:color="auto"/>
            </w:tcBorders>
            <w:vAlign w:val="center"/>
          </w:tcPr>
          <w:p w:rsidR="00FF63E3" w:rsidRDefault="00B01763">
            <w:pPr>
              <w:widowControl/>
              <w:jc w:val="center"/>
              <w:rPr>
                <w:rFonts w:ascii="宋体" w:hAnsi="宋体" w:cs="宋体"/>
                <w:b/>
                <w:bCs/>
                <w:kern w:val="0"/>
                <w:sz w:val="24"/>
              </w:rPr>
            </w:pPr>
            <w:r>
              <w:rPr>
                <w:rFonts w:ascii="宋体" w:hAnsi="宋体" w:cs="宋体" w:hint="eastAsia"/>
                <w:b/>
                <w:bCs/>
                <w:kern w:val="0"/>
                <w:sz w:val="24"/>
              </w:rPr>
              <w:t>是否已经公开</w:t>
            </w:r>
          </w:p>
        </w:tc>
        <w:tc>
          <w:tcPr>
            <w:tcW w:w="2903" w:type="dxa"/>
            <w:tcBorders>
              <w:top w:val="single" w:sz="4" w:space="0" w:color="auto"/>
              <w:left w:val="nil"/>
              <w:bottom w:val="single" w:sz="4" w:space="0" w:color="auto"/>
              <w:right w:val="single" w:sz="4" w:space="0" w:color="auto"/>
            </w:tcBorders>
            <w:vAlign w:val="center"/>
          </w:tcPr>
          <w:p w:rsidR="00FF63E3" w:rsidRDefault="00B01763">
            <w:pPr>
              <w:widowControl/>
              <w:jc w:val="center"/>
              <w:rPr>
                <w:rFonts w:ascii="宋体" w:hAnsi="宋体" w:cs="宋体"/>
                <w:b/>
                <w:bCs/>
                <w:kern w:val="0"/>
                <w:sz w:val="24"/>
              </w:rPr>
            </w:pPr>
            <w:r>
              <w:rPr>
                <w:rFonts w:ascii="宋体" w:hAnsi="宋体" w:cs="宋体" w:hint="eastAsia"/>
                <w:b/>
                <w:bCs/>
                <w:kern w:val="0"/>
                <w:sz w:val="24"/>
              </w:rPr>
              <w:t>公开时间</w:t>
            </w:r>
          </w:p>
        </w:tc>
        <w:tc>
          <w:tcPr>
            <w:tcW w:w="4312" w:type="dxa"/>
            <w:tcBorders>
              <w:top w:val="single" w:sz="4" w:space="0" w:color="auto"/>
              <w:left w:val="nil"/>
              <w:bottom w:val="single" w:sz="4" w:space="0" w:color="auto"/>
              <w:right w:val="single" w:sz="4" w:space="0" w:color="auto"/>
            </w:tcBorders>
            <w:vAlign w:val="center"/>
          </w:tcPr>
          <w:p w:rsidR="00FF63E3" w:rsidRDefault="00B01763">
            <w:pPr>
              <w:widowControl/>
              <w:jc w:val="center"/>
              <w:rPr>
                <w:rFonts w:ascii="宋体" w:hAnsi="宋体" w:cs="宋体"/>
                <w:b/>
                <w:bCs/>
                <w:kern w:val="0"/>
                <w:sz w:val="24"/>
              </w:rPr>
            </w:pPr>
            <w:r>
              <w:rPr>
                <w:rFonts w:ascii="宋体" w:hAnsi="宋体" w:cs="宋体" w:hint="eastAsia"/>
                <w:b/>
                <w:bCs/>
                <w:kern w:val="0"/>
                <w:sz w:val="24"/>
              </w:rPr>
              <w:t>公开方式</w:t>
            </w:r>
          </w:p>
        </w:tc>
        <w:tc>
          <w:tcPr>
            <w:tcW w:w="2903" w:type="dxa"/>
            <w:tcBorders>
              <w:top w:val="single" w:sz="4" w:space="0" w:color="auto"/>
              <w:left w:val="nil"/>
              <w:bottom w:val="single" w:sz="4" w:space="0" w:color="auto"/>
              <w:right w:val="single" w:sz="4" w:space="0" w:color="auto"/>
            </w:tcBorders>
            <w:vAlign w:val="center"/>
          </w:tcPr>
          <w:p w:rsidR="00FF63E3" w:rsidRDefault="00B01763">
            <w:pPr>
              <w:widowControl/>
              <w:jc w:val="center"/>
              <w:rPr>
                <w:rFonts w:ascii="宋体" w:hAnsi="宋体" w:cs="宋体"/>
                <w:b/>
                <w:bCs/>
                <w:kern w:val="0"/>
                <w:sz w:val="24"/>
              </w:rPr>
            </w:pPr>
            <w:r>
              <w:rPr>
                <w:rFonts w:ascii="宋体" w:hAnsi="宋体" w:cs="宋体" w:hint="eastAsia"/>
                <w:b/>
                <w:bCs/>
                <w:kern w:val="0"/>
                <w:sz w:val="24"/>
              </w:rPr>
              <w:t>备　注</w:t>
            </w:r>
          </w:p>
        </w:tc>
      </w:tr>
      <w:tr w:rsidR="00FF63E3">
        <w:trPr>
          <w:trHeight w:val="779"/>
        </w:trPr>
        <w:tc>
          <w:tcPr>
            <w:tcW w:w="4297" w:type="dxa"/>
            <w:tcBorders>
              <w:top w:val="nil"/>
              <w:left w:val="single" w:sz="4" w:space="0" w:color="auto"/>
              <w:bottom w:val="single" w:sz="4" w:space="0" w:color="auto"/>
              <w:right w:val="single" w:sz="4" w:space="0" w:color="auto"/>
            </w:tcBorders>
            <w:vAlign w:val="center"/>
          </w:tcPr>
          <w:p w:rsidR="00FF63E3" w:rsidRDefault="00B01763">
            <w:pPr>
              <w:widowControl/>
              <w:jc w:val="left"/>
              <w:rPr>
                <w:rFonts w:ascii="宋体" w:hAnsi="宋体" w:cs="宋体"/>
                <w:b/>
                <w:bCs/>
                <w:kern w:val="0"/>
                <w:sz w:val="24"/>
              </w:rPr>
            </w:pPr>
            <w:r>
              <w:rPr>
                <w:rFonts w:ascii="宋体" w:hAnsi="宋体" w:cs="宋体" w:hint="eastAsia"/>
                <w:b/>
                <w:bCs/>
                <w:kern w:val="0"/>
                <w:sz w:val="24"/>
              </w:rPr>
              <w:t xml:space="preserve">　</w:t>
            </w:r>
          </w:p>
        </w:tc>
        <w:tc>
          <w:tcPr>
            <w:tcW w:w="2903" w:type="dxa"/>
            <w:tcBorders>
              <w:top w:val="nil"/>
              <w:left w:val="nil"/>
              <w:bottom w:val="single" w:sz="4" w:space="0" w:color="auto"/>
              <w:right w:val="single" w:sz="4" w:space="0" w:color="auto"/>
            </w:tcBorders>
            <w:vAlign w:val="center"/>
          </w:tcPr>
          <w:p w:rsidR="00FF63E3" w:rsidRDefault="00B01763">
            <w:pPr>
              <w:widowControl/>
              <w:jc w:val="left"/>
              <w:rPr>
                <w:rFonts w:ascii="宋体" w:hAnsi="宋体" w:cs="宋体"/>
                <w:b/>
                <w:bCs/>
                <w:kern w:val="0"/>
                <w:sz w:val="24"/>
              </w:rPr>
            </w:pPr>
            <w:r>
              <w:rPr>
                <w:rFonts w:ascii="宋体" w:hAnsi="宋体" w:cs="宋体" w:hint="eastAsia"/>
                <w:b/>
                <w:bCs/>
                <w:kern w:val="0"/>
                <w:sz w:val="24"/>
              </w:rPr>
              <w:t xml:space="preserve">　</w:t>
            </w:r>
          </w:p>
        </w:tc>
        <w:tc>
          <w:tcPr>
            <w:tcW w:w="4312" w:type="dxa"/>
            <w:tcBorders>
              <w:top w:val="nil"/>
              <w:left w:val="nil"/>
              <w:bottom w:val="single" w:sz="4" w:space="0" w:color="auto"/>
              <w:right w:val="single" w:sz="4" w:space="0" w:color="auto"/>
            </w:tcBorders>
            <w:vAlign w:val="center"/>
          </w:tcPr>
          <w:p w:rsidR="00FF63E3" w:rsidRDefault="00B01763">
            <w:pPr>
              <w:widowControl/>
              <w:jc w:val="left"/>
              <w:rPr>
                <w:rFonts w:ascii="宋体" w:hAnsi="宋体" w:cs="宋体"/>
                <w:b/>
                <w:bCs/>
                <w:kern w:val="0"/>
                <w:sz w:val="24"/>
              </w:rPr>
            </w:pPr>
            <w:r>
              <w:rPr>
                <w:rFonts w:ascii="宋体" w:hAnsi="宋体" w:cs="宋体" w:hint="eastAsia"/>
                <w:b/>
                <w:bCs/>
                <w:kern w:val="0"/>
                <w:sz w:val="24"/>
              </w:rPr>
              <w:t xml:space="preserve">　</w:t>
            </w:r>
          </w:p>
        </w:tc>
        <w:tc>
          <w:tcPr>
            <w:tcW w:w="2903" w:type="dxa"/>
            <w:tcBorders>
              <w:top w:val="nil"/>
              <w:left w:val="nil"/>
              <w:bottom w:val="single" w:sz="4" w:space="0" w:color="auto"/>
              <w:right w:val="single" w:sz="4" w:space="0" w:color="auto"/>
            </w:tcBorders>
            <w:vAlign w:val="center"/>
          </w:tcPr>
          <w:p w:rsidR="00FF63E3" w:rsidRDefault="00B01763">
            <w:pPr>
              <w:widowControl/>
              <w:jc w:val="left"/>
              <w:rPr>
                <w:rFonts w:ascii="宋体" w:hAnsi="宋体" w:cs="宋体"/>
                <w:b/>
                <w:bCs/>
                <w:kern w:val="0"/>
                <w:sz w:val="20"/>
                <w:szCs w:val="20"/>
              </w:rPr>
            </w:pPr>
            <w:r>
              <w:rPr>
                <w:rFonts w:ascii="宋体" w:hAnsi="宋体" w:cs="宋体" w:hint="eastAsia"/>
                <w:b/>
                <w:bCs/>
                <w:kern w:val="0"/>
                <w:sz w:val="20"/>
                <w:szCs w:val="20"/>
              </w:rPr>
              <w:t xml:space="preserve">　</w:t>
            </w:r>
          </w:p>
        </w:tc>
      </w:tr>
      <w:tr w:rsidR="00FF63E3">
        <w:trPr>
          <w:trHeight w:val="774"/>
        </w:trPr>
        <w:tc>
          <w:tcPr>
            <w:tcW w:w="4297" w:type="dxa"/>
            <w:tcBorders>
              <w:top w:val="nil"/>
              <w:left w:val="single" w:sz="4" w:space="0" w:color="auto"/>
              <w:bottom w:val="single" w:sz="4" w:space="0" w:color="auto"/>
              <w:right w:val="single" w:sz="4" w:space="0" w:color="auto"/>
            </w:tcBorders>
            <w:vAlign w:val="center"/>
          </w:tcPr>
          <w:p w:rsidR="00FF63E3" w:rsidRDefault="00A06993">
            <w:pPr>
              <w:widowControl/>
              <w:jc w:val="center"/>
              <w:rPr>
                <w:rFonts w:ascii="宋体" w:hAnsi="宋体" w:cs="宋体"/>
                <w:b/>
                <w:bCs/>
                <w:kern w:val="0"/>
                <w:sz w:val="24"/>
              </w:rPr>
            </w:pPr>
            <w:r>
              <w:rPr>
                <w:rFonts w:ascii="宋体" w:hAnsi="宋体" w:cs="宋体"/>
                <w:b/>
                <w:bCs/>
                <w:kern w:val="0"/>
                <w:sz w:val="24"/>
              </w:rPr>
              <w:fldChar w:fldCharType="begin"/>
            </w:r>
            <w:r w:rsidR="00B01763">
              <w:rPr>
                <w:rFonts w:ascii="宋体" w:hAnsi="宋体" w:cs="宋体"/>
                <w:b/>
                <w:bCs/>
                <w:kern w:val="0"/>
                <w:sz w:val="24"/>
              </w:rPr>
              <w:instrText xml:space="preserve"> </w:instrText>
            </w:r>
            <w:r w:rsidR="00B01763">
              <w:rPr>
                <w:rFonts w:ascii="宋体" w:hAnsi="宋体" w:cs="宋体" w:hint="eastAsia"/>
                <w:b/>
                <w:bCs/>
                <w:kern w:val="0"/>
                <w:sz w:val="24"/>
              </w:rPr>
              <w:instrText>= 1 \* GB3</w:instrText>
            </w:r>
            <w:r w:rsidR="00B01763">
              <w:rPr>
                <w:rFonts w:ascii="宋体" w:hAnsi="宋体" w:cs="宋体"/>
                <w:b/>
                <w:bCs/>
                <w:kern w:val="0"/>
                <w:sz w:val="24"/>
              </w:rPr>
              <w:instrText xml:space="preserve"> </w:instrText>
            </w:r>
            <w:r>
              <w:rPr>
                <w:rFonts w:ascii="宋体" w:hAnsi="宋体" w:cs="宋体"/>
                <w:b/>
                <w:bCs/>
                <w:kern w:val="0"/>
                <w:sz w:val="24"/>
              </w:rPr>
              <w:fldChar w:fldCharType="separate"/>
            </w:r>
            <w:r w:rsidR="00B01763">
              <w:rPr>
                <w:rFonts w:ascii="宋体" w:hAnsi="宋体" w:cs="宋体" w:hint="eastAsia"/>
                <w:b/>
                <w:bCs/>
                <w:kern w:val="0"/>
                <w:sz w:val="24"/>
              </w:rPr>
              <w:t>①</w:t>
            </w:r>
            <w:r>
              <w:rPr>
                <w:rFonts w:ascii="宋体" w:hAnsi="宋体" w:cs="宋体"/>
                <w:b/>
                <w:bCs/>
                <w:kern w:val="0"/>
                <w:sz w:val="24"/>
              </w:rPr>
              <w:fldChar w:fldCharType="end"/>
            </w:r>
            <w:r w:rsidR="00B01763">
              <w:rPr>
                <w:rFonts w:ascii="宋体" w:hAnsi="宋体" w:cs="宋体" w:hint="eastAsia"/>
                <w:b/>
                <w:bCs/>
                <w:kern w:val="0"/>
                <w:sz w:val="24"/>
              </w:rPr>
              <w:t>公开决算的网页地址</w:t>
            </w:r>
          </w:p>
        </w:tc>
        <w:tc>
          <w:tcPr>
            <w:tcW w:w="10118" w:type="dxa"/>
            <w:gridSpan w:val="3"/>
            <w:tcBorders>
              <w:top w:val="single" w:sz="4" w:space="0" w:color="auto"/>
              <w:left w:val="nil"/>
              <w:bottom w:val="single" w:sz="4" w:space="0" w:color="auto"/>
              <w:right w:val="single" w:sz="4" w:space="0" w:color="auto"/>
            </w:tcBorders>
            <w:vAlign w:val="center"/>
          </w:tcPr>
          <w:p w:rsidR="00FF63E3" w:rsidRDefault="00FF63E3">
            <w:pPr>
              <w:widowControl/>
              <w:jc w:val="center"/>
              <w:rPr>
                <w:rFonts w:ascii="宋体" w:hAnsi="宋体" w:cs="宋体"/>
                <w:b/>
                <w:bCs/>
                <w:kern w:val="0"/>
                <w:sz w:val="24"/>
              </w:rPr>
            </w:pPr>
          </w:p>
        </w:tc>
      </w:tr>
      <w:tr w:rsidR="00FF63E3">
        <w:trPr>
          <w:trHeight w:val="773"/>
        </w:trPr>
        <w:tc>
          <w:tcPr>
            <w:tcW w:w="4297" w:type="dxa"/>
            <w:tcBorders>
              <w:top w:val="nil"/>
              <w:left w:val="single" w:sz="4" w:space="0" w:color="auto"/>
              <w:bottom w:val="single" w:sz="4" w:space="0" w:color="auto"/>
              <w:right w:val="single" w:sz="4" w:space="0" w:color="auto"/>
            </w:tcBorders>
            <w:vAlign w:val="center"/>
          </w:tcPr>
          <w:p w:rsidR="00FF63E3" w:rsidRDefault="00A06993">
            <w:pPr>
              <w:widowControl/>
              <w:jc w:val="center"/>
              <w:rPr>
                <w:rFonts w:ascii="宋体" w:hAnsi="宋体" w:cs="宋体"/>
                <w:b/>
                <w:bCs/>
                <w:kern w:val="0"/>
                <w:sz w:val="24"/>
              </w:rPr>
            </w:pPr>
            <w:r>
              <w:rPr>
                <w:rFonts w:ascii="宋体" w:hAnsi="宋体" w:cs="宋体"/>
                <w:b/>
                <w:bCs/>
                <w:kern w:val="0"/>
                <w:sz w:val="24"/>
              </w:rPr>
              <w:fldChar w:fldCharType="begin"/>
            </w:r>
            <w:r w:rsidR="00B01763">
              <w:rPr>
                <w:rFonts w:ascii="宋体" w:hAnsi="宋体" w:cs="宋体"/>
                <w:b/>
                <w:bCs/>
                <w:kern w:val="0"/>
                <w:sz w:val="24"/>
              </w:rPr>
              <w:instrText xml:space="preserve"> </w:instrText>
            </w:r>
            <w:r w:rsidR="00B01763">
              <w:rPr>
                <w:rFonts w:ascii="宋体" w:hAnsi="宋体" w:cs="宋体" w:hint="eastAsia"/>
                <w:b/>
                <w:bCs/>
                <w:kern w:val="0"/>
                <w:sz w:val="24"/>
              </w:rPr>
              <w:instrText>= 2 \* GB3</w:instrText>
            </w:r>
            <w:r w:rsidR="00B01763">
              <w:rPr>
                <w:rFonts w:ascii="宋体" w:hAnsi="宋体" w:cs="宋体"/>
                <w:b/>
                <w:bCs/>
                <w:kern w:val="0"/>
                <w:sz w:val="24"/>
              </w:rPr>
              <w:instrText xml:space="preserve"> </w:instrText>
            </w:r>
            <w:r>
              <w:rPr>
                <w:rFonts w:ascii="宋体" w:hAnsi="宋体" w:cs="宋体"/>
                <w:b/>
                <w:bCs/>
                <w:kern w:val="0"/>
                <w:sz w:val="24"/>
              </w:rPr>
              <w:fldChar w:fldCharType="separate"/>
            </w:r>
            <w:r w:rsidR="00B01763">
              <w:rPr>
                <w:rFonts w:ascii="宋体" w:hAnsi="宋体" w:cs="宋体" w:hint="eastAsia"/>
                <w:b/>
                <w:bCs/>
                <w:kern w:val="0"/>
                <w:sz w:val="24"/>
              </w:rPr>
              <w:t>②</w:t>
            </w:r>
            <w:r>
              <w:rPr>
                <w:rFonts w:ascii="宋体" w:hAnsi="宋体" w:cs="宋体"/>
                <w:b/>
                <w:bCs/>
                <w:kern w:val="0"/>
                <w:sz w:val="24"/>
              </w:rPr>
              <w:fldChar w:fldCharType="end"/>
            </w:r>
            <w:r w:rsidR="00B01763">
              <w:rPr>
                <w:rFonts w:ascii="宋体" w:hAnsi="宋体" w:cs="宋体" w:hint="eastAsia"/>
                <w:b/>
                <w:bCs/>
                <w:kern w:val="0"/>
                <w:sz w:val="24"/>
              </w:rPr>
              <w:t>公开决算的网页地址</w:t>
            </w:r>
          </w:p>
        </w:tc>
        <w:tc>
          <w:tcPr>
            <w:tcW w:w="10118" w:type="dxa"/>
            <w:gridSpan w:val="3"/>
            <w:tcBorders>
              <w:top w:val="single" w:sz="4" w:space="0" w:color="auto"/>
              <w:left w:val="nil"/>
              <w:bottom w:val="single" w:sz="4" w:space="0" w:color="auto"/>
              <w:right w:val="single" w:sz="4" w:space="0" w:color="auto"/>
            </w:tcBorders>
            <w:vAlign w:val="center"/>
          </w:tcPr>
          <w:p w:rsidR="00FF63E3" w:rsidRDefault="00B01763">
            <w:pPr>
              <w:widowControl/>
              <w:jc w:val="center"/>
              <w:rPr>
                <w:rFonts w:ascii="宋体" w:hAnsi="宋体" w:cs="宋体"/>
                <w:b/>
                <w:bCs/>
                <w:kern w:val="0"/>
                <w:sz w:val="24"/>
              </w:rPr>
            </w:pPr>
            <w:r>
              <w:rPr>
                <w:rFonts w:ascii="宋体" w:hAnsi="宋体" w:cs="宋体" w:hint="eastAsia"/>
                <w:b/>
                <w:bCs/>
                <w:kern w:val="0"/>
                <w:sz w:val="24"/>
              </w:rPr>
              <w:t xml:space="preserve">　</w:t>
            </w:r>
          </w:p>
        </w:tc>
      </w:tr>
      <w:tr w:rsidR="00FF63E3">
        <w:trPr>
          <w:trHeight w:val="1004"/>
        </w:trPr>
        <w:tc>
          <w:tcPr>
            <w:tcW w:w="4297" w:type="dxa"/>
            <w:tcBorders>
              <w:top w:val="nil"/>
              <w:left w:val="single" w:sz="4" w:space="0" w:color="auto"/>
              <w:bottom w:val="single" w:sz="4" w:space="0" w:color="auto"/>
              <w:right w:val="single" w:sz="4" w:space="0" w:color="auto"/>
            </w:tcBorders>
            <w:vAlign w:val="center"/>
          </w:tcPr>
          <w:p w:rsidR="00FF63E3" w:rsidRDefault="00B01763">
            <w:pPr>
              <w:widowControl/>
              <w:jc w:val="center"/>
              <w:rPr>
                <w:rFonts w:ascii="宋体" w:hAnsi="宋体" w:cs="宋体"/>
                <w:b/>
                <w:bCs/>
                <w:kern w:val="0"/>
                <w:sz w:val="24"/>
              </w:rPr>
            </w:pPr>
            <w:r>
              <w:rPr>
                <w:rFonts w:ascii="宋体" w:hAnsi="宋体" w:cs="宋体" w:hint="eastAsia"/>
                <w:b/>
                <w:bCs/>
                <w:kern w:val="0"/>
                <w:sz w:val="24"/>
              </w:rPr>
              <w:t>公众反映及答复情况</w:t>
            </w:r>
          </w:p>
        </w:tc>
        <w:tc>
          <w:tcPr>
            <w:tcW w:w="10118" w:type="dxa"/>
            <w:gridSpan w:val="3"/>
            <w:tcBorders>
              <w:top w:val="single" w:sz="4" w:space="0" w:color="auto"/>
              <w:left w:val="nil"/>
              <w:bottom w:val="single" w:sz="4" w:space="0" w:color="auto"/>
              <w:right w:val="single" w:sz="4" w:space="0" w:color="auto"/>
            </w:tcBorders>
            <w:vAlign w:val="center"/>
          </w:tcPr>
          <w:p w:rsidR="00FF63E3" w:rsidRDefault="00B01763">
            <w:pPr>
              <w:widowControl/>
              <w:jc w:val="center"/>
              <w:rPr>
                <w:rFonts w:ascii="宋体" w:hAnsi="宋体" w:cs="宋体"/>
                <w:b/>
                <w:bCs/>
                <w:kern w:val="0"/>
                <w:sz w:val="24"/>
              </w:rPr>
            </w:pPr>
            <w:r>
              <w:rPr>
                <w:rFonts w:ascii="宋体" w:hAnsi="宋体" w:cs="宋体" w:hint="eastAsia"/>
                <w:b/>
                <w:bCs/>
                <w:kern w:val="0"/>
                <w:sz w:val="24"/>
              </w:rPr>
              <w:t xml:space="preserve">　</w:t>
            </w:r>
          </w:p>
        </w:tc>
      </w:tr>
      <w:tr w:rsidR="00FF63E3">
        <w:trPr>
          <w:trHeight w:val="1004"/>
        </w:trPr>
        <w:tc>
          <w:tcPr>
            <w:tcW w:w="4297" w:type="dxa"/>
            <w:tcBorders>
              <w:top w:val="nil"/>
              <w:left w:val="single" w:sz="4" w:space="0" w:color="auto"/>
              <w:bottom w:val="single" w:sz="4" w:space="0" w:color="auto"/>
              <w:right w:val="single" w:sz="4" w:space="0" w:color="auto"/>
            </w:tcBorders>
            <w:vAlign w:val="center"/>
          </w:tcPr>
          <w:p w:rsidR="00FF63E3" w:rsidRDefault="00B01763">
            <w:pPr>
              <w:widowControl/>
              <w:jc w:val="center"/>
              <w:rPr>
                <w:rFonts w:ascii="宋体" w:hAnsi="宋体" w:cs="宋体"/>
                <w:b/>
                <w:bCs/>
                <w:kern w:val="0"/>
                <w:sz w:val="24"/>
              </w:rPr>
            </w:pPr>
            <w:r>
              <w:rPr>
                <w:rFonts w:ascii="宋体" w:hAnsi="宋体" w:cs="宋体" w:hint="eastAsia"/>
                <w:b/>
                <w:bCs/>
                <w:kern w:val="0"/>
                <w:sz w:val="24"/>
              </w:rPr>
              <w:t>部门所属决算单位个数</w:t>
            </w:r>
          </w:p>
        </w:tc>
        <w:tc>
          <w:tcPr>
            <w:tcW w:w="2903" w:type="dxa"/>
            <w:tcBorders>
              <w:top w:val="nil"/>
              <w:left w:val="nil"/>
              <w:bottom w:val="single" w:sz="4" w:space="0" w:color="auto"/>
              <w:right w:val="single" w:sz="4" w:space="0" w:color="auto"/>
            </w:tcBorders>
            <w:vAlign w:val="center"/>
          </w:tcPr>
          <w:p w:rsidR="00FF63E3" w:rsidRDefault="00B01763">
            <w:pPr>
              <w:widowControl/>
              <w:jc w:val="center"/>
              <w:rPr>
                <w:rFonts w:ascii="宋体" w:hAnsi="宋体" w:cs="宋体"/>
                <w:b/>
                <w:bCs/>
                <w:kern w:val="0"/>
                <w:sz w:val="24"/>
              </w:rPr>
            </w:pPr>
            <w:r>
              <w:rPr>
                <w:rFonts w:ascii="宋体" w:hAnsi="宋体" w:cs="宋体" w:hint="eastAsia"/>
                <w:b/>
                <w:bCs/>
                <w:kern w:val="0"/>
                <w:sz w:val="24"/>
              </w:rPr>
              <w:t xml:space="preserve">　</w:t>
            </w:r>
          </w:p>
        </w:tc>
        <w:tc>
          <w:tcPr>
            <w:tcW w:w="4312" w:type="dxa"/>
            <w:tcBorders>
              <w:top w:val="nil"/>
              <w:left w:val="nil"/>
              <w:bottom w:val="single" w:sz="4" w:space="0" w:color="auto"/>
              <w:right w:val="single" w:sz="4" w:space="0" w:color="auto"/>
            </w:tcBorders>
            <w:vAlign w:val="center"/>
          </w:tcPr>
          <w:p w:rsidR="00FF63E3" w:rsidRDefault="00B01763">
            <w:pPr>
              <w:widowControl/>
              <w:jc w:val="center"/>
              <w:rPr>
                <w:rFonts w:ascii="宋体" w:hAnsi="宋体" w:cs="宋体"/>
                <w:b/>
                <w:bCs/>
                <w:kern w:val="0"/>
                <w:sz w:val="24"/>
              </w:rPr>
            </w:pPr>
            <w:r>
              <w:rPr>
                <w:rFonts w:ascii="宋体" w:hAnsi="宋体" w:cs="宋体" w:hint="eastAsia"/>
                <w:b/>
                <w:bCs/>
                <w:kern w:val="0"/>
                <w:sz w:val="24"/>
              </w:rPr>
              <w:t>批复决算单位个数</w:t>
            </w:r>
          </w:p>
        </w:tc>
        <w:tc>
          <w:tcPr>
            <w:tcW w:w="2903" w:type="dxa"/>
            <w:tcBorders>
              <w:top w:val="nil"/>
              <w:left w:val="nil"/>
              <w:bottom w:val="single" w:sz="4" w:space="0" w:color="auto"/>
              <w:right w:val="single" w:sz="4" w:space="0" w:color="auto"/>
            </w:tcBorders>
            <w:vAlign w:val="center"/>
          </w:tcPr>
          <w:p w:rsidR="00FF63E3" w:rsidRDefault="00B01763">
            <w:pPr>
              <w:widowControl/>
              <w:jc w:val="center"/>
              <w:rPr>
                <w:rFonts w:ascii="宋体" w:hAnsi="宋体" w:cs="宋体"/>
                <w:b/>
                <w:bCs/>
                <w:kern w:val="0"/>
                <w:sz w:val="24"/>
              </w:rPr>
            </w:pPr>
            <w:r>
              <w:rPr>
                <w:rFonts w:ascii="宋体" w:hAnsi="宋体" w:cs="宋体" w:hint="eastAsia"/>
                <w:b/>
                <w:bCs/>
                <w:kern w:val="0"/>
                <w:sz w:val="24"/>
              </w:rPr>
              <w:t xml:space="preserve">　</w:t>
            </w:r>
          </w:p>
        </w:tc>
      </w:tr>
      <w:tr w:rsidR="00FF63E3">
        <w:trPr>
          <w:trHeight w:val="466"/>
        </w:trPr>
        <w:tc>
          <w:tcPr>
            <w:tcW w:w="4297" w:type="dxa"/>
            <w:tcBorders>
              <w:top w:val="nil"/>
              <w:left w:val="nil"/>
              <w:bottom w:val="nil"/>
              <w:right w:val="nil"/>
            </w:tcBorders>
            <w:vAlign w:val="center"/>
          </w:tcPr>
          <w:p w:rsidR="00FF63E3" w:rsidRDefault="00B01763">
            <w:pPr>
              <w:widowControl/>
              <w:jc w:val="left"/>
              <w:rPr>
                <w:rFonts w:ascii="楷体_GB2312" w:eastAsia="楷体_GB2312" w:hAnsi="宋体" w:cs="宋体"/>
                <w:kern w:val="0"/>
                <w:sz w:val="24"/>
              </w:rPr>
            </w:pPr>
            <w:r>
              <w:rPr>
                <w:rFonts w:ascii="楷体_GB2312" w:eastAsia="楷体_GB2312" w:hAnsi="宋体" w:cs="宋体" w:hint="eastAsia"/>
                <w:kern w:val="0"/>
                <w:sz w:val="24"/>
              </w:rPr>
              <w:t>填表人：</w:t>
            </w:r>
          </w:p>
        </w:tc>
        <w:tc>
          <w:tcPr>
            <w:tcW w:w="2903" w:type="dxa"/>
            <w:tcBorders>
              <w:top w:val="nil"/>
              <w:left w:val="nil"/>
              <w:bottom w:val="nil"/>
              <w:right w:val="nil"/>
            </w:tcBorders>
            <w:vAlign w:val="center"/>
          </w:tcPr>
          <w:p w:rsidR="00FF63E3" w:rsidRDefault="00FF63E3">
            <w:pPr>
              <w:widowControl/>
              <w:jc w:val="left"/>
              <w:rPr>
                <w:rFonts w:ascii="楷体_GB2312" w:eastAsia="楷体_GB2312" w:hAnsi="宋体" w:cs="宋体"/>
                <w:kern w:val="0"/>
                <w:sz w:val="24"/>
              </w:rPr>
            </w:pPr>
          </w:p>
        </w:tc>
        <w:tc>
          <w:tcPr>
            <w:tcW w:w="4312" w:type="dxa"/>
            <w:tcBorders>
              <w:top w:val="nil"/>
              <w:left w:val="nil"/>
              <w:bottom w:val="nil"/>
              <w:right w:val="nil"/>
            </w:tcBorders>
            <w:vAlign w:val="center"/>
          </w:tcPr>
          <w:p w:rsidR="00FF63E3" w:rsidRDefault="00FF63E3">
            <w:pPr>
              <w:widowControl/>
              <w:jc w:val="left"/>
              <w:rPr>
                <w:rFonts w:ascii="楷体_GB2312" w:eastAsia="楷体_GB2312" w:hAnsi="宋体" w:cs="宋体"/>
                <w:kern w:val="0"/>
                <w:sz w:val="24"/>
              </w:rPr>
            </w:pPr>
          </w:p>
        </w:tc>
        <w:tc>
          <w:tcPr>
            <w:tcW w:w="2903" w:type="dxa"/>
            <w:tcBorders>
              <w:top w:val="nil"/>
              <w:left w:val="nil"/>
              <w:bottom w:val="nil"/>
              <w:right w:val="nil"/>
            </w:tcBorders>
            <w:vAlign w:val="center"/>
          </w:tcPr>
          <w:p w:rsidR="00FF63E3" w:rsidRDefault="00FF63E3">
            <w:pPr>
              <w:widowControl/>
              <w:jc w:val="left"/>
              <w:rPr>
                <w:rFonts w:ascii="楷体_GB2312" w:eastAsia="楷体_GB2312" w:hAnsi="宋体" w:cs="宋体"/>
                <w:kern w:val="0"/>
                <w:sz w:val="24"/>
              </w:rPr>
            </w:pPr>
          </w:p>
        </w:tc>
      </w:tr>
      <w:tr w:rsidR="00FF63E3">
        <w:trPr>
          <w:trHeight w:val="466"/>
        </w:trPr>
        <w:tc>
          <w:tcPr>
            <w:tcW w:w="4297" w:type="dxa"/>
            <w:tcBorders>
              <w:top w:val="nil"/>
              <w:left w:val="nil"/>
              <w:bottom w:val="nil"/>
              <w:right w:val="nil"/>
            </w:tcBorders>
            <w:vAlign w:val="center"/>
          </w:tcPr>
          <w:p w:rsidR="00FF63E3" w:rsidRDefault="00B01763">
            <w:pPr>
              <w:widowControl/>
              <w:jc w:val="left"/>
              <w:rPr>
                <w:rFonts w:ascii="楷体_GB2312" w:eastAsia="楷体_GB2312" w:hAnsi="宋体" w:cs="宋体"/>
                <w:kern w:val="0"/>
                <w:sz w:val="24"/>
              </w:rPr>
            </w:pPr>
            <w:r>
              <w:rPr>
                <w:rFonts w:ascii="楷体_GB2312" w:eastAsia="楷体_GB2312" w:hAnsi="宋体" w:cs="宋体" w:hint="eastAsia"/>
                <w:kern w:val="0"/>
                <w:sz w:val="24"/>
              </w:rPr>
              <w:t>办公电话：</w:t>
            </w:r>
          </w:p>
        </w:tc>
        <w:tc>
          <w:tcPr>
            <w:tcW w:w="2903" w:type="dxa"/>
            <w:tcBorders>
              <w:top w:val="nil"/>
              <w:left w:val="nil"/>
              <w:bottom w:val="nil"/>
              <w:right w:val="nil"/>
            </w:tcBorders>
            <w:vAlign w:val="center"/>
          </w:tcPr>
          <w:p w:rsidR="00FF63E3" w:rsidRDefault="00FF63E3">
            <w:pPr>
              <w:widowControl/>
              <w:jc w:val="left"/>
              <w:rPr>
                <w:rFonts w:ascii="楷体_GB2312" w:eastAsia="楷体_GB2312" w:hAnsi="宋体" w:cs="宋体"/>
                <w:kern w:val="0"/>
                <w:sz w:val="24"/>
              </w:rPr>
            </w:pPr>
          </w:p>
        </w:tc>
        <w:tc>
          <w:tcPr>
            <w:tcW w:w="4312" w:type="dxa"/>
            <w:tcBorders>
              <w:top w:val="nil"/>
              <w:left w:val="nil"/>
              <w:bottom w:val="nil"/>
              <w:right w:val="nil"/>
            </w:tcBorders>
            <w:vAlign w:val="center"/>
          </w:tcPr>
          <w:p w:rsidR="00FF63E3" w:rsidRDefault="00FF63E3">
            <w:pPr>
              <w:widowControl/>
              <w:jc w:val="left"/>
              <w:rPr>
                <w:rFonts w:ascii="楷体_GB2312" w:eastAsia="楷体_GB2312" w:hAnsi="宋体" w:cs="宋体"/>
                <w:kern w:val="0"/>
                <w:sz w:val="24"/>
              </w:rPr>
            </w:pPr>
          </w:p>
        </w:tc>
        <w:tc>
          <w:tcPr>
            <w:tcW w:w="2903" w:type="dxa"/>
            <w:tcBorders>
              <w:top w:val="nil"/>
              <w:left w:val="nil"/>
              <w:bottom w:val="nil"/>
              <w:right w:val="nil"/>
            </w:tcBorders>
            <w:vAlign w:val="center"/>
          </w:tcPr>
          <w:p w:rsidR="00FF63E3" w:rsidRDefault="00FF63E3">
            <w:pPr>
              <w:widowControl/>
              <w:jc w:val="left"/>
              <w:rPr>
                <w:rFonts w:ascii="楷体_GB2312" w:eastAsia="楷体_GB2312" w:hAnsi="宋体" w:cs="宋体"/>
                <w:kern w:val="0"/>
                <w:sz w:val="24"/>
              </w:rPr>
            </w:pPr>
          </w:p>
        </w:tc>
      </w:tr>
      <w:tr w:rsidR="00FF63E3">
        <w:trPr>
          <w:trHeight w:val="466"/>
        </w:trPr>
        <w:tc>
          <w:tcPr>
            <w:tcW w:w="4297" w:type="dxa"/>
            <w:tcBorders>
              <w:top w:val="nil"/>
              <w:left w:val="nil"/>
              <w:bottom w:val="nil"/>
              <w:right w:val="nil"/>
            </w:tcBorders>
            <w:vAlign w:val="center"/>
          </w:tcPr>
          <w:p w:rsidR="00FF63E3" w:rsidRDefault="00B01763">
            <w:pPr>
              <w:widowControl/>
              <w:jc w:val="left"/>
              <w:rPr>
                <w:rFonts w:ascii="楷体_GB2312" w:eastAsia="楷体_GB2312" w:hAnsi="宋体" w:cs="宋体"/>
                <w:kern w:val="0"/>
                <w:sz w:val="24"/>
              </w:rPr>
            </w:pPr>
            <w:r>
              <w:rPr>
                <w:rFonts w:ascii="楷体_GB2312" w:eastAsia="楷体_GB2312" w:hAnsi="宋体" w:cs="宋体" w:hint="eastAsia"/>
                <w:kern w:val="0"/>
                <w:sz w:val="24"/>
              </w:rPr>
              <w:t>手机：</w:t>
            </w:r>
          </w:p>
        </w:tc>
        <w:tc>
          <w:tcPr>
            <w:tcW w:w="2903" w:type="dxa"/>
            <w:tcBorders>
              <w:top w:val="nil"/>
              <w:left w:val="nil"/>
              <w:bottom w:val="nil"/>
              <w:right w:val="nil"/>
            </w:tcBorders>
            <w:vAlign w:val="center"/>
          </w:tcPr>
          <w:p w:rsidR="00FF63E3" w:rsidRDefault="00FF63E3">
            <w:pPr>
              <w:widowControl/>
              <w:jc w:val="left"/>
              <w:rPr>
                <w:rFonts w:ascii="楷体_GB2312" w:eastAsia="楷体_GB2312" w:hAnsi="宋体" w:cs="宋体"/>
                <w:kern w:val="0"/>
                <w:sz w:val="24"/>
              </w:rPr>
            </w:pPr>
          </w:p>
        </w:tc>
        <w:tc>
          <w:tcPr>
            <w:tcW w:w="4312" w:type="dxa"/>
            <w:tcBorders>
              <w:top w:val="nil"/>
              <w:left w:val="nil"/>
              <w:bottom w:val="nil"/>
              <w:right w:val="nil"/>
            </w:tcBorders>
            <w:vAlign w:val="center"/>
          </w:tcPr>
          <w:p w:rsidR="00FF63E3" w:rsidRDefault="00FF63E3">
            <w:pPr>
              <w:widowControl/>
              <w:jc w:val="left"/>
              <w:rPr>
                <w:rFonts w:ascii="楷体_GB2312" w:eastAsia="楷体_GB2312" w:hAnsi="宋体" w:cs="宋体"/>
                <w:kern w:val="0"/>
                <w:sz w:val="24"/>
              </w:rPr>
            </w:pPr>
          </w:p>
        </w:tc>
        <w:tc>
          <w:tcPr>
            <w:tcW w:w="2903" w:type="dxa"/>
            <w:tcBorders>
              <w:top w:val="nil"/>
              <w:left w:val="nil"/>
              <w:bottom w:val="nil"/>
              <w:right w:val="nil"/>
            </w:tcBorders>
            <w:vAlign w:val="center"/>
          </w:tcPr>
          <w:p w:rsidR="00FF63E3" w:rsidRDefault="00FF63E3">
            <w:pPr>
              <w:widowControl/>
              <w:jc w:val="left"/>
              <w:rPr>
                <w:rFonts w:ascii="楷体_GB2312" w:eastAsia="楷体_GB2312" w:hAnsi="宋体" w:cs="宋体"/>
                <w:kern w:val="0"/>
                <w:sz w:val="24"/>
              </w:rPr>
            </w:pPr>
          </w:p>
        </w:tc>
      </w:tr>
    </w:tbl>
    <w:p w:rsidR="006F14F6" w:rsidRDefault="006F14F6">
      <w:pPr>
        <w:spacing w:line="400" w:lineRule="exact"/>
        <w:rPr>
          <w:rFonts w:ascii="宋体" w:hAnsi="宋体" w:cs="宋体" w:hint="eastAsia"/>
          <w:b/>
          <w:bCs/>
          <w:kern w:val="0"/>
          <w:sz w:val="28"/>
          <w:szCs w:val="28"/>
        </w:rPr>
      </w:pPr>
    </w:p>
    <w:p w:rsidR="00FF63E3" w:rsidRDefault="00B01763">
      <w:pPr>
        <w:spacing w:line="400" w:lineRule="exact"/>
        <w:rPr>
          <w:rFonts w:ascii="宋体" w:hAnsi="宋体" w:cs="宋体"/>
          <w:b/>
          <w:bCs/>
          <w:kern w:val="0"/>
          <w:sz w:val="28"/>
          <w:szCs w:val="28"/>
        </w:rPr>
      </w:pPr>
      <w:r>
        <w:rPr>
          <w:rFonts w:ascii="宋体" w:hAnsi="宋体" w:cs="宋体" w:hint="eastAsia"/>
          <w:b/>
          <w:bCs/>
          <w:kern w:val="0"/>
          <w:sz w:val="28"/>
          <w:szCs w:val="28"/>
        </w:rPr>
        <w:lastRenderedPageBreak/>
        <w:t>附件3-2：</w:t>
      </w:r>
    </w:p>
    <w:tbl>
      <w:tblPr>
        <w:tblW w:w="14317" w:type="dxa"/>
        <w:tblInd w:w="96" w:type="dxa"/>
        <w:tblLook w:val="0000"/>
      </w:tblPr>
      <w:tblGrid>
        <w:gridCol w:w="1616"/>
        <w:gridCol w:w="554"/>
        <w:gridCol w:w="546"/>
        <w:gridCol w:w="541"/>
        <w:gridCol w:w="624"/>
        <w:gridCol w:w="528"/>
        <w:gridCol w:w="525"/>
        <w:gridCol w:w="638"/>
        <w:gridCol w:w="544"/>
        <w:gridCol w:w="634"/>
        <w:gridCol w:w="510"/>
        <w:gridCol w:w="510"/>
        <w:gridCol w:w="507"/>
        <w:gridCol w:w="616"/>
        <w:gridCol w:w="504"/>
        <w:gridCol w:w="501"/>
        <w:gridCol w:w="616"/>
        <w:gridCol w:w="497"/>
        <w:gridCol w:w="616"/>
        <w:gridCol w:w="494"/>
        <w:gridCol w:w="492"/>
        <w:gridCol w:w="490"/>
        <w:gridCol w:w="488"/>
        <w:gridCol w:w="486"/>
        <w:gridCol w:w="552"/>
      </w:tblGrid>
      <w:tr w:rsidR="00FF63E3">
        <w:trPr>
          <w:trHeight w:val="400"/>
        </w:trPr>
        <w:tc>
          <w:tcPr>
            <w:tcW w:w="13764" w:type="dxa"/>
            <w:gridSpan w:val="24"/>
            <w:tcBorders>
              <w:top w:val="nil"/>
              <w:left w:val="nil"/>
              <w:bottom w:val="nil"/>
              <w:right w:val="nil"/>
            </w:tcBorders>
            <w:noWrap/>
            <w:vAlign w:val="bottom"/>
          </w:tcPr>
          <w:p w:rsidR="00FF63E3" w:rsidRDefault="00B01763">
            <w:pPr>
              <w:widowControl/>
              <w:jc w:val="center"/>
              <w:textAlignment w:val="bottom"/>
              <w:rPr>
                <w:rFonts w:ascii="宋体" w:hAnsi="宋体" w:cs="宋体"/>
                <w:color w:val="000000"/>
                <w:sz w:val="44"/>
                <w:szCs w:val="44"/>
              </w:rPr>
            </w:pPr>
            <w:r>
              <w:rPr>
                <w:rFonts w:ascii="宋体" w:hAnsi="宋体" w:cs="宋体" w:hint="eastAsia"/>
                <w:color w:val="000000"/>
                <w:kern w:val="0"/>
                <w:sz w:val="44"/>
                <w:szCs w:val="44"/>
              </w:rPr>
              <w:t>2021年度部门决算公开情况反馈表</w:t>
            </w:r>
          </w:p>
        </w:tc>
        <w:tc>
          <w:tcPr>
            <w:tcW w:w="552" w:type="dxa"/>
            <w:tcBorders>
              <w:top w:val="nil"/>
              <w:left w:val="nil"/>
              <w:bottom w:val="nil"/>
              <w:right w:val="nil"/>
            </w:tcBorders>
            <w:noWrap/>
            <w:vAlign w:val="bottom"/>
          </w:tcPr>
          <w:p w:rsidR="00FF63E3" w:rsidRDefault="00FF63E3">
            <w:pPr>
              <w:jc w:val="center"/>
              <w:rPr>
                <w:rFonts w:ascii="宋体" w:hAnsi="宋体" w:cs="宋体"/>
                <w:color w:val="000000"/>
                <w:sz w:val="44"/>
                <w:szCs w:val="44"/>
              </w:rPr>
            </w:pPr>
          </w:p>
        </w:tc>
      </w:tr>
      <w:tr w:rsidR="00FF63E3">
        <w:trPr>
          <w:trHeight w:val="264"/>
        </w:trPr>
        <w:tc>
          <w:tcPr>
            <w:tcW w:w="0" w:type="auto"/>
            <w:tcBorders>
              <w:top w:val="nil"/>
              <w:left w:val="nil"/>
              <w:bottom w:val="nil"/>
              <w:right w:val="nil"/>
            </w:tcBorders>
            <w:noWrap/>
            <w:vAlign w:val="bottom"/>
          </w:tcPr>
          <w:p w:rsidR="00FF63E3" w:rsidRDefault="00B01763">
            <w:pPr>
              <w:widowControl/>
              <w:jc w:val="left"/>
              <w:textAlignment w:val="bottom"/>
              <w:rPr>
                <w:rFonts w:ascii="宋体" w:hAnsi="宋体" w:cs="宋体"/>
                <w:color w:val="000000"/>
                <w:sz w:val="20"/>
                <w:szCs w:val="20"/>
              </w:rPr>
            </w:pPr>
            <w:r>
              <w:rPr>
                <w:rFonts w:ascii="宋体" w:hAnsi="宋体" w:cs="宋体" w:hint="eastAsia"/>
                <w:color w:val="000000"/>
                <w:kern w:val="0"/>
                <w:sz w:val="20"/>
                <w:szCs w:val="20"/>
              </w:rPr>
              <w:t>部门（公章）：</w:t>
            </w:r>
          </w:p>
        </w:tc>
        <w:tc>
          <w:tcPr>
            <w:tcW w:w="0" w:type="auto"/>
            <w:tcBorders>
              <w:top w:val="nil"/>
              <w:left w:val="nil"/>
              <w:bottom w:val="nil"/>
              <w:right w:val="nil"/>
            </w:tcBorders>
            <w:noWrap/>
            <w:vAlign w:val="bottom"/>
          </w:tcPr>
          <w:p w:rsidR="00FF63E3" w:rsidRDefault="00FF63E3">
            <w:pPr>
              <w:rPr>
                <w:rFonts w:ascii="Arial" w:hAnsi="Arial" w:cs="Arial"/>
                <w:color w:val="000000"/>
                <w:sz w:val="20"/>
                <w:szCs w:val="20"/>
              </w:rPr>
            </w:pPr>
          </w:p>
        </w:tc>
        <w:tc>
          <w:tcPr>
            <w:tcW w:w="0" w:type="auto"/>
            <w:tcBorders>
              <w:top w:val="nil"/>
              <w:left w:val="nil"/>
              <w:bottom w:val="nil"/>
              <w:right w:val="nil"/>
            </w:tcBorders>
            <w:noWrap/>
            <w:vAlign w:val="bottom"/>
          </w:tcPr>
          <w:p w:rsidR="00FF63E3" w:rsidRDefault="00FF63E3">
            <w:pPr>
              <w:rPr>
                <w:rFonts w:ascii="Arial" w:hAnsi="Arial" w:cs="Arial"/>
                <w:color w:val="000000"/>
                <w:sz w:val="20"/>
                <w:szCs w:val="20"/>
              </w:rPr>
            </w:pPr>
          </w:p>
        </w:tc>
        <w:tc>
          <w:tcPr>
            <w:tcW w:w="0" w:type="auto"/>
            <w:tcBorders>
              <w:top w:val="nil"/>
              <w:left w:val="nil"/>
              <w:bottom w:val="nil"/>
              <w:right w:val="nil"/>
            </w:tcBorders>
            <w:noWrap/>
            <w:vAlign w:val="bottom"/>
          </w:tcPr>
          <w:p w:rsidR="00FF63E3" w:rsidRDefault="00FF63E3">
            <w:pPr>
              <w:rPr>
                <w:rFonts w:ascii="Arial" w:hAnsi="Arial" w:cs="Arial"/>
                <w:color w:val="000000"/>
                <w:sz w:val="20"/>
                <w:szCs w:val="20"/>
              </w:rPr>
            </w:pPr>
          </w:p>
        </w:tc>
        <w:tc>
          <w:tcPr>
            <w:tcW w:w="0" w:type="auto"/>
            <w:tcBorders>
              <w:top w:val="nil"/>
              <w:left w:val="nil"/>
              <w:bottom w:val="nil"/>
              <w:right w:val="nil"/>
            </w:tcBorders>
            <w:noWrap/>
            <w:vAlign w:val="bottom"/>
          </w:tcPr>
          <w:p w:rsidR="00FF63E3" w:rsidRDefault="00FF63E3">
            <w:pPr>
              <w:rPr>
                <w:rFonts w:ascii="Arial" w:hAnsi="Arial" w:cs="Arial"/>
                <w:color w:val="000000"/>
                <w:sz w:val="20"/>
                <w:szCs w:val="20"/>
              </w:rPr>
            </w:pPr>
          </w:p>
        </w:tc>
        <w:tc>
          <w:tcPr>
            <w:tcW w:w="0" w:type="auto"/>
            <w:tcBorders>
              <w:top w:val="nil"/>
              <w:left w:val="nil"/>
              <w:bottom w:val="nil"/>
              <w:right w:val="nil"/>
            </w:tcBorders>
            <w:noWrap/>
            <w:vAlign w:val="bottom"/>
          </w:tcPr>
          <w:p w:rsidR="00FF63E3" w:rsidRDefault="00FF63E3">
            <w:pPr>
              <w:rPr>
                <w:rFonts w:ascii="Arial" w:hAnsi="Arial" w:cs="Arial"/>
                <w:color w:val="000000"/>
                <w:sz w:val="20"/>
                <w:szCs w:val="20"/>
              </w:rPr>
            </w:pPr>
          </w:p>
        </w:tc>
        <w:tc>
          <w:tcPr>
            <w:tcW w:w="0" w:type="auto"/>
            <w:tcBorders>
              <w:top w:val="nil"/>
              <w:left w:val="nil"/>
              <w:bottom w:val="nil"/>
              <w:right w:val="nil"/>
            </w:tcBorders>
            <w:noWrap/>
            <w:vAlign w:val="bottom"/>
          </w:tcPr>
          <w:p w:rsidR="00FF63E3" w:rsidRDefault="00FF63E3">
            <w:pPr>
              <w:rPr>
                <w:rFonts w:ascii="Arial" w:hAnsi="Arial" w:cs="Arial"/>
                <w:color w:val="000000"/>
                <w:sz w:val="20"/>
                <w:szCs w:val="20"/>
              </w:rPr>
            </w:pPr>
          </w:p>
        </w:tc>
        <w:tc>
          <w:tcPr>
            <w:tcW w:w="0" w:type="auto"/>
            <w:tcBorders>
              <w:top w:val="nil"/>
              <w:left w:val="nil"/>
              <w:bottom w:val="nil"/>
              <w:right w:val="nil"/>
            </w:tcBorders>
            <w:noWrap/>
            <w:vAlign w:val="bottom"/>
          </w:tcPr>
          <w:p w:rsidR="00FF63E3" w:rsidRDefault="00FF63E3">
            <w:pPr>
              <w:rPr>
                <w:rFonts w:ascii="Arial" w:hAnsi="Arial" w:cs="Arial"/>
                <w:color w:val="000000"/>
                <w:sz w:val="20"/>
                <w:szCs w:val="20"/>
              </w:rPr>
            </w:pPr>
          </w:p>
        </w:tc>
        <w:tc>
          <w:tcPr>
            <w:tcW w:w="0" w:type="auto"/>
            <w:tcBorders>
              <w:top w:val="nil"/>
              <w:left w:val="nil"/>
              <w:bottom w:val="nil"/>
              <w:right w:val="nil"/>
            </w:tcBorders>
            <w:noWrap/>
            <w:vAlign w:val="bottom"/>
          </w:tcPr>
          <w:p w:rsidR="00FF63E3" w:rsidRDefault="00FF63E3">
            <w:pPr>
              <w:rPr>
                <w:rFonts w:ascii="Arial" w:hAnsi="Arial" w:cs="Arial"/>
                <w:color w:val="000000"/>
                <w:sz w:val="20"/>
                <w:szCs w:val="20"/>
              </w:rPr>
            </w:pPr>
          </w:p>
        </w:tc>
        <w:tc>
          <w:tcPr>
            <w:tcW w:w="0" w:type="auto"/>
            <w:tcBorders>
              <w:top w:val="nil"/>
              <w:left w:val="nil"/>
              <w:bottom w:val="nil"/>
              <w:right w:val="nil"/>
            </w:tcBorders>
            <w:noWrap/>
            <w:vAlign w:val="bottom"/>
          </w:tcPr>
          <w:p w:rsidR="00FF63E3" w:rsidRDefault="00FF63E3">
            <w:pPr>
              <w:rPr>
                <w:rFonts w:ascii="Arial" w:hAnsi="Arial" w:cs="Arial"/>
                <w:color w:val="000000"/>
                <w:sz w:val="20"/>
                <w:szCs w:val="20"/>
              </w:rPr>
            </w:pPr>
          </w:p>
        </w:tc>
        <w:tc>
          <w:tcPr>
            <w:tcW w:w="0" w:type="auto"/>
            <w:tcBorders>
              <w:top w:val="nil"/>
              <w:left w:val="nil"/>
              <w:bottom w:val="nil"/>
              <w:right w:val="nil"/>
            </w:tcBorders>
            <w:noWrap/>
            <w:vAlign w:val="bottom"/>
          </w:tcPr>
          <w:p w:rsidR="00FF63E3" w:rsidRDefault="00FF63E3">
            <w:pPr>
              <w:rPr>
                <w:rFonts w:ascii="Arial" w:hAnsi="Arial" w:cs="Arial"/>
                <w:color w:val="000000"/>
                <w:sz w:val="20"/>
                <w:szCs w:val="20"/>
              </w:rPr>
            </w:pPr>
          </w:p>
        </w:tc>
        <w:tc>
          <w:tcPr>
            <w:tcW w:w="0" w:type="auto"/>
            <w:tcBorders>
              <w:top w:val="nil"/>
              <w:left w:val="nil"/>
              <w:bottom w:val="nil"/>
              <w:right w:val="nil"/>
            </w:tcBorders>
            <w:noWrap/>
            <w:vAlign w:val="bottom"/>
          </w:tcPr>
          <w:p w:rsidR="00FF63E3" w:rsidRDefault="00FF63E3">
            <w:pPr>
              <w:rPr>
                <w:rFonts w:ascii="Arial" w:hAnsi="Arial" w:cs="Arial"/>
                <w:color w:val="000000"/>
                <w:sz w:val="20"/>
                <w:szCs w:val="20"/>
              </w:rPr>
            </w:pPr>
          </w:p>
        </w:tc>
        <w:tc>
          <w:tcPr>
            <w:tcW w:w="0" w:type="auto"/>
            <w:tcBorders>
              <w:top w:val="nil"/>
              <w:left w:val="nil"/>
              <w:bottom w:val="nil"/>
              <w:right w:val="nil"/>
            </w:tcBorders>
            <w:noWrap/>
            <w:vAlign w:val="bottom"/>
          </w:tcPr>
          <w:p w:rsidR="00FF63E3" w:rsidRDefault="00FF63E3">
            <w:pPr>
              <w:rPr>
                <w:rFonts w:ascii="Arial" w:hAnsi="Arial" w:cs="Arial"/>
                <w:color w:val="000000"/>
                <w:sz w:val="20"/>
                <w:szCs w:val="20"/>
              </w:rPr>
            </w:pPr>
          </w:p>
        </w:tc>
        <w:tc>
          <w:tcPr>
            <w:tcW w:w="0" w:type="auto"/>
            <w:tcBorders>
              <w:top w:val="nil"/>
              <w:left w:val="nil"/>
              <w:bottom w:val="nil"/>
              <w:right w:val="nil"/>
            </w:tcBorders>
            <w:noWrap/>
            <w:vAlign w:val="bottom"/>
          </w:tcPr>
          <w:p w:rsidR="00FF63E3" w:rsidRDefault="00FF63E3">
            <w:pPr>
              <w:rPr>
                <w:rFonts w:ascii="Arial" w:hAnsi="Arial" w:cs="Arial"/>
                <w:color w:val="000000"/>
                <w:sz w:val="20"/>
                <w:szCs w:val="20"/>
              </w:rPr>
            </w:pPr>
          </w:p>
        </w:tc>
        <w:tc>
          <w:tcPr>
            <w:tcW w:w="0" w:type="auto"/>
            <w:tcBorders>
              <w:top w:val="nil"/>
              <w:left w:val="nil"/>
              <w:bottom w:val="nil"/>
              <w:right w:val="nil"/>
            </w:tcBorders>
            <w:noWrap/>
            <w:vAlign w:val="bottom"/>
          </w:tcPr>
          <w:p w:rsidR="00FF63E3" w:rsidRDefault="00FF63E3">
            <w:pPr>
              <w:rPr>
                <w:rFonts w:ascii="Arial" w:hAnsi="Arial" w:cs="Arial"/>
                <w:color w:val="000000"/>
                <w:sz w:val="20"/>
                <w:szCs w:val="20"/>
              </w:rPr>
            </w:pPr>
          </w:p>
        </w:tc>
        <w:tc>
          <w:tcPr>
            <w:tcW w:w="0" w:type="auto"/>
            <w:tcBorders>
              <w:top w:val="nil"/>
              <w:left w:val="nil"/>
              <w:bottom w:val="nil"/>
              <w:right w:val="nil"/>
            </w:tcBorders>
            <w:noWrap/>
            <w:vAlign w:val="bottom"/>
          </w:tcPr>
          <w:p w:rsidR="00FF63E3" w:rsidRDefault="00FF63E3">
            <w:pPr>
              <w:rPr>
                <w:rFonts w:ascii="Arial" w:hAnsi="Arial" w:cs="Arial"/>
                <w:color w:val="000000"/>
                <w:sz w:val="20"/>
                <w:szCs w:val="20"/>
              </w:rPr>
            </w:pPr>
          </w:p>
        </w:tc>
        <w:tc>
          <w:tcPr>
            <w:tcW w:w="0" w:type="auto"/>
            <w:tcBorders>
              <w:top w:val="nil"/>
              <w:left w:val="nil"/>
              <w:bottom w:val="nil"/>
              <w:right w:val="nil"/>
            </w:tcBorders>
            <w:noWrap/>
            <w:vAlign w:val="bottom"/>
          </w:tcPr>
          <w:p w:rsidR="00FF63E3" w:rsidRDefault="00FF63E3">
            <w:pPr>
              <w:rPr>
                <w:rFonts w:ascii="Arial" w:hAnsi="Arial" w:cs="Arial"/>
                <w:color w:val="000000"/>
                <w:sz w:val="20"/>
                <w:szCs w:val="20"/>
              </w:rPr>
            </w:pPr>
          </w:p>
        </w:tc>
        <w:tc>
          <w:tcPr>
            <w:tcW w:w="0" w:type="auto"/>
            <w:tcBorders>
              <w:top w:val="nil"/>
              <w:left w:val="nil"/>
              <w:bottom w:val="nil"/>
              <w:right w:val="nil"/>
            </w:tcBorders>
            <w:noWrap/>
            <w:vAlign w:val="bottom"/>
          </w:tcPr>
          <w:p w:rsidR="00FF63E3" w:rsidRDefault="00FF63E3">
            <w:pPr>
              <w:rPr>
                <w:rFonts w:ascii="Arial" w:hAnsi="Arial" w:cs="Arial"/>
                <w:color w:val="000000"/>
                <w:sz w:val="20"/>
                <w:szCs w:val="20"/>
              </w:rPr>
            </w:pPr>
          </w:p>
        </w:tc>
        <w:tc>
          <w:tcPr>
            <w:tcW w:w="0" w:type="auto"/>
            <w:tcBorders>
              <w:top w:val="nil"/>
              <w:left w:val="nil"/>
              <w:bottom w:val="nil"/>
              <w:right w:val="nil"/>
            </w:tcBorders>
            <w:noWrap/>
            <w:vAlign w:val="bottom"/>
          </w:tcPr>
          <w:p w:rsidR="00FF63E3" w:rsidRDefault="00FF63E3">
            <w:pPr>
              <w:rPr>
                <w:rFonts w:ascii="Arial" w:hAnsi="Arial" w:cs="Arial"/>
                <w:color w:val="000000"/>
                <w:sz w:val="20"/>
                <w:szCs w:val="20"/>
              </w:rPr>
            </w:pPr>
          </w:p>
        </w:tc>
        <w:tc>
          <w:tcPr>
            <w:tcW w:w="0" w:type="auto"/>
            <w:tcBorders>
              <w:top w:val="nil"/>
              <w:left w:val="nil"/>
              <w:bottom w:val="nil"/>
              <w:right w:val="nil"/>
            </w:tcBorders>
            <w:noWrap/>
            <w:vAlign w:val="bottom"/>
          </w:tcPr>
          <w:p w:rsidR="00FF63E3" w:rsidRDefault="00FF63E3">
            <w:pPr>
              <w:rPr>
                <w:rFonts w:ascii="Arial" w:hAnsi="Arial" w:cs="Arial"/>
                <w:color w:val="000000"/>
                <w:sz w:val="20"/>
                <w:szCs w:val="20"/>
              </w:rPr>
            </w:pPr>
          </w:p>
        </w:tc>
        <w:tc>
          <w:tcPr>
            <w:tcW w:w="0" w:type="auto"/>
            <w:tcBorders>
              <w:top w:val="nil"/>
              <w:left w:val="nil"/>
              <w:bottom w:val="nil"/>
              <w:right w:val="nil"/>
            </w:tcBorders>
            <w:noWrap/>
            <w:vAlign w:val="bottom"/>
          </w:tcPr>
          <w:p w:rsidR="00FF63E3" w:rsidRDefault="00FF63E3">
            <w:pPr>
              <w:rPr>
                <w:rFonts w:ascii="Arial" w:hAnsi="Arial" w:cs="Arial"/>
                <w:color w:val="000000"/>
                <w:sz w:val="20"/>
                <w:szCs w:val="20"/>
              </w:rPr>
            </w:pPr>
          </w:p>
        </w:tc>
        <w:tc>
          <w:tcPr>
            <w:tcW w:w="0" w:type="auto"/>
            <w:tcBorders>
              <w:top w:val="nil"/>
              <w:left w:val="nil"/>
              <w:bottom w:val="nil"/>
              <w:right w:val="nil"/>
            </w:tcBorders>
            <w:noWrap/>
            <w:vAlign w:val="bottom"/>
          </w:tcPr>
          <w:p w:rsidR="00FF63E3" w:rsidRDefault="00FF63E3">
            <w:pPr>
              <w:rPr>
                <w:rFonts w:ascii="Arial" w:hAnsi="Arial" w:cs="Arial"/>
                <w:color w:val="000000"/>
                <w:sz w:val="20"/>
                <w:szCs w:val="20"/>
              </w:rPr>
            </w:pPr>
          </w:p>
        </w:tc>
        <w:tc>
          <w:tcPr>
            <w:tcW w:w="0" w:type="auto"/>
            <w:tcBorders>
              <w:top w:val="nil"/>
              <w:left w:val="nil"/>
              <w:bottom w:val="nil"/>
              <w:right w:val="nil"/>
            </w:tcBorders>
            <w:noWrap/>
            <w:vAlign w:val="bottom"/>
          </w:tcPr>
          <w:p w:rsidR="00FF63E3" w:rsidRDefault="00FF63E3">
            <w:pPr>
              <w:rPr>
                <w:rFonts w:ascii="Arial" w:hAnsi="Arial" w:cs="Arial"/>
                <w:color w:val="000000"/>
                <w:sz w:val="20"/>
                <w:szCs w:val="20"/>
              </w:rPr>
            </w:pPr>
          </w:p>
        </w:tc>
        <w:tc>
          <w:tcPr>
            <w:tcW w:w="0" w:type="auto"/>
            <w:tcBorders>
              <w:top w:val="nil"/>
              <w:left w:val="nil"/>
              <w:bottom w:val="nil"/>
              <w:right w:val="nil"/>
            </w:tcBorders>
            <w:noWrap/>
            <w:vAlign w:val="bottom"/>
          </w:tcPr>
          <w:p w:rsidR="00FF63E3" w:rsidRDefault="00FF63E3">
            <w:pPr>
              <w:rPr>
                <w:rFonts w:ascii="Arial" w:hAnsi="Arial" w:cs="Arial"/>
                <w:color w:val="000000"/>
                <w:sz w:val="20"/>
                <w:szCs w:val="20"/>
              </w:rPr>
            </w:pPr>
          </w:p>
        </w:tc>
        <w:tc>
          <w:tcPr>
            <w:tcW w:w="0" w:type="auto"/>
            <w:tcBorders>
              <w:top w:val="nil"/>
              <w:left w:val="nil"/>
              <w:bottom w:val="nil"/>
              <w:right w:val="nil"/>
            </w:tcBorders>
            <w:noWrap/>
            <w:vAlign w:val="bottom"/>
          </w:tcPr>
          <w:p w:rsidR="00FF63E3" w:rsidRDefault="00FF63E3">
            <w:pPr>
              <w:rPr>
                <w:rFonts w:ascii="Arial" w:hAnsi="Arial" w:cs="Arial"/>
                <w:color w:val="000000"/>
                <w:sz w:val="20"/>
                <w:szCs w:val="20"/>
              </w:rPr>
            </w:pPr>
          </w:p>
        </w:tc>
      </w:tr>
      <w:tr w:rsidR="00FF63E3">
        <w:trPr>
          <w:trHeight w:val="312"/>
        </w:trPr>
        <w:tc>
          <w:tcPr>
            <w:tcW w:w="0" w:type="auto"/>
            <w:gridSpan w:val="16"/>
            <w:vMerge w:val="restart"/>
            <w:tcBorders>
              <w:top w:val="single" w:sz="4" w:space="0" w:color="000000"/>
              <w:left w:val="single" w:sz="4" w:space="0" w:color="000000"/>
              <w:bottom w:val="single" w:sz="4" w:space="0" w:color="000000"/>
              <w:right w:val="single" w:sz="4" w:space="0" w:color="000000"/>
            </w:tcBorders>
            <w:noWrap/>
            <w:vAlign w:val="center"/>
          </w:tcPr>
          <w:p w:rsidR="00FF63E3" w:rsidRDefault="00B0176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2021年度部门决算公开情况</w:t>
            </w:r>
          </w:p>
        </w:tc>
        <w:tc>
          <w:tcPr>
            <w:tcW w:w="0" w:type="auto"/>
            <w:gridSpan w:val="9"/>
            <w:vMerge w:val="restart"/>
            <w:tcBorders>
              <w:top w:val="single" w:sz="4" w:space="0" w:color="000000"/>
              <w:left w:val="single" w:sz="4" w:space="0" w:color="000000"/>
              <w:bottom w:val="single" w:sz="4" w:space="0" w:color="000000"/>
              <w:right w:val="single" w:sz="4" w:space="0" w:color="000000"/>
            </w:tcBorders>
            <w:noWrap/>
            <w:vAlign w:val="center"/>
          </w:tcPr>
          <w:p w:rsidR="00FF63E3" w:rsidRDefault="00B0176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其他决算信息公开情况</w:t>
            </w:r>
          </w:p>
        </w:tc>
      </w:tr>
      <w:tr w:rsidR="00FF63E3">
        <w:trPr>
          <w:trHeight w:val="312"/>
        </w:trPr>
        <w:tc>
          <w:tcPr>
            <w:tcW w:w="0" w:type="auto"/>
            <w:gridSpan w:val="16"/>
            <w:vMerge/>
            <w:tcBorders>
              <w:top w:val="single" w:sz="4" w:space="0" w:color="000000"/>
              <w:left w:val="single" w:sz="4" w:space="0" w:color="000000"/>
              <w:bottom w:val="single" w:sz="4" w:space="0" w:color="000000"/>
              <w:right w:val="single" w:sz="4" w:space="0" w:color="000000"/>
            </w:tcBorders>
            <w:noWrap/>
            <w:vAlign w:val="center"/>
          </w:tcPr>
          <w:p w:rsidR="00FF63E3" w:rsidRDefault="00FF63E3">
            <w:pPr>
              <w:jc w:val="center"/>
              <w:rPr>
                <w:rFonts w:ascii="宋体" w:hAnsi="宋体" w:cs="宋体"/>
                <w:color w:val="000000"/>
                <w:sz w:val="20"/>
                <w:szCs w:val="20"/>
              </w:rPr>
            </w:pPr>
          </w:p>
        </w:tc>
        <w:tc>
          <w:tcPr>
            <w:tcW w:w="0" w:type="auto"/>
            <w:gridSpan w:val="9"/>
            <w:vMerge/>
            <w:tcBorders>
              <w:top w:val="single" w:sz="4" w:space="0" w:color="000000"/>
              <w:left w:val="single" w:sz="4" w:space="0" w:color="000000"/>
              <w:bottom w:val="single" w:sz="4" w:space="0" w:color="000000"/>
              <w:right w:val="single" w:sz="4" w:space="0" w:color="000000"/>
            </w:tcBorders>
            <w:noWrap/>
            <w:vAlign w:val="center"/>
          </w:tcPr>
          <w:p w:rsidR="00FF63E3" w:rsidRDefault="00FF63E3">
            <w:pPr>
              <w:jc w:val="center"/>
              <w:rPr>
                <w:rFonts w:ascii="宋体" w:hAnsi="宋体" w:cs="宋体"/>
                <w:color w:val="000000"/>
                <w:sz w:val="20"/>
                <w:szCs w:val="20"/>
              </w:rPr>
            </w:pPr>
          </w:p>
        </w:tc>
      </w:tr>
      <w:tr w:rsidR="00FF63E3">
        <w:trPr>
          <w:trHeight w:val="312"/>
        </w:trPr>
        <w:tc>
          <w:tcPr>
            <w:tcW w:w="0" w:type="auto"/>
            <w:gridSpan w:val="2"/>
            <w:vMerge w:val="restart"/>
            <w:tcBorders>
              <w:top w:val="single" w:sz="4" w:space="0" w:color="000000"/>
              <w:left w:val="single" w:sz="4" w:space="0" w:color="000000"/>
              <w:bottom w:val="single" w:sz="4" w:space="0" w:color="000000"/>
              <w:right w:val="single" w:sz="4" w:space="0" w:color="000000"/>
            </w:tcBorders>
            <w:noWrap/>
            <w:vAlign w:val="center"/>
          </w:tcPr>
          <w:p w:rsidR="00FF63E3" w:rsidRDefault="00B0176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公开及时性</w:t>
            </w:r>
          </w:p>
        </w:tc>
        <w:tc>
          <w:tcPr>
            <w:tcW w:w="0" w:type="auto"/>
            <w:gridSpan w:val="5"/>
            <w:vMerge w:val="restart"/>
            <w:tcBorders>
              <w:top w:val="single" w:sz="4" w:space="0" w:color="000000"/>
              <w:left w:val="single" w:sz="4" w:space="0" w:color="000000"/>
              <w:bottom w:val="single" w:sz="4" w:space="0" w:color="000000"/>
              <w:right w:val="single" w:sz="4" w:space="0" w:color="000000"/>
            </w:tcBorders>
            <w:noWrap/>
            <w:vAlign w:val="center"/>
          </w:tcPr>
          <w:p w:rsidR="00FF63E3" w:rsidRDefault="00B0176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公开完整性</w:t>
            </w:r>
          </w:p>
        </w:tc>
        <w:tc>
          <w:tcPr>
            <w:tcW w:w="0" w:type="auto"/>
            <w:gridSpan w:val="9"/>
            <w:vMerge w:val="restart"/>
            <w:tcBorders>
              <w:top w:val="single" w:sz="4" w:space="0" w:color="000000"/>
              <w:left w:val="single" w:sz="4" w:space="0" w:color="000000"/>
              <w:bottom w:val="single" w:sz="4" w:space="0" w:color="000000"/>
              <w:right w:val="single" w:sz="4" w:space="0" w:color="000000"/>
            </w:tcBorders>
            <w:noWrap/>
            <w:vAlign w:val="center"/>
          </w:tcPr>
          <w:p w:rsidR="00FF63E3" w:rsidRDefault="00B0176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公开规范性</w:t>
            </w:r>
          </w:p>
        </w:tc>
        <w:tc>
          <w:tcPr>
            <w:tcW w:w="552" w:type="dxa"/>
            <w:vMerge w:val="restart"/>
            <w:tcBorders>
              <w:top w:val="single" w:sz="4" w:space="0" w:color="000000"/>
              <w:left w:val="single" w:sz="4" w:space="0" w:color="000000"/>
              <w:bottom w:val="single" w:sz="4" w:space="0" w:color="000000"/>
              <w:right w:val="single" w:sz="4" w:space="0" w:color="000000"/>
            </w:tcBorders>
            <w:vAlign w:val="center"/>
          </w:tcPr>
          <w:p w:rsidR="00FF63E3" w:rsidRDefault="00B0176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本部门职责、机构设置</w:t>
            </w:r>
          </w:p>
        </w:tc>
        <w:tc>
          <w:tcPr>
            <w:tcW w:w="552" w:type="dxa"/>
            <w:vMerge w:val="restart"/>
            <w:tcBorders>
              <w:top w:val="single" w:sz="4" w:space="0" w:color="000000"/>
              <w:left w:val="single" w:sz="4" w:space="0" w:color="000000"/>
              <w:bottom w:val="single" w:sz="4" w:space="0" w:color="000000"/>
              <w:right w:val="single" w:sz="4" w:space="0" w:color="000000"/>
            </w:tcBorders>
            <w:vAlign w:val="center"/>
          </w:tcPr>
          <w:p w:rsidR="00FF63E3" w:rsidRDefault="00B0176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预算执行情况和名词解释</w:t>
            </w:r>
          </w:p>
        </w:tc>
        <w:tc>
          <w:tcPr>
            <w:tcW w:w="552" w:type="dxa"/>
            <w:vMerge w:val="restart"/>
            <w:tcBorders>
              <w:top w:val="single" w:sz="4" w:space="0" w:color="000000"/>
              <w:left w:val="single" w:sz="4" w:space="0" w:color="000000"/>
              <w:bottom w:val="single" w:sz="4" w:space="0" w:color="000000"/>
              <w:right w:val="single" w:sz="4" w:space="0" w:color="000000"/>
            </w:tcBorders>
            <w:vAlign w:val="center"/>
          </w:tcPr>
          <w:p w:rsidR="00FF63E3" w:rsidRDefault="00B0176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“三公”经费实物量情况</w:t>
            </w:r>
          </w:p>
        </w:tc>
        <w:tc>
          <w:tcPr>
            <w:tcW w:w="552" w:type="dxa"/>
            <w:vMerge w:val="restart"/>
            <w:tcBorders>
              <w:top w:val="single" w:sz="4" w:space="0" w:color="000000"/>
              <w:left w:val="single" w:sz="4" w:space="0" w:color="000000"/>
              <w:bottom w:val="single" w:sz="4" w:space="0" w:color="000000"/>
              <w:right w:val="single" w:sz="4" w:space="0" w:color="000000"/>
            </w:tcBorders>
            <w:vAlign w:val="center"/>
          </w:tcPr>
          <w:p w:rsidR="00FF63E3" w:rsidRDefault="00B0176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机关运行经费支出情况</w:t>
            </w:r>
          </w:p>
        </w:tc>
        <w:tc>
          <w:tcPr>
            <w:tcW w:w="552" w:type="dxa"/>
            <w:vMerge w:val="restart"/>
            <w:tcBorders>
              <w:top w:val="single" w:sz="4" w:space="0" w:color="000000"/>
              <w:left w:val="single" w:sz="4" w:space="0" w:color="000000"/>
              <w:bottom w:val="single" w:sz="4" w:space="0" w:color="000000"/>
              <w:right w:val="single" w:sz="4" w:space="0" w:color="000000"/>
            </w:tcBorders>
            <w:vAlign w:val="center"/>
          </w:tcPr>
          <w:p w:rsidR="00FF63E3" w:rsidRDefault="00B0176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政府采购信息</w:t>
            </w:r>
          </w:p>
        </w:tc>
        <w:tc>
          <w:tcPr>
            <w:tcW w:w="552" w:type="dxa"/>
            <w:vMerge w:val="restart"/>
            <w:tcBorders>
              <w:top w:val="single" w:sz="4" w:space="0" w:color="000000"/>
              <w:left w:val="single" w:sz="4" w:space="0" w:color="000000"/>
              <w:bottom w:val="single" w:sz="4" w:space="0" w:color="000000"/>
              <w:right w:val="single" w:sz="4" w:space="0" w:color="000000"/>
            </w:tcBorders>
            <w:vAlign w:val="center"/>
          </w:tcPr>
          <w:p w:rsidR="00FF63E3" w:rsidRDefault="00B0176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国有资产占有使用情况</w:t>
            </w:r>
          </w:p>
        </w:tc>
        <w:tc>
          <w:tcPr>
            <w:tcW w:w="552" w:type="dxa"/>
            <w:vMerge w:val="restart"/>
            <w:tcBorders>
              <w:top w:val="single" w:sz="4" w:space="0" w:color="000000"/>
              <w:left w:val="single" w:sz="4" w:space="0" w:color="000000"/>
              <w:bottom w:val="single" w:sz="4" w:space="0" w:color="000000"/>
              <w:right w:val="single" w:sz="4" w:space="0" w:color="000000"/>
            </w:tcBorders>
            <w:vAlign w:val="center"/>
          </w:tcPr>
          <w:p w:rsidR="00FF63E3" w:rsidRDefault="00B0176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预算绩效情况</w:t>
            </w:r>
          </w:p>
        </w:tc>
        <w:tc>
          <w:tcPr>
            <w:tcW w:w="552" w:type="dxa"/>
            <w:vMerge w:val="restart"/>
            <w:tcBorders>
              <w:top w:val="single" w:sz="4" w:space="0" w:color="000000"/>
              <w:left w:val="single" w:sz="4" w:space="0" w:color="000000"/>
              <w:bottom w:val="single" w:sz="4" w:space="0" w:color="000000"/>
              <w:right w:val="single" w:sz="4" w:space="0" w:color="000000"/>
            </w:tcBorders>
            <w:vAlign w:val="center"/>
          </w:tcPr>
          <w:p w:rsidR="00FF63E3" w:rsidRDefault="00B0176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设立决算公开平台或专栏</w:t>
            </w:r>
          </w:p>
        </w:tc>
        <w:tc>
          <w:tcPr>
            <w:tcW w:w="552" w:type="dxa"/>
            <w:vMerge w:val="restart"/>
            <w:tcBorders>
              <w:top w:val="single" w:sz="4" w:space="0" w:color="000000"/>
              <w:left w:val="single" w:sz="4" w:space="0" w:color="000000"/>
              <w:bottom w:val="single" w:sz="4" w:space="0" w:color="000000"/>
              <w:right w:val="single" w:sz="4" w:space="0" w:color="000000"/>
            </w:tcBorders>
            <w:vAlign w:val="center"/>
          </w:tcPr>
          <w:p w:rsidR="00FF63E3" w:rsidRDefault="00B0176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部门所属单位公开情况</w:t>
            </w:r>
          </w:p>
        </w:tc>
      </w:tr>
      <w:tr w:rsidR="00FF63E3">
        <w:trPr>
          <w:trHeight w:val="312"/>
        </w:trPr>
        <w:tc>
          <w:tcPr>
            <w:tcW w:w="0" w:type="auto"/>
            <w:gridSpan w:val="2"/>
            <w:vMerge/>
            <w:tcBorders>
              <w:top w:val="single" w:sz="4" w:space="0" w:color="000000"/>
              <w:left w:val="single" w:sz="4" w:space="0" w:color="000000"/>
              <w:bottom w:val="single" w:sz="4" w:space="0" w:color="000000"/>
              <w:right w:val="single" w:sz="4" w:space="0" w:color="000000"/>
            </w:tcBorders>
            <w:noWrap/>
            <w:vAlign w:val="center"/>
          </w:tcPr>
          <w:p w:rsidR="00FF63E3" w:rsidRDefault="00FF63E3">
            <w:pPr>
              <w:jc w:val="center"/>
              <w:rPr>
                <w:rFonts w:ascii="宋体" w:hAnsi="宋体" w:cs="宋体"/>
                <w:color w:val="000000"/>
                <w:sz w:val="20"/>
                <w:szCs w:val="20"/>
              </w:rPr>
            </w:pPr>
          </w:p>
        </w:tc>
        <w:tc>
          <w:tcPr>
            <w:tcW w:w="0" w:type="auto"/>
            <w:gridSpan w:val="5"/>
            <w:vMerge/>
            <w:tcBorders>
              <w:top w:val="single" w:sz="4" w:space="0" w:color="000000"/>
              <w:left w:val="single" w:sz="4" w:space="0" w:color="000000"/>
              <w:bottom w:val="single" w:sz="4" w:space="0" w:color="000000"/>
              <w:right w:val="single" w:sz="4" w:space="0" w:color="000000"/>
            </w:tcBorders>
            <w:noWrap/>
            <w:vAlign w:val="center"/>
          </w:tcPr>
          <w:p w:rsidR="00FF63E3" w:rsidRDefault="00FF63E3">
            <w:pPr>
              <w:jc w:val="center"/>
              <w:rPr>
                <w:rFonts w:ascii="宋体" w:hAnsi="宋体" w:cs="宋体"/>
                <w:color w:val="000000"/>
                <w:sz w:val="20"/>
                <w:szCs w:val="20"/>
              </w:rPr>
            </w:pPr>
          </w:p>
        </w:tc>
        <w:tc>
          <w:tcPr>
            <w:tcW w:w="0" w:type="auto"/>
            <w:gridSpan w:val="9"/>
            <w:vMerge/>
            <w:tcBorders>
              <w:top w:val="single" w:sz="4" w:space="0" w:color="000000"/>
              <w:left w:val="single" w:sz="4" w:space="0" w:color="000000"/>
              <w:bottom w:val="single" w:sz="4" w:space="0" w:color="000000"/>
              <w:right w:val="single" w:sz="4" w:space="0" w:color="000000"/>
            </w:tcBorders>
            <w:noWrap/>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r>
      <w:tr w:rsidR="00FF63E3">
        <w:trPr>
          <w:trHeight w:val="312"/>
        </w:trPr>
        <w:tc>
          <w:tcPr>
            <w:tcW w:w="576" w:type="dxa"/>
            <w:vMerge w:val="restart"/>
            <w:tcBorders>
              <w:top w:val="single" w:sz="4" w:space="0" w:color="000000"/>
              <w:left w:val="single" w:sz="4" w:space="0" w:color="000000"/>
              <w:bottom w:val="single" w:sz="4" w:space="0" w:color="000000"/>
              <w:right w:val="single" w:sz="4" w:space="0" w:color="000000"/>
            </w:tcBorders>
            <w:vAlign w:val="center"/>
          </w:tcPr>
          <w:p w:rsidR="00FF63E3" w:rsidRDefault="00B0176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br/>
              <w:t>情况</w:t>
            </w:r>
          </w:p>
        </w:tc>
        <w:tc>
          <w:tcPr>
            <w:tcW w:w="660" w:type="dxa"/>
            <w:vMerge w:val="restart"/>
            <w:tcBorders>
              <w:top w:val="single" w:sz="4" w:space="0" w:color="000000"/>
              <w:left w:val="single" w:sz="4" w:space="0" w:color="000000"/>
              <w:bottom w:val="single" w:sz="4" w:space="0" w:color="000000"/>
              <w:right w:val="single" w:sz="4" w:space="0" w:color="000000"/>
            </w:tcBorders>
            <w:vAlign w:val="center"/>
          </w:tcPr>
          <w:p w:rsidR="00FF63E3" w:rsidRDefault="00B0176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未公开原因</w:t>
            </w:r>
          </w:p>
        </w:tc>
        <w:tc>
          <w:tcPr>
            <w:tcW w:w="0" w:type="auto"/>
            <w:gridSpan w:val="3"/>
            <w:vMerge w:val="restart"/>
            <w:tcBorders>
              <w:top w:val="single" w:sz="4" w:space="0" w:color="000000"/>
              <w:left w:val="single" w:sz="4" w:space="0" w:color="000000"/>
              <w:bottom w:val="single" w:sz="4" w:space="0" w:color="000000"/>
              <w:right w:val="single" w:sz="4" w:space="0" w:color="000000"/>
            </w:tcBorders>
            <w:noWrap/>
            <w:vAlign w:val="center"/>
          </w:tcPr>
          <w:p w:rsidR="00FF63E3" w:rsidRDefault="00B0176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一般公共预算</w:t>
            </w:r>
          </w:p>
        </w:tc>
        <w:tc>
          <w:tcPr>
            <w:tcW w:w="552" w:type="dxa"/>
            <w:vMerge w:val="restart"/>
            <w:tcBorders>
              <w:top w:val="single" w:sz="4" w:space="0" w:color="000000"/>
              <w:left w:val="single" w:sz="4" w:space="0" w:color="000000"/>
              <w:bottom w:val="single" w:sz="4" w:space="0" w:color="000000"/>
              <w:right w:val="single" w:sz="4" w:space="0" w:color="000000"/>
            </w:tcBorders>
            <w:vAlign w:val="center"/>
          </w:tcPr>
          <w:p w:rsidR="00FF63E3" w:rsidRDefault="00B0176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政府性基金预算按功能分类到项级</w:t>
            </w:r>
          </w:p>
        </w:tc>
        <w:tc>
          <w:tcPr>
            <w:tcW w:w="564" w:type="dxa"/>
            <w:vMerge w:val="restart"/>
            <w:tcBorders>
              <w:top w:val="single" w:sz="4" w:space="0" w:color="000000"/>
              <w:left w:val="single" w:sz="4" w:space="0" w:color="000000"/>
              <w:bottom w:val="single" w:sz="4" w:space="0" w:color="000000"/>
              <w:right w:val="single" w:sz="4" w:space="0" w:color="000000"/>
            </w:tcBorders>
            <w:vAlign w:val="center"/>
          </w:tcPr>
          <w:p w:rsidR="00FF63E3" w:rsidRDefault="00B0176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国有资本经营预算支出情况按功能分类到项级</w:t>
            </w:r>
          </w:p>
        </w:tc>
        <w:tc>
          <w:tcPr>
            <w:tcW w:w="0" w:type="auto"/>
            <w:gridSpan w:val="3"/>
            <w:vMerge w:val="restart"/>
            <w:tcBorders>
              <w:top w:val="single" w:sz="4" w:space="0" w:color="000000"/>
              <w:left w:val="single" w:sz="4" w:space="0" w:color="000000"/>
              <w:bottom w:val="single" w:sz="4" w:space="0" w:color="000000"/>
              <w:right w:val="single" w:sz="4" w:space="0" w:color="000000"/>
            </w:tcBorders>
            <w:noWrap/>
            <w:vAlign w:val="center"/>
          </w:tcPr>
          <w:p w:rsidR="00FF63E3" w:rsidRDefault="00B0176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部门收支总体情况</w:t>
            </w:r>
          </w:p>
        </w:tc>
        <w:tc>
          <w:tcPr>
            <w:tcW w:w="0" w:type="auto"/>
            <w:gridSpan w:val="6"/>
            <w:vMerge w:val="restart"/>
            <w:tcBorders>
              <w:top w:val="single" w:sz="4" w:space="0" w:color="000000"/>
              <w:left w:val="single" w:sz="4" w:space="0" w:color="000000"/>
              <w:bottom w:val="single" w:sz="4" w:space="0" w:color="000000"/>
              <w:right w:val="single" w:sz="4" w:space="0" w:color="000000"/>
            </w:tcBorders>
            <w:noWrap/>
            <w:vAlign w:val="center"/>
          </w:tcPr>
          <w:p w:rsidR="00FF63E3" w:rsidRDefault="00B0176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财政拨款收支总体情况</w:t>
            </w: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r>
      <w:tr w:rsidR="00FF63E3">
        <w:trPr>
          <w:trHeight w:val="312"/>
        </w:trPr>
        <w:tc>
          <w:tcPr>
            <w:tcW w:w="576"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660"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0" w:type="auto"/>
            <w:gridSpan w:val="3"/>
            <w:vMerge/>
            <w:tcBorders>
              <w:top w:val="single" w:sz="4" w:space="0" w:color="000000"/>
              <w:left w:val="single" w:sz="4" w:space="0" w:color="000000"/>
              <w:bottom w:val="single" w:sz="4" w:space="0" w:color="000000"/>
              <w:right w:val="single" w:sz="4" w:space="0" w:color="000000"/>
            </w:tcBorders>
            <w:noWrap/>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0" w:type="auto"/>
            <w:gridSpan w:val="3"/>
            <w:vMerge/>
            <w:tcBorders>
              <w:top w:val="single" w:sz="4" w:space="0" w:color="000000"/>
              <w:left w:val="single" w:sz="4" w:space="0" w:color="000000"/>
              <w:bottom w:val="single" w:sz="4" w:space="0" w:color="000000"/>
              <w:right w:val="single" w:sz="4" w:space="0" w:color="000000"/>
            </w:tcBorders>
            <w:noWrap/>
            <w:vAlign w:val="center"/>
          </w:tcPr>
          <w:p w:rsidR="00FF63E3" w:rsidRDefault="00FF63E3">
            <w:pPr>
              <w:jc w:val="center"/>
              <w:rPr>
                <w:rFonts w:ascii="宋体" w:hAnsi="宋体" w:cs="宋体"/>
                <w:color w:val="000000"/>
                <w:sz w:val="20"/>
                <w:szCs w:val="20"/>
              </w:rPr>
            </w:pPr>
          </w:p>
        </w:tc>
        <w:tc>
          <w:tcPr>
            <w:tcW w:w="0" w:type="auto"/>
            <w:gridSpan w:val="6"/>
            <w:vMerge/>
            <w:tcBorders>
              <w:top w:val="single" w:sz="4" w:space="0" w:color="000000"/>
              <w:left w:val="single" w:sz="4" w:space="0" w:color="000000"/>
              <w:bottom w:val="single" w:sz="4" w:space="0" w:color="000000"/>
              <w:right w:val="single" w:sz="4" w:space="0" w:color="000000"/>
            </w:tcBorders>
            <w:noWrap/>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r>
      <w:tr w:rsidR="00FF63E3">
        <w:trPr>
          <w:trHeight w:val="312"/>
        </w:trPr>
        <w:tc>
          <w:tcPr>
            <w:tcW w:w="576"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660"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636" w:type="dxa"/>
            <w:vMerge w:val="restart"/>
            <w:tcBorders>
              <w:top w:val="single" w:sz="4" w:space="0" w:color="000000"/>
              <w:left w:val="single" w:sz="4" w:space="0" w:color="000000"/>
              <w:bottom w:val="single" w:sz="4" w:space="0" w:color="000000"/>
              <w:right w:val="single" w:sz="4" w:space="0" w:color="000000"/>
            </w:tcBorders>
            <w:vAlign w:val="center"/>
          </w:tcPr>
          <w:p w:rsidR="00FF63E3" w:rsidRDefault="00B0176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按功能分类到项级</w:t>
            </w:r>
          </w:p>
        </w:tc>
        <w:tc>
          <w:tcPr>
            <w:tcW w:w="648" w:type="dxa"/>
            <w:vMerge w:val="restart"/>
            <w:tcBorders>
              <w:top w:val="single" w:sz="4" w:space="0" w:color="000000"/>
              <w:left w:val="single" w:sz="4" w:space="0" w:color="000000"/>
              <w:bottom w:val="single" w:sz="4" w:space="0" w:color="000000"/>
              <w:right w:val="single" w:sz="4" w:space="0" w:color="000000"/>
            </w:tcBorders>
            <w:vAlign w:val="center"/>
          </w:tcPr>
          <w:p w:rsidR="00FF63E3" w:rsidRDefault="00B0176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基本支出按经济分类到款级</w:t>
            </w:r>
          </w:p>
        </w:tc>
        <w:tc>
          <w:tcPr>
            <w:tcW w:w="624" w:type="dxa"/>
            <w:vMerge w:val="restart"/>
            <w:tcBorders>
              <w:top w:val="single" w:sz="4" w:space="0" w:color="000000"/>
              <w:left w:val="single" w:sz="4" w:space="0" w:color="000000"/>
              <w:bottom w:val="single" w:sz="4" w:space="0" w:color="000000"/>
              <w:right w:val="single" w:sz="4" w:space="0" w:color="000000"/>
            </w:tcBorders>
            <w:vAlign w:val="center"/>
          </w:tcPr>
          <w:p w:rsidR="00FF63E3" w:rsidRDefault="00B0176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“三公”经费决算安排</w:t>
            </w: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76" w:type="dxa"/>
            <w:vMerge w:val="restart"/>
            <w:tcBorders>
              <w:top w:val="single" w:sz="4" w:space="0" w:color="000000"/>
              <w:left w:val="single" w:sz="4" w:space="0" w:color="000000"/>
              <w:bottom w:val="single" w:sz="4" w:space="0" w:color="000000"/>
              <w:right w:val="single" w:sz="4" w:space="0" w:color="000000"/>
            </w:tcBorders>
            <w:vAlign w:val="center"/>
          </w:tcPr>
          <w:p w:rsidR="00FF63E3" w:rsidRDefault="00B0176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收支总体情况表</w:t>
            </w:r>
          </w:p>
        </w:tc>
        <w:tc>
          <w:tcPr>
            <w:tcW w:w="468" w:type="dxa"/>
            <w:vMerge w:val="restart"/>
            <w:tcBorders>
              <w:top w:val="single" w:sz="4" w:space="0" w:color="000000"/>
              <w:left w:val="single" w:sz="4" w:space="0" w:color="000000"/>
              <w:bottom w:val="single" w:sz="4" w:space="0" w:color="000000"/>
              <w:right w:val="single" w:sz="4" w:space="0" w:color="000000"/>
            </w:tcBorders>
            <w:vAlign w:val="center"/>
          </w:tcPr>
          <w:p w:rsidR="00FF63E3" w:rsidRDefault="00B0176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收入总表</w:t>
            </w:r>
          </w:p>
        </w:tc>
        <w:tc>
          <w:tcPr>
            <w:tcW w:w="576" w:type="dxa"/>
            <w:vMerge w:val="restart"/>
            <w:tcBorders>
              <w:top w:val="single" w:sz="4" w:space="0" w:color="000000"/>
              <w:left w:val="single" w:sz="4" w:space="0" w:color="000000"/>
              <w:bottom w:val="single" w:sz="4" w:space="0" w:color="000000"/>
              <w:right w:val="single" w:sz="4" w:space="0" w:color="000000"/>
            </w:tcBorders>
            <w:vAlign w:val="center"/>
          </w:tcPr>
          <w:p w:rsidR="00FF63E3" w:rsidRDefault="00B0176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支出总表</w:t>
            </w:r>
          </w:p>
        </w:tc>
        <w:tc>
          <w:tcPr>
            <w:tcW w:w="528" w:type="dxa"/>
            <w:vMerge w:val="restart"/>
            <w:tcBorders>
              <w:top w:val="single" w:sz="4" w:space="0" w:color="000000"/>
              <w:left w:val="single" w:sz="4" w:space="0" w:color="000000"/>
              <w:bottom w:val="single" w:sz="4" w:space="0" w:color="000000"/>
              <w:right w:val="single" w:sz="4" w:space="0" w:color="000000"/>
            </w:tcBorders>
            <w:vAlign w:val="center"/>
          </w:tcPr>
          <w:p w:rsidR="00FF63E3" w:rsidRDefault="00B0176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财政拨款收支总体情况表</w:t>
            </w:r>
          </w:p>
        </w:tc>
        <w:tc>
          <w:tcPr>
            <w:tcW w:w="1764" w:type="dxa"/>
            <w:gridSpan w:val="3"/>
            <w:vMerge w:val="restart"/>
            <w:tcBorders>
              <w:top w:val="single" w:sz="4" w:space="0" w:color="000000"/>
              <w:left w:val="single" w:sz="4" w:space="0" w:color="000000"/>
              <w:bottom w:val="single" w:sz="4" w:space="0" w:color="000000"/>
              <w:right w:val="single" w:sz="4" w:space="0" w:color="000000"/>
            </w:tcBorders>
            <w:vAlign w:val="center"/>
          </w:tcPr>
          <w:p w:rsidR="00FF63E3" w:rsidRDefault="00B0176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一般公共预算收支情况</w:t>
            </w:r>
          </w:p>
        </w:tc>
        <w:tc>
          <w:tcPr>
            <w:tcW w:w="588" w:type="dxa"/>
            <w:vMerge w:val="restart"/>
            <w:tcBorders>
              <w:top w:val="single" w:sz="4" w:space="0" w:color="000000"/>
              <w:left w:val="single" w:sz="4" w:space="0" w:color="000000"/>
              <w:bottom w:val="single" w:sz="4" w:space="0" w:color="000000"/>
              <w:right w:val="single" w:sz="4" w:space="0" w:color="000000"/>
            </w:tcBorders>
            <w:vAlign w:val="center"/>
          </w:tcPr>
          <w:p w:rsidR="00FF63E3" w:rsidRDefault="00B0176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政府性基金预算支出情况表</w:t>
            </w:r>
          </w:p>
        </w:tc>
        <w:tc>
          <w:tcPr>
            <w:tcW w:w="588" w:type="dxa"/>
            <w:vMerge w:val="restart"/>
            <w:tcBorders>
              <w:top w:val="single" w:sz="4" w:space="0" w:color="000000"/>
              <w:left w:val="single" w:sz="4" w:space="0" w:color="000000"/>
              <w:bottom w:val="single" w:sz="4" w:space="0" w:color="000000"/>
              <w:right w:val="single" w:sz="4" w:space="0" w:color="000000"/>
            </w:tcBorders>
            <w:vAlign w:val="center"/>
          </w:tcPr>
          <w:p w:rsidR="00FF63E3" w:rsidRDefault="00B0176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国有资本经营预算支出情况表</w:t>
            </w: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r>
      <w:tr w:rsidR="00FF63E3">
        <w:trPr>
          <w:trHeight w:val="312"/>
        </w:trPr>
        <w:tc>
          <w:tcPr>
            <w:tcW w:w="576"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660"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636"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648"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624"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468"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28"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1764" w:type="dxa"/>
            <w:gridSpan w:val="3"/>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88"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88"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r>
      <w:tr w:rsidR="00FF63E3">
        <w:trPr>
          <w:trHeight w:val="312"/>
        </w:trPr>
        <w:tc>
          <w:tcPr>
            <w:tcW w:w="576"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660"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636"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648"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624"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468"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28"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88" w:type="dxa"/>
            <w:vMerge w:val="restart"/>
            <w:tcBorders>
              <w:top w:val="single" w:sz="4" w:space="0" w:color="000000"/>
              <w:left w:val="single" w:sz="4" w:space="0" w:color="000000"/>
              <w:bottom w:val="single" w:sz="4" w:space="0" w:color="000000"/>
              <w:right w:val="single" w:sz="4" w:space="0" w:color="000000"/>
            </w:tcBorders>
            <w:vAlign w:val="center"/>
          </w:tcPr>
          <w:p w:rsidR="00FF63E3" w:rsidRDefault="00B0176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支出情况表</w:t>
            </w:r>
          </w:p>
        </w:tc>
        <w:tc>
          <w:tcPr>
            <w:tcW w:w="588" w:type="dxa"/>
            <w:vMerge w:val="restart"/>
            <w:tcBorders>
              <w:top w:val="single" w:sz="4" w:space="0" w:color="000000"/>
              <w:left w:val="single" w:sz="4" w:space="0" w:color="000000"/>
              <w:bottom w:val="single" w:sz="4" w:space="0" w:color="000000"/>
              <w:right w:val="single" w:sz="4" w:space="0" w:color="000000"/>
            </w:tcBorders>
            <w:vAlign w:val="center"/>
          </w:tcPr>
          <w:p w:rsidR="00FF63E3" w:rsidRDefault="00B0176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基本支出情况表</w:t>
            </w:r>
          </w:p>
        </w:tc>
        <w:tc>
          <w:tcPr>
            <w:tcW w:w="588" w:type="dxa"/>
            <w:vMerge w:val="restart"/>
            <w:tcBorders>
              <w:top w:val="single" w:sz="4" w:space="0" w:color="000000"/>
              <w:left w:val="single" w:sz="4" w:space="0" w:color="000000"/>
              <w:bottom w:val="single" w:sz="4" w:space="0" w:color="000000"/>
              <w:right w:val="single" w:sz="4" w:space="0" w:color="000000"/>
            </w:tcBorders>
            <w:vAlign w:val="center"/>
          </w:tcPr>
          <w:p w:rsidR="00FF63E3" w:rsidRDefault="00B0176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“三公”经费支出情况表</w:t>
            </w:r>
          </w:p>
        </w:tc>
        <w:tc>
          <w:tcPr>
            <w:tcW w:w="588"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88"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r>
      <w:tr w:rsidR="00FF63E3">
        <w:trPr>
          <w:trHeight w:val="1420"/>
        </w:trPr>
        <w:tc>
          <w:tcPr>
            <w:tcW w:w="576"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660"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636"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648"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624"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64"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468"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28"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88"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88"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left"/>
              <w:rPr>
                <w:rFonts w:ascii="宋体" w:hAnsi="宋体" w:cs="宋体"/>
                <w:color w:val="000000"/>
                <w:sz w:val="20"/>
                <w:szCs w:val="20"/>
              </w:rPr>
            </w:pPr>
          </w:p>
        </w:tc>
        <w:tc>
          <w:tcPr>
            <w:tcW w:w="588"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left"/>
              <w:rPr>
                <w:rFonts w:ascii="宋体" w:hAnsi="宋体" w:cs="宋体"/>
                <w:color w:val="000000"/>
                <w:sz w:val="20"/>
                <w:szCs w:val="20"/>
              </w:rPr>
            </w:pPr>
          </w:p>
        </w:tc>
        <w:tc>
          <w:tcPr>
            <w:tcW w:w="588"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88"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c>
          <w:tcPr>
            <w:tcW w:w="552" w:type="dxa"/>
            <w:vMerge/>
            <w:tcBorders>
              <w:top w:val="single" w:sz="4" w:space="0" w:color="000000"/>
              <w:left w:val="single" w:sz="4" w:space="0" w:color="000000"/>
              <w:bottom w:val="single" w:sz="4" w:space="0" w:color="000000"/>
              <w:right w:val="single" w:sz="4" w:space="0" w:color="000000"/>
            </w:tcBorders>
            <w:vAlign w:val="center"/>
          </w:tcPr>
          <w:p w:rsidR="00FF63E3" w:rsidRDefault="00FF63E3">
            <w:pPr>
              <w:jc w:val="center"/>
              <w:rPr>
                <w:rFonts w:ascii="宋体" w:hAnsi="宋体" w:cs="宋体"/>
                <w:color w:val="000000"/>
                <w:sz w:val="20"/>
                <w:szCs w:val="20"/>
              </w:rPr>
            </w:pPr>
          </w:p>
        </w:tc>
      </w:tr>
      <w:tr w:rsidR="00FF63E3">
        <w:trPr>
          <w:trHeight w:val="380"/>
        </w:trPr>
        <w:tc>
          <w:tcPr>
            <w:tcW w:w="0" w:type="auto"/>
            <w:tcBorders>
              <w:top w:val="single" w:sz="4" w:space="0" w:color="000000"/>
              <w:left w:val="single" w:sz="4" w:space="0" w:color="000000"/>
              <w:bottom w:val="single" w:sz="4" w:space="0" w:color="000000"/>
              <w:right w:val="single" w:sz="4" w:space="0" w:color="000000"/>
            </w:tcBorders>
            <w:noWrap/>
            <w:vAlign w:val="center"/>
          </w:tcPr>
          <w:p w:rsidR="00FF63E3" w:rsidRDefault="00FF63E3">
            <w:pPr>
              <w:jc w:val="left"/>
              <w:rPr>
                <w:rFonts w:ascii="宋体" w:hAnsi="宋体" w:cs="宋体"/>
                <w:color w:val="000000"/>
                <w:sz w:val="22"/>
                <w:szCs w:val="22"/>
              </w:rPr>
            </w:pPr>
          </w:p>
        </w:tc>
        <w:tc>
          <w:tcPr>
            <w:tcW w:w="660" w:type="dxa"/>
            <w:tcBorders>
              <w:top w:val="single" w:sz="4" w:space="0" w:color="000000"/>
              <w:left w:val="single" w:sz="4" w:space="0" w:color="000000"/>
              <w:bottom w:val="single" w:sz="4" w:space="0" w:color="000000"/>
              <w:right w:val="single" w:sz="4" w:space="0" w:color="000000"/>
            </w:tcBorders>
            <w:vAlign w:val="center"/>
          </w:tcPr>
          <w:p w:rsidR="00FF63E3" w:rsidRDefault="00FF63E3">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F63E3" w:rsidRDefault="00FF63E3">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F63E3" w:rsidRDefault="00FF63E3">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F63E3" w:rsidRDefault="00FF63E3">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F63E3" w:rsidRDefault="00FF63E3">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F63E3" w:rsidRDefault="00FF63E3">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F63E3" w:rsidRDefault="00FF63E3">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F63E3" w:rsidRDefault="00FF63E3">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F63E3" w:rsidRDefault="00FF63E3">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F63E3" w:rsidRDefault="00FF63E3">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F63E3" w:rsidRDefault="00FF63E3">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F63E3" w:rsidRDefault="00FF63E3">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F63E3" w:rsidRDefault="00FF63E3">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F63E3" w:rsidRDefault="00FF63E3">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F63E3" w:rsidRDefault="00FF63E3">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F63E3" w:rsidRDefault="00FF63E3">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F63E3" w:rsidRDefault="00FF63E3">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F63E3" w:rsidRDefault="00FF63E3">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F63E3" w:rsidRDefault="00FF63E3">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F63E3" w:rsidRDefault="00FF63E3">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F63E3" w:rsidRDefault="00FF63E3">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F63E3" w:rsidRDefault="00FF63E3">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F63E3" w:rsidRDefault="00FF63E3">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FF63E3" w:rsidRDefault="00FF63E3">
            <w:pPr>
              <w:jc w:val="center"/>
              <w:rPr>
                <w:rFonts w:ascii="宋体" w:hAnsi="宋体" w:cs="宋体"/>
                <w:color w:val="000000"/>
                <w:sz w:val="22"/>
                <w:szCs w:val="22"/>
              </w:rPr>
            </w:pPr>
          </w:p>
        </w:tc>
      </w:tr>
      <w:tr w:rsidR="00FF63E3">
        <w:trPr>
          <w:trHeight w:val="312"/>
        </w:trPr>
        <w:tc>
          <w:tcPr>
            <w:tcW w:w="5880" w:type="dxa"/>
            <w:gridSpan w:val="10"/>
            <w:vMerge w:val="restart"/>
            <w:tcBorders>
              <w:top w:val="nil"/>
              <w:left w:val="nil"/>
              <w:bottom w:val="nil"/>
              <w:right w:val="nil"/>
            </w:tcBorders>
            <w:vAlign w:val="center"/>
          </w:tcPr>
          <w:p w:rsidR="00FF63E3" w:rsidRDefault="00B0176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lastRenderedPageBreak/>
              <w:t>联系人：</w:t>
            </w:r>
          </w:p>
        </w:tc>
        <w:tc>
          <w:tcPr>
            <w:tcW w:w="0" w:type="auto"/>
            <w:gridSpan w:val="10"/>
            <w:vMerge w:val="restart"/>
            <w:tcBorders>
              <w:top w:val="nil"/>
              <w:left w:val="nil"/>
              <w:bottom w:val="nil"/>
              <w:right w:val="nil"/>
            </w:tcBorders>
            <w:noWrap/>
            <w:vAlign w:val="center"/>
          </w:tcPr>
          <w:p w:rsidR="00FF63E3" w:rsidRDefault="00B0176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联系电话：</w:t>
            </w:r>
          </w:p>
        </w:tc>
        <w:tc>
          <w:tcPr>
            <w:tcW w:w="0" w:type="auto"/>
            <w:gridSpan w:val="5"/>
            <w:vMerge w:val="restart"/>
            <w:tcBorders>
              <w:top w:val="nil"/>
              <w:left w:val="nil"/>
              <w:bottom w:val="nil"/>
              <w:right w:val="nil"/>
            </w:tcBorders>
            <w:noWrap/>
            <w:vAlign w:val="center"/>
          </w:tcPr>
          <w:p w:rsidR="00FF63E3" w:rsidRDefault="00B0176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反馈日期：</w:t>
            </w:r>
          </w:p>
        </w:tc>
      </w:tr>
      <w:tr w:rsidR="00FF63E3">
        <w:trPr>
          <w:trHeight w:val="312"/>
        </w:trPr>
        <w:tc>
          <w:tcPr>
            <w:tcW w:w="5880" w:type="dxa"/>
            <w:gridSpan w:val="10"/>
            <w:vMerge/>
            <w:tcBorders>
              <w:top w:val="nil"/>
              <w:left w:val="nil"/>
              <w:bottom w:val="nil"/>
              <w:right w:val="nil"/>
            </w:tcBorders>
            <w:vAlign w:val="center"/>
          </w:tcPr>
          <w:p w:rsidR="00FF63E3" w:rsidRDefault="00FF63E3">
            <w:pPr>
              <w:jc w:val="left"/>
              <w:rPr>
                <w:rFonts w:ascii="宋体" w:hAnsi="宋体" w:cs="宋体"/>
                <w:color w:val="000000"/>
                <w:sz w:val="22"/>
                <w:szCs w:val="22"/>
              </w:rPr>
            </w:pPr>
          </w:p>
        </w:tc>
        <w:tc>
          <w:tcPr>
            <w:tcW w:w="0" w:type="auto"/>
            <w:gridSpan w:val="10"/>
            <w:vMerge/>
            <w:tcBorders>
              <w:top w:val="nil"/>
              <w:left w:val="nil"/>
              <w:bottom w:val="nil"/>
              <w:right w:val="nil"/>
            </w:tcBorders>
            <w:noWrap/>
            <w:vAlign w:val="center"/>
          </w:tcPr>
          <w:p w:rsidR="00FF63E3" w:rsidRDefault="00FF63E3">
            <w:pPr>
              <w:jc w:val="left"/>
              <w:rPr>
                <w:rFonts w:ascii="宋体" w:hAnsi="宋体" w:cs="宋体"/>
                <w:color w:val="000000"/>
                <w:sz w:val="22"/>
                <w:szCs w:val="22"/>
              </w:rPr>
            </w:pPr>
          </w:p>
        </w:tc>
        <w:tc>
          <w:tcPr>
            <w:tcW w:w="0" w:type="auto"/>
            <w:gridSpan w:val="5"/>
            <w:vMerge/>
            <w:tcBorders>
              <w:top w:val="nil"/>
              <w:left w:val="nil"/>
              <w:bottom w:val="nil"/>
              <w:right w:val="nil"/>
            </w:tcBorders>
            <w:noWrap/>
            <w:vAlign w:val="center"/>
          </w:tcPr>
          <w:p w:rsidR="00FF63E3" w:rsidRDefault="00FF63E3">
            <w:pPr>
              <w:jc w:val="left"/>
              <w:rPr>
                <w:rFonts w:ascii="宋体" w:hAnsi="宋体" w:cs="宋体"/>
                <w:color w:val="000000"/>
                <w:sz w:val="22"/>
                <w:szCs w:val="22"/>
              </w:rPr>
            </w:pPr>
          </w:p>
        </w:tc>
      </w:tr>
    </w:tbl>
    <w:p w:rsidR="00FF63E3" w:rsidRDefault="00FF63E3">
      <w:pPr>
        <w:spacing w:line="400" w:lineRule="exact"/>
        <w:rPr>
          <w:rFonts w:ascii="宋体" w:hAnsi="宋体" w:cs="宋体"/>
          <w:b/>
          <w:bCs/>
          <w:kern w:val="0"/>
          <w:sz w:val="28"/>
          <w:szCs w:val="28"/>
        </w:rPr>
      </w:pPr>
    </w:p>
    <w:p w:rsidR="00B01763" w:rsidRDefault="00B01763">
      <w:pPr>
        <w:spacing w:line="400" w:lineRule="exact"/>
        <w:rPr>
          <w:rFonts w:ascii="仿宋_GB2312" w:eastAsia="仿宋_GB2312"/>
          <w:kern w:val="0"/>
          <w:sz w:val="28"/>
          <w:szCs w:val="28"/>
          <w:u w:val="single"/>
        </w:rPr>
      </w:pPr>
    </w:p>
    <w:sectPr w:rsidR="00B01763" w:rsidSect="00FF63E3">
      <w:headerReference w:type="even" r:id="rId11"/>
      <w:headerReference w:type="default" r:id="rId12"/>
      <w:footerReference w:type="default" r:id="rId13"/>
      <w:pgSz w:w="16838" w:h="11906" w:orient="landscape"/>
      <w:pgMar w:top="1134" w:right="1134" w:bottom="1134" w:left="1134"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D95" w:rsidRDefault="00F75D95">
      <w:r>
        <w:separator/>
      </w:r>
    </w:p>
  </w:endnote>
  <w:endnote w:type="continuationSeparator" w:id="1">
    <w:p w:rsidR="00F75D95" w:rsidRDefault="00F75D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3E3" w:rsidRDefault="00A06993">
    <w:pPr>
      <w:pStyle w:val="a3"/>
      <w:framePr w:wrap="around" w:vAnchor="text" w:hAnchor="margin" w:xAlign="center" w:y="1"/>
      <w:rPr>
        <w:rStyle w:val="a5"/>
      </w:rPr>
    </w:pPr>
    <w:r>
      <w:fldChar w:fldCharType="begin"/>
    </w:r>
    <w:r w:rsidR="00B01763">
      <w:rPr>
        <w:rStyle w:val="a5"/>
      </w:rPr>
      <w:instrText xml:space="preserve">PAGE  </w:instrText>
    </w:r>
    <w:r>
      <w:fldChar w:fldCharType="end"/>
    </w:r>
  </w:p>
  <w:p w:rsidR="00FF63E3" w:rsidRDefault="00FF63E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3E3" w:rsidRDefault="00A06993">
    <w:pPr>
      <w:pStyle w:val="a3"/>
      <w:framePr w:wrap="around" w:vAnchor="text" w:hAnchor="margin" w:xAlign="center" w:y="1"/>
      <w:rPr>
        <w:rStyle w:val="a5"/>
      </w:rPr>
    </w:pPr>
    <w:r>
      <w:fldChar w:fldCharType="begin"/>
    </w:r>
    <w:r w:rsidR="00B01763">
      <w:rPr>
        <w:rStyle w:val="a5"/>
      </w:rPr>
      <w:instrText xml:space="preserve">PAGE  </w:instrText>
    </w:r>
    <w:r>
      <w:fldChar w:fldCharType="separate"/>
    </w:r>
    <w:r w:rsidR="006F14F6">
      <w:rPr>
        <w:rStyle w:val="a5"/>
        <w:noProof/>
      </w:rPr>
      <w:t>11</w:t>
    </w:r>
    <w:r>
      <w:fldChar w:fldCharType="end"/>
    </w:r>
  </w:p>
  <w:p w:rsidR="00FF63E3" w:rsidRDefault="00FF63E3">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3E3" w:rsidRDefault="00A06993">
    <w:pPr>
      <w:pStyle w:val="a3"/>
      <w:framePr w:wrap="around" w:vAnchor="text" w:hAnchor="margin" w:xAlign="center" w:y="1"/>
      <w:rPr>
        <w:rStyle w:val="a5"/>
      </w:rPr>
    </w:pPr>
    <w:r>
      <w:fldChar w:fldCharType="begin"/>
    </w:r>
    <w:r w:rsidR="00B01763">
      <w:rPr>
        <w:rStyle w:val="a5"/>
      </w:rPr>
      <w:instrText xml:space="preserve">PAGE  </w:instrText>
    </w:r>
    <w:r>
      <w:fldChar w:fldCharType="end"/>
    </w:r>
  </w:p>
  <w:p w:rsidR="00FF63E3" w:rsidRDefault="00FF63E3">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3E3" w:rsidRDefault="00A06993">
    <w:pPr>
      <w:pStyle w:val="a3"/>
      <w:framePr w:wrap="around" w:vAnchor="text" w:hAnchor="margin" w:xAlign="center" w:y="1"/>
      <w:rPr>
        <w:rStyle w:val="a5"/>
      </w:rPr>
    </w:pPr>
    <w:r>
      <w:fldChar w:fldCharType="begin"/>
    </w:r>
    <w:r w:rsidR="00B01763">
      <w:rPr>
        <w:rStyle w:val="a5"/>
      </w:rPr>
      <w:instrText xml:space="preserve">PAGE  </w:instrText>
    </w:r>
    <w:r>
      <w:fldChar w:fldCharType="separate"/>
    </w:r>
    <w:r w:rsidR="006F14F6">
      <w:rPr>
        <w:rStyle w:val="a5"/>
        <w:noProof/>
      </w:rPr>
      <w:t>12</w:t>
    </w:r>
    <w:r>
      <w:fldChar w:fldCharType="end"/>
    </w:r>
  </w:p>
  <w:p w:rsidR="00FF63E3" w:rsidRDefault="00FF63E3">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3E3" w:rsidRDefault="00A06993">
    <w:pPr>
      <w:pStyle w:val="a3"/>
      <w:ind w:firstLineChars="2250" w:firstLine="4050"/>
    </w:pPr>
    <w:r>
      <w:fldChar w:fldCharType="begin"/>
    </w:r>
    <w:r w:rsidR="00B01763">
      <w:instrText>PAGE   \* MERGEFORMAT</w:instrText>
    </w:r>
    <w:r>
      <w:fldChar w:fldCharType="separate"/>
    </w:r>
    <w:r w:rsidR="006F14F6" w:rsidRPr="006F14F6">
      <w:rPr>
        <w:noProof/>
        <w:lang w:val="zh-CN"/>
      </w:rPr>
      <w:t>-</w:t>
    </w:r>
    <w:r w:rsidR="006F14F6">
      <w:rPr>
        <w:noProof/>
      </w:rPr>
      <w:t xml:space="preserve"> 14 -</w:t>
    </w:r>
    <w:r>
      <w:fldChar w:fldCharType="end"/>
    </w:r>
    <w:r w:rsidR="00B01763">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D95" w:rsidRDefault="00F75D95">
      <w:r>
        <w:separator/>
      </w:r>
    </w:p>
  </w:footnote>
  <w:footnote w:type="continuationSeparator" w:id="1">
    <w:p w:rsidR="00F75D95" w:rsidRDefault="00F75D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3E3" w:rsidRDefault="00FF63E3">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3E3" w:rsidRDefault="00FF63E3">
    <w:pPr>
      <w:pStyle w:val="a4"/>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0B37B3"/>
    <w:multiLevelType w:val="multilevel"/>
    <w:tmpl w:val="730B37B3"/>
    <w:lvl w:ilvl="0">
      <w:start w:val="1"/>
      <w:numFmt w:val="japaneseCounting"/>
      <w:lvlText w:val="%1、"/>
      <w:lvlJc w:val="left"/>
      <w:pPr>
        <w:tabs>
          <w:tab w:val="num" w:pos="720"/>
        </w:tabs>
        <w:ind w:left="720" w:hanging="720"/>
      </w:pPr>
      <w:rPr>
        <w:rFonts w:hint="default"/>
      </w:rPr>
    </w:lvl>
    <w:lvl w:ilvl="1">
      <w:start w:val="2"/>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noPunctuationKerning/>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dkMjM0MjE4Nzk0MjgxZTk0YTEyYTRhZWRmYWUyOWEifQ=="/>
  </w:docVars>
  <w:rsids>
    <w:rsidRoot w:val="00A96A63"/>
    <w:rsid w:val="0000118E"/>
    <w:rsid w:val="00014516"/>
    <w:rsid w:val="0002424B"/>
    <w:rsid w:val="00024971"/>
    <w:rsid w:val="00026401"/>
    <w:rsid w:val="0003096F"/>
    <w:rsid w:val="00034411"/>
    <w:rsid w:val="0003601B"/>
    <w:rsid w:val="00043DE9"/>
    <w:rsid w:val="0008248E"/>
    <w:rsid w:val="000A6609"/>
    <w:rsid w:val="000C3179"/>
    <w:rsid w:val="000D5266"/>
    <w:rsid w:val="000D5A45"/>
    <w:rsid w:val="000F2201"/>
    <w:rsid w:val="000F7575"/>
    <w:rsid w:val="00101AAE"/>
    <w:rsid w:val="00111E18"/>
    <w:rsid w:val="00132DB5"/>
    <w:rsid w:val="00142CB8"/>
    <w:rsid w:val="00150654"/>
    <w:rsid w:val="00152AC8"/>
    <w:rsid w:val="0016319C"/>
    <w:rsid w:val="00192B1E"/>
    <w:rsid w:val="00196426"/>
    <w:rsid w:val="00196841"/>
    <w:rsid w:val="001A154E"/>
    <w:rsid w:val="001A5D38"/>
    <w:rsid w:val="001C1B02"/>
    <w:rsid w:val="001D2465"/>
    <w:rsid w:val="001D513D"/>
    <w:rsid w:val="00202881"/>
    <w:rsid w:val="00212FCF"/>
    <w:rsid w:val="00223A6F"/>
    <w:rsid w:val="00226A1A"/>
    <w:rsid w:val="0025561C"/>
    <w:rsid w:val="00274F98"/>
    <w:rsid w:val="00275672"/>
    <w:rsid w:val="002768ED"/>
    <w:rsid w:val="00281063"/>
    <w:rsid w:val="00290B52"/>
    <w:rsid w:val="002A24B1"/>
    <w:rsid w:val="002A4D28"/>
    <w:rsid w:val="002F0379"/>
    <w:rsid w:val="002F4DC3"/>
    <w:rsid w:val="0030061A"/>
    <w:rsid w:val="00310B2D"/>
    <w:rsid w:val="00363981"/>
    <w:rsid w:val="003649D7"/>
    <w:rsid w:val="0037513E"/>
    <w:rsid w:val="00384EE1"/>
    <w:rsid w:val="003C397A"/>
    <w:rsid w:val="00405BF2"/>
    <w:rsid w:val="00406630"/>
    <w:rsid w:val="0045068E"/>
    <w:rsid w:val="00453BE4"/>
    <w:rsid w:val="00467889"/>
    <w:rsid w:val="004958FD"/>
    <w:rsid w:val="004B468D"/>
    <w:rsid w:val="004B7EC8"/>
    <w:rsid w:val="004D1B8B"/>
    <w:rsid w:val="004E36CE"/>
    <w:rsid w:val="004E7783"/>
    <w:rsid w:val="004F460A"/>
    <w:rsid w:val="004F4F87"/>
    <w:rsid w:val="004F7C71"/>
    <w:rsid w:val="005020B2"/>
    <w:rsid w:val="005339AF"/>
    <w:rsid w:val="00573A91"/>
    <w:rsid w:val="005B5D29"/>
    <w:rsid w:val="005F4B0B"/>
    <w:rsid w:val="00613E79"/>
    <w:rsid w:val="00633EBA"/>
    <w:rsid w:val="00635B20"/>
    <w:rsid w:val="00644195"/>
    <w:rsid w:val="00651D5A"/>
    <w:rsid w:val="00667326"/>
    <w:rsid w:val="00671B29"/>
    <w:rsid w:val="00684517"/>
    <w:rsid w:val="006A5855"/>
    <w:rsid w:val="006A6640"/>
    <w:rsid w:val="006B057C"/>
    <w:rsid w:val="006B0727"/>
    <w:rsid w:val="006C0614"/>
    <w:rsid w:val="006F14F6"/>
    <w:rsid w:val="007939A8"/>
    <w:rsid w:val="007A47BF"/>
    <w:rsid w:val="007A751F"/>
    <w:rsid w:val="007D6E1F"/>
    <w:rsid w:val="00801F8C"/>
    <w:rsid w:val="00817E6E"/>
    <w:rsid w:val="00841F26"/>
    <w:rsid w:val="008461DB"/>
    <w:rsid w:val="0087642D"/>
    <w:rsid w:val="00891369"/>
    <w:rsid w:val="008B36FF"/>
    <w:rsid w:val="008C5F46"/>
    <w:rsid w:val="008E1E52"/>
    <w:rsid w:val="008E54AB"/>
    <w:rsid w:val="008F23BD"/>
    <w:rsid w:val="00901F62"/>
    <w:rsid w:val="00903092"/>
    <w:rsid w:val="009103A7"/>
    <w:rsid w:val="00933446"/>
    <w:rsid w:val="00937822"/>
    <w:rsid w:val="00954C28"/>
    <w:rsid w:val="00954E72"/>
    <w:rsid w:val="00963FA8"/>
    <w:rsid w:val="009954F3"/>
    <w:rsid w:val="00997F01"/>
    <w:rsid w:val="009D5AE6"/>
    <w:rsid w:val="00A0644E"/>
    <w:rsid w:val="00A06993"/>
    <w:rsid w:val="00A17CC9"/>
    <w:rsid w:val="00A30128"/>
    <w:rsid w:val="00A3082C"/>
    <w:rsid w:val="00A71433"/>
    <w:rsid w:val="00A93438"/>
    <w:rsid w:val="00A96A63"/>
    <w:rsid w:val="00AC5F68"/>
    <w:rsid w:val="00AD1C6C"/>
    <w:rsid w:val="00AD432E"/>
    <w:rsid w:val="00B01763"/>
    <w:rsid w:val="00B02E3C"/>
    <w:rsid w:val="00B27C01"/>
    <w:rsid w:val="00B326F6"/>
    <w:rsid w:val="00B462EF"/>
    <w:rsid w:val="00B55F1D"/>
    <w:rsid w:val="00B57FDF"/>
    <w:rsid w:val="00B82C11"/>
    <w:rsid w:val="00BA7FB2"/>
    <w:rsid w:val="00C2264E"/>
    <w:rsid w:val="00C53A89"/>
    <w:rsid w:val="00C70398"/>
    <w:rsid w:val="00CC550E"/>
    <w:rsid w:val="00CD42DF"/>
    <w:rsid w:val="00D1306D"/>
    <w:rsid w:val="00D27E02"/>
    <w:rsid w:val="00D31E1C"/>
    <w:rsid w:val="00D37F63"/>
    <w:rsid w:val="00D43776"/>
    <w:rsid w:val="00D43BB5"/>
    <w:rsid w:val="00D5158B"/>
    <w:rsid w:val="00D84023"/>
    <w:rsid w:val="00DB0D46"/>
    <w:rsid w:val="00DF62BF"/>
    <w:rsid w:val="00E000E7"/>
    <w:rsid w:val="00E15C7A"/>
    <w:rsid w:val="00E44BE5"/>
    <w:rsid w:val="00E47D96"/>
    <w:rsid w:val="00E71D67"/>
    <w:rsid w:val="00E8051F"/>
    <w:rsid w:val="00E8683E"/>
    <w:rsid w:val="00EA1BAE"/>
    <w:rsid w:val="00EC3F3F"/>
    <w:rsid w:val="00EE5AF8"/>
    <w:rsid w:val="00F02FB9"/>
    <w:rsid w:val="00F328A5"/>
    <w:rsid w:val="00F35B76"/>
    <w:rsid w:val="00F517E3"/>
    <w:rsid w:val="00F75D95"/>
    <w:rsid w:val="00F76BA2"/>
    <w:rsid w:val="00FA19F3"/>
    <w:rsid w:val="00FB0FE5"/>
    <w:rsid w:val="00FB15C3"/>
    <w:rsid w:val="00FB212A"/>
    <w:rsid w:val="00FD429E"/>
    <w:rsid w:val="00FD7B03"/>
    <w:rsid w:val="00FF1B6A"/>
    <w:rsid w:val="00FF63E3"/>
    <w:rsid w:val="13DA55C4"/>
    <w:rsid w:val="16DF1508"/>
    <w:rsid w:val="17891FA6"/>
    <w:rsid w:val="1E7C71A1"/>
    <w:rsid w:val="257F61F2"/>
    <w:rsid w:val="2A6067A0"/>
    <w:rsid w:val="314067EA"/>
    <w:rsid w:val="426748AD"/>
    <w:rsid w:val="44F52628"/>
    <w:rsid w:val="458A0FC3"/>
    <w:rsid w:val="52C621CC"/>
    <w:rsid w:val="5AED055F"/>
    <w:rsid w:val="6E371668"/>
    <w:rsid w:val="733C32AC"/>
    <w:rsid w:val="76D22C91"/>
    <w:rsid w:val="76D8308D"/>
    <w:rsid w:val="776B18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63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F63E3"/>
    <w:pPr>
      <w:tabs>
        <w:tab w:val="center" w:pos="4153"/>
        <w:tab w:val="right" w:pos="8306"/>
      </w:tabs>
      <w:snapToGrid w:val="0"/>
      <w:jc w:val="left"/>
    </w:pPr>
    <w:rPr>
      <w:sz w:val="18"/>
      <w:szCs w:val="18"/>
    </w:rPr>
  </w:style>
  <w:style w:type="character" w:customStyle="1" w:styleId="Char">
    <w:name w:val="页脚 Char"/>
    <w:link w:val="a3"/>
    <w:uiPriority w:val="99"/>
    <w:rsid w:val="00FF63E3"/>
    <w:rPr>
      <w:kern w:val="2"/>
      <w:sz w:val="18"/>
      <w:szCs w:val="18"/>
    </w:rPr>
  </w:style>
  <w:style w:type="paragraph" w:styleId="a4">
    <w:name w:val="header"/>
    <w:basedOn w:val="a"/>
    <w:link w:val="Char0"/>
    <w:rsid w:val="00FF63E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FF63E3"/>
    <w:rPr>
      <w:kern w:val="2"/>
      <w:sz w:val="18"/>
      <w:szCs w:val="18"/>
    </w:rPr>
  </w:style>
  <w:style w:type="character" w:styleId="a5">
    <w:name w:val="page number"/>
    <w:basedOn w:val="a0"/>
    <w:rsid w:val="00FF63E3"/>
  </w:style>
  <w:style w:type="paragraph" w:styleId="a6">
    <w:name w:val="List Paragraph"/>
    <w:basedOn w:val="a"/>
    <w:uiPriority w:val="99"/>
    <w:qFormat/>
    <w:rsid w:val="004F4F87"/>
    <w:pPr>
      <w:ind w:firstLineChars="200" w:firstLine="420"/>
    </w:pPr>
  </w:style>
  <w:style w:type="paragraph" w:styleId="a7">
    <w:name w:val="Balloon Text"/>
    <w:basedOn w:val="a"/>
    <w:link w:val="Char1"/>
    <w:rsid w:val="006F14F6"/>
    <w:rPr>
      <w:sz w:val="18"/>
      <w:szCs w:val="18"/>
    </w:rPr>
  </w:style>
  <w:style w:type="character" w:customStyle="1" w:styleId="Char1">
    <w:name w:val="批注框文本 Char"/>
    <w:basedOn w:val="a0"/>
    <w:link w:val="a7"/>
    <w:rsid w:val="006F14F6"/>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15</Pages>
  <Words>825</Words>
  <Characters>4706</Characters>
  <Application>Microsoft Office Word</Application>
  <DocSecurity>0</DocSecurity>
  <Lines>39</Lines>
  <Paragraphs>11</Paragraphs>
  <ScaleCrop>false</ScaleCrop>
  <Company>Microsoft China</Company>
  <LinksUpToDate>false</LinksUpToDate>
  <CharactersWithSpaces>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8</cp:revision>
  <cp:lastPrinted>2022-10-19T00:35:00Z</cp:lastPrinted>
  <dcterms:created xsi:type="dcterms:W3CDTF">2022-10-09T01:14:00Z</dcterms:created>
  <dcterms:modified xsi:type="dcterms:W3CDTF">2022-10-19T00:36:00Z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319BA9F1116A4D5EAA57FD3AD3BFA5D4</vt:lpwstr>
  </property>
</Properties>
</file>