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宋体" w:hAnsi="宋体" w:eastAsia="宋体" w:cs="宋体"/>
          <w:i w:val="0"/>
          <w:caps w:val="0"/>
          <w:color w:val="auto"/>
          <w:spacing w:val="0"/>
          <w:sz w:val="44"/>
          <w:szCs w:val="44"/>
        </w:rPr>
      </w:pPr>
      <w:r>
        <w:rPr>
          <w:rFonts w:hint="eastAsia" w:ascii="宋体" w:hAnsi="宋体" w:eastAsia="宋体" w:cs="宋体"/>
          <w:i w:val="0"/>
          <w:caps w:val="0"/>
          <w:color w:val="auto"/>
          <w:spacing w:val="0"/>
          <w:sz w:val="44"/>
          <w:szCs w:val="44"/>
        </w:rPr>
        <w:t>鞍山市公安局201</w:t>
      </w:r>
      <w:r>
        <w:rPr>
          <w:rFonts w:hint="eastAsia" w:ascii="宋体" w:hAnsi="宋体" w:eastAsia="宋体" w:cs="宋体"/>
          <w:i w:val="0"/>
          <w:caps w:val="0"/>
          <w:color w:val="auto"/>
          <w:spacing w:val="0"/>
          <w:sz w:val="44"/>
          <w:szCs w:val="44"/>
          <w:lang w:val="en-US" w:eastAsia="zh-CN"/>
        </w:rPr>
        <w:t>9</w:t>
      </w:r>
      <w:r>
        <w:rPr>
          <w:rFonts w:hint="eastAsia" w:ascii="宋体" w:hAnsi="宋体" w:eastAsia="宋体" w:cs="宋体"/>
          <w:i w:val="0"/>
          <w:caps w:val="0"/>
          <w:color w:val="auto"/>
          <w:spacing w:val="0"/>
          <w:sz w:val="44"/>
          <w:szCs w:val="44"/>
        </w:rPr>
        <w:t>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宋体" w:hAnsi="宋体" w:eastAsia="宋体" w:cs="宋体"/>
          <w:i w:val="0"/>
          <w:caps w:val="0"/>
          <w:color w:val="auto"/>
          <w:spacing w:val="0"/>
          <w:kern w:val="0"/>
          <w:sz w:val="44"/>
          <w:szCs w:val="44"/>
          <w:lang w:val="en-US" w:eastAsia="zh-CN" w:bidi="ar"/>
        </w:rPr>
      </w:pPr>
      <w:r>
        <w:rPr>
          <w:rFonts w:hint="eastAsia" w:ascii="宋体" w:hAnsi="宋体" w:eastAsia="宋体" w:cs="宋体"/>
          <w:i w:val="0"/>
          <w:caps w:val="0"/>
          <w:color w:val="auto"/>
          <w:spacing w:val="0"/>
          <w:sz w:val="44"/>
          <w:szCs w:val="44"/>
        </w:rPr>
        <w:t>政府信息公开工作报告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0" w:firstLineChars="200"/>
        <w:jc w:val="both"/>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根据《中华人民共和国政府信息公开条例》，以下简称《条例》规定，现向社会公布2019年度鞍山市公安局政府信息公开工作年度报告。报告中所列数据的统计期限自2019年1月1日起至2019年12月31日止。本报告的电子版可在鞍山市公安局政务网站（http://gaj.anshan.gov.cn）下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0" w:firstLineChars="200"/>
        <w:jc w:val="both"/>
        <w:textAlignment w:val="auto"/>
        <w:rPr>
          <w:rFonts w:hint="eastAsia" w:ascii="黑体" w:hAnsi="黑体" w:eastAsia="黑体" w:cs="黑体"/>
          <w:i w:val="0"/>
          <w:caps w:val="0"/>
          <w:color w:val="auto"/>
          <w:spacing w:val="0"/>
          <w:kern w:val="0"/>
          <w:sz w:val="32"/>
          <w:szCs w:val="32"/>
          <w:lang w:val="en-US" w:eastAsia="zh-CN" w:bidi="ar"/>
        </w:rPr>
      </w:pPr>
      <w:r>
        <w:rPr>
          <w:rFonts w:hint="eastAsia" w:ascii="黑体" w:hAnsi="黑体" w:eastAsia="黑体" w:cs="黑体"/>
          <w:i w:val="0"/>
          <w:caps w:val="0"/>
          <w:color w:val="auto"/>
          <w:spacing w:val="0"/>
          <w:kern w:val="0"/>
          <w:sz w:val="32"/>
          <w:szCs w:val="32"/>
          <w:lang w:val="en-US" w:eastAsia="zh-CN" w:bidi="ar"/>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i w:val="0"/>
          <w:caps w:val="0"/>
          <w:color w:val="auto"/>
          <w:spacing w:val="0"/>
          <w:kern w:val="0"/>
          <w:sz w:val="32"/>
          <w:szCs w:val="32"/>
          <w:lang w:val="en-US" w:eastAsia="zh-CN" w:bidi="ar"/>
        </w:rPr>
        <w:t>（一）主动公开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0" w:firstLineChars="200"/>
        <w:jc w:val="both"/>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2019年，市公安局按照《鞍山市政务公开领导小组关于印发鞍山市2019年政务公开工作安排的通知》等文件要求，制定出台了《鞍山市公安局2019年政务公开工作安排》，有计划地推进政务公开工作。按照市政府要求，鞍山市公安局依据“严格依法、全面真实、及时便民”的原则，完善主动公开政府信息的程序，扩大政府信息传播范围，主动对外公开了概况信息、领导分工、财政预决算和“三公经费”等事项，进一步扩大了群众的知情权，加强人民群众对公安工作的有效监督，并通过“资讯服务”“爱民拥警”等栏目，对外公布了鞍山公安的动态信息和警民之间相处细节，增加了群众对公安工作和广大民警的了解，让政务公开信息发布内容更丰富。2019年主动公开政府信息2985条，公开的主要类别是：影响公众人身和财产安全的治安情况发布，涉及公共管理的道路交通、治安、出入境、人口管理等信息，安全防范及便民服务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i w:val="0"/>
          <w:caps w:val="0"/>
          <w:color w:val="auto"/>
          <w:spacing w:val="0"/>
          <w:kern w:val="0"/>
          <w:sz w:val="32"/>
          <w:szCs w:val="32"/>
          <w:lang w:val="en-US" w:eastAsia="zh-CN" w:bidi="ar"/>
        </w:rPr>
        <w:t>（二）依申请公开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0" w:firstLineChars="200"/>
        <w:jc w:val="both"/>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2019年，鞍山市公安局未收到公民依法提出的政府信息公开申请。但为依法依规及时回复公民依法提出的政府信息公开申请，确保答复合法有据、准确及时，维护公民的合法权益，我局按照《条例》最新规定，进一步完善和优化了政府信息依申请公开工作的受理、审查、征询等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i w:val="0"/>
          <w:caps w:val="0"/>
          <w:color w:val="auto"/>
          <w:spacing w:val="0"/>
          <w:kern w:val="0"/>
          <w:sz w:val="32"/>
          <w:szCs w:val="32"/>
          <w:lang w:val="en-US" w:eastAsia="zh-CN" w:bidi="ar"/>
        </w:rPr>
        <w:t>（三）政府信息管理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0" w:firstLineChars="200"/>
        <w:jc w:val="both"/>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市公安局对应当主动公开的政府信息，列入主动公开信息目录，及时向社会公开；规范信息公开申请接收、登记、办理、答复等流程，依法保障公民、法人和其他组织获取政府信息；要求列入公开范围的政府信息发布前，经办人填写《信息发布保密审查表》，经所在单位负责人和局分管领导审批同意后方可公开，严把政治关、政策关、文字关，杜绝出现敏感有害信息，确保公开内容的合法性、准确性、严肃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i w:val="0"/>
          <w:caps w:val="0"/>
          <w:color w:val="auto"/>
          <w:spacing w:val="0"/>
          <w:kern w:val="0"/>
          <w:sz w:val="32"/>
          <w:szCs w:val="32"/>
          <w:lang w:val="en-US" w:eastAsia="zh-CN" w:bidi="ar"/>
        </w:rPr>
        <w:t>（四）平台建设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0" w:firstLineChars="200"/>
        <w:jc w:val="both"/>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市公安局结合公安工作实际，针对不同群众的信息需求，围绕“方便群众办事、方便群众监督”的公开原则，大力推进政务公开平台建设。目前，市公安局共有4个主要的互联网公开发布平台：鞍山市政府官网信息公开公安专栏、鞍山市公安局政务网站、微博@鞍山公安”、微信公众号“鞍山公安”，在形式上体现互动和交流，进一步细化局长信箱、网上举报、政策咨询等栏目，以多种途径与用户进行互动交流，并安排专人负责，及时有效地受理、反馈群众意见和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i w:val="0"/>
          <w:caps w:val="0"/>
          <w:color w:val="auto"/>
          <w:spacing w:val="0"/>
          <w:kern w:val="0"/>
          <w:sz w:val="32"/>
          <w:szCs w:val="32"/>
          <w:lang w:val="en-US" w:eastAsia="zh-CN" w:bidi="ar"/>
        </w:rPr>
        <w:t>（五）监督保障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0" w:firstLineChars="200"/>
        <w:jc w:val="both"/>
        <w:textAlignment w:val="auto"/>
        <w:rPr>
          <w:rFonts w:hint="eastAsia" w:ascii="黑体" w:hAnsi="黑体" w:eastAsia="黑体" w:cs="Times New Roman"/>
          <w:sz w:val="32"/>
          <w:szCs w:val="32"/>
        </w:rPr>
      </w:pPr>
      <w:r>
        <w:rPr>
          <w:rFonts w:hint="eastAsia" w:ascii="仿宋_GB2312" w:hAnsi="ˎ̥" w:eastAsia="仿宋_GB2312" w:cs="宋体"/>
          <w:bCs/>
          <w:color w:val="000000"/>
          <w:kern w:val="0"/>
          <w:sz w:val="32"/>
          <w:szCs w:val="32"/>
          <w:lang w:val="en-US" w:eastAsia="zh-CN"/>
        </w:rPr>
        <w:t>市公安局</w:t>
      </w:r>
      <w:r>
        <w:rPr>
          <w:rFonts w:hint="eastAsia" w:ascii="仿宋_GB2312" w:hAnsi="ˎ̥" w:eastAsia="仿宋_GB2312" w:cs="宋体"/>
          <w:bCs/>
          <w:color w:val="000000"/>
          <w:kern w:val="0"/>
          <w:sz w:val="32"/>
          <w:szCs w:val="32"/>
        </w:rPr>
        <w:t>政务公开工作领导小组办公室负责编制公安部政务公开事项目录，对</w:t>
      </w:r>
      <w:r>
        <w:rPr>
          <w:rFonts w:hint="eastAsia" w:ascii="仿宋_GB2312" w:hAnsi="ˎ̥" w:eastAsia="仿宋_GB2312" w:cs="宋体"/>
          <w:bCs/>
          <w:color w:val="000000"/>
          <w:kern w:val="0"/>
          <w:sz w:val="32"/>
          <w:szCs w:val="32"/>
          <w:lang w:val="en-US" w:eastAsia="zh-CN"/>
        </w:rPr>
        <w:t>局</w:t>
      </w:r>
      <w:r>
        <w:rPr>
          <w:rFonts w:hint="eastAsia" w:ascii="仿宋_GB2312" w:hAnsi="ˎ̥" w:eastAsia="仿宋_GB2312" w:cs="宋体"/>
          <w:bCs/>
          <w:color w:val="000000"/>
          <w:kern w:val="0"/>
          <w:sz w:val="32"/>
          <w:szCs w:val="32"/>
        </w:rPr>
        <w:t>属各单位政务公开工作情况进行指导、协调和日常评估，并及时向</w:t>
      </w:r>
      <w:r>
        <w:rPr>
          <w:rFonts w:hint="eastAsia" w:ascii="仿宋_GB2312" w:hAnsi="ˎ̥" w:eastAsia="仿宋_GB2312" w:cs="宋体"/>
          <w:bCs/>
          <w:color w:val="000000"/>
          <w:kern w:val="0"/>
          <w:sz w:val="32"/>
          <w:szCs w:val="32"/>
          <w:lang w:val="en-US" w:eastAsia="zh-CN"/>
        </w:rPr>
        <w:t>市局</w:t>
      </w:r>
      <w:r>
        <w:rPr>
          <w:rFonts w:hint="eastAsia" w:ascii="仿宋_GB2312" w:hAnsi="ˎ̥" w:eastAsia="仿宋_GB2312" w:cs="宋体"/>
          <w:bCs/>
          <w:color w:val="000000"/>
          <w:kern w:val="0"/>
          <w:sz w:val="32"/>
          <w:szCs w:val="32"/>
        </w:rPr>
        <w:t>政务公开工作领导小组报告。</w:t>
      </w:r>
      <w:r>
        <w:rPr>
          <w:rFonts w:hint="eastAsia" w:ascii="仿宋_GB2312" w:hAnsi="ˎ̥" w:eastAsia="仿宋_GB2312" w:cs="宋体"/>
          <w:bCs/>
          <w:color w:val="000000"/>
          <w:kern w:val="0"/>
          <w:sz w:val="32"/>
          <w:szCs w:val="32"/>
          <w:lang w:val="en-US" w:eastAsia="zh-CN"/>
        </w:rPr>
        <w:t>市局</w:t>
      </w:r>
      <w:r>
        <w:rPr>
          <w:rFonts w:hint="eastAsia" w:ascii="仿宋_GB2312" w:hAnsi="ˎ̥" w:eastAsia="仿宋_GB2312" w:cs="宋体"/>
          <w:bCs/>
          <w:color w:val="000000"/>
          <w:kern w:val="0"/>
          <w:sz w:val="32"/>
          <w:szCs w:val="32"/>
        </w:rPr>
        <w:t>保密办对</w:t>
      </w:r>
      <w:r>
        <w:rPr>
          <w:rFonts w:hint="eastAsia" w:ascii="仿宋_GB2312" w:hAnsi="ˎ̥" w:eastAsia="仿宋_GB2312" w:cs="宋体"/>
          <w:bCs/>
          <w:color w:val="000000"/>
          <w:kern w:val="0"/>
          <w:sz w:val="32"/>
          <w:szCs w:val="32"/>
          <w:lang w:val="en-US" w:eastAsia="zh-CN"/>
        </w:rPr>
        <w:t>市局</w:t>
      </w:r>
      <w:r>
        <w:rPr>
          <w:rFonts w:hint="eastAsia" w:ascii="仿宋_GB2312" w:hAnsi="ˎ̥" w:eastAsia="仿宋_GB2312" w:cs="宋体"/>
          <w:bCs/>
          <w:color w:val="000000"/>
          <w:kern w:val="0"/>
          <w:sz w:val="32"/>
          <w:szCs w:val="32"/>
        </w:rPr>
        <w:t>政务公开事项目录及需进行涉密审查的拟公开事项履行保密审查的职责。纪检监察、督察部门负责对政务公开工作情况进行监督检查</w:t>
      </w:r>
      <w:r>
        <w:rPr>
          <w:rFonts w:hint="eastAsia" w:ascii="仿宋_GB2312" w:hAnsi="ˎ̥" w:eastAsia="仿宋_GB2312" w:cs="宋体"/>
          <w:bCs/>
          <w:color w:val="000000"/>
          <w:kern w:val="0"/>
          <w:sz w:val="32"/>
          <w:szCs w:val="32"/>
          <w:lang w:eastAsia="zh-CN"/>
        </w:rPr>
        <w:t>，</w:t>
      </w:r>
      <w:r>
        <w:rPr>
          <w:rFonts w:hint="eastAsia" w:ascii="仿宋_GB2312" w:hAnsi="ˎ̥" w:eastAsia="仿宋_GB2312" w:cs="宋体"/>
          <w:bCs/>
          <w:color w:val="000000"/>
          <w:kern w:val="0"/>
          <w:sz w:val="32"/>
          <w:szCs w:val="32"/>
        </w:rPr>
        <w:t>对违反政务公开规定造成严重后果的，追究相关部门和人员的责任。</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二、主动公开政府信息情况</w:t>
      </w:r>
    </w:p>
    <w:tbl>
      <w:tblPr>
        <w:tblStyle w:val="6"/>
        <w:tblW w:w="8140" w:type="dxa"/>
        <w:jc w:val="center"/>
        <w:tblLayout w:type="autofit"/>
        <w:tblCellMar>
          <w:top w:w="0" w:type="dxa"/>
          <w:left w:w="108" w:type="dxa"/>
          <w:bottom w:w="0" w:type="dxa"/>
          <w:right w:w="108" w:type="dxa"/>
        </w:tblCellMar>
      </w:tblPr>
      <w:tblGrid>
        <w:gridCol w:w="3113"/>
        <w:gridCol w:w="1875"/>
        <w:gridCol w:w="6"/>
        <w:gridCol w:w="1265"/>
        <w:gridCol w:w="1881"/>
      </w:tblGrid>
      <w:tr>
        <w:tblPrEx>
          <w:tblCellMar>
            <w:top w:w="0" w:type="dxa"/>
            <w:left w:w="108" w:type="dxa"/>
            <w:bottom w:w="0" w:type="dxa"/>
            <w:right w:w="108" w:type="dxa"/>
          </w:tblCellMar>
        </w:tblPrEx>
        <w:trPr>
          <w:trHeight w:val="495"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第二十条第（一）项</w:t>
            </w:r>
          </w:p>
        </w:tc>
      </w:tr>
      <w:tr>
        <w:tblPrEx>
          <w:tblCellMar>
            <w:top w:w="0" w:type="dxa"/>
            <w:left w:w="108" w:type="dxa"/>
            <w:bottom w:w="0" w:type="dxa"/>
            <w:right w:w="108" w:type="dxa"/>
          </w:tblCellMar>
        </w:tblPrEx>
        <w:trPr>
          <w:trHeight w:val="882"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制作数量</w:t>
            </w:r>
          </w:p>
        </w:tc>
        <w:tc>
          <w:tcPr>
            <w:tcW w:w="1271"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333333"/>
                <w:kern w:val="0"/>
                <w:sz w:val="20"/>
                <w:szCs w:val="20"/>
              </w:rPr>
              <w:t>公开数量</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对外公开总数量</w:t>
            </w:r>
          </w:p>
        </w:tc>
      </w:tr>
      <w:tr>
        <w:tblPrEx>
          <w:tblCellMar>
            <w:top w:w="0" w:type="dxa"/>
            <w:left w:w="108" w:type="dxa"/>
            <w:bottom w:w="0" w:type="dxa"/>
            <w:right w:w="108" w:type="dxa"/>
          </w:tblCellMar>
        </w:tblPrEx>
        <w:trPr>
          <w:trHeight w:val="523"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color w:val="333333"/>
                <w:kern w:val="0"/>
                <w:szCs w:val="21"/>
              </w:rPr>
            </w:pPr>
            <w:r>
              <w:rPr>
                <w:rFonts w:hint="eastAsia" w:ascii="宋体" w:hAnsi="宋体" w:eastAsia="宋体" w:cs="宋体"/>
                <w:color w:val="000000"/>
                <w:kern w:val="0"/>
                <w:sz w:val="20"/>
                <w:szCs w:val="20"/>
              </w:rPr>
              <w:t>规章</w:t>
            </w:r>
          </w:p>
        </w:tc>
        <w:tc>
          <w:tcPr>
            <w:tcW w:w="187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0</w:t>
            </w:r>
          </w:p>
        </w:tc>
        <w:tc>
          <w:tcPr>
            <w:tcW w:w="1271"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Calibri" w:eastAsia="宋体" w:cs="Times New Roman"/>
                <w:color w:val="000000"/>
                <w:kern w:val="0"/>
                <w:sz w:val="20"/>
                <w:szCs w:val="20"/>
                <w:lang w:val="en-US" w:eastAsia="zh-CN"/>
              </w:rPr>
              <w:t>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3</w:t>
            </w:r>
          </w:p>
        </w:tc>
      </w:tr>
      <w:tr>
        <w:tblPrEx>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color w:val="333333"/>
                <w:kern w:val="0"/>
                <w:szCs w:val="21"/>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2</w:t>
            </w:r>
          </w:p>
        </w:tc>
        <w:tc>
          <w:tcPr>
            <w:tcW w:w="1271" w:type="dxa"/>
            <w:gridSpan w:val="2"/>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Calibri" w:eastAsia="宋体" w:cs="Times New Roman"/>
                <w:color w:val="000000"/>
                <w:kern w:val="0"/>
                <w:sz w:val="20"/>
                <w:szCs w:val="20"/>
                <w:lang w:val="en-US" w:eastAsia="zh-CN"/>
              </w:rPr>
              <w:t>2</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2</w:t>
            </w:r>
          </w:p>
        </w:tc>
      </w:tr>
      <w:tr>
        <w:tblPrEx>
          <w:tblCellMar>
            <w:top w:w="0" w:type="dxa"/>
            <w:left w:w="108" w:type="dxa"/>
            <w:bottom w:w="0" w:type="dxa"/>
            <w:right w:w="108" w:type="dxa"/>
          </w:tblCellMar>
        </w:tblPrEx>
        <w:trPr>
          <w:trHeight w:val="480"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第二十条第（五）项</w:t>
            </w:r>
          </w:p>
        </w:tc>
      </w:tr>
      <w:tr>
        <w:tblPrEx>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上一年项目数量</w:t>
            </w:r>
          </w:p>
        </w:tc>
        <w:tc>
          <w:tcPr>
            <w:tcW w:w="1271"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处理决定数量</w:t>
            </w:r>
          </w:p>
        </w:tc>
      </w:tr>
      <w:tr>
        <w:tblPrEx>
          <w:tblCellMar>
            <w:top w:w="0" w:type="dxa"/>
            <w:left w:w="108" w:type="dxa"/>
            <w:bottom w:w="0" w:type="dxa"/>
            <w:right w:w="108" w:type="dxa"/>
          </w:tblCellMar>
        </w:tblPrEx>
        <w:trPr>
          <w:trHeight w:val="528"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color w:val="333333"/>
                <w:kern w:val="0"/>
                <w:szCs w:val="21"/>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default" w:ascii="宋体" w:hAnsi="宋体" w:eastAsia="宋体" w:cs="宋体"/>
                <w:color w:val="333333"/>
                <w:kern w:val="0"/>
                <w:szCs w:val="21"/>
                <w:highlight w:val="none"/>
                <w:lang w:val="en-US" w:eastAsia="zh-CN"/>
              </w:rPr>
            </w:pPr>
            <w:r>
              <w:rPr>
                <w:rFonts w:hint="eastAsia" w:ascii="宋体" w:hAnsi="宋体" w:eastAsia="宋体" w:cs="宋体"/>
                <w:color w:val="000000"/>
                <w:kern w:val="0"/>
                <w:sz w:val="20"/>
                <w:szCs w:val="20"/>
                <w:highlight w:val="none"/>
                <w:lang w:val="en-US" w:eastAsia="zh-CN"/>
              </w:rPr>
              <w:t>32</w:t>
            </w:r>
          </w:p>
        </w:tc>
        <w:tc>
          <w:tcPr>
            <w:tcW w:w="126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highlight w:val="none"/>
                <w:lang w:val="en-US" w:eastAsia="zh-CN"/>
              </w:rPr>
            </w:pPr>
            <w:r>
              <w:rPr>
                <w:rFonts w:hint="eastAsia" w:ascii="宋体" w:hAnsi="宋体" w:eastAsia="宋体" w:cs="宋体"/>
                <w:color w:val="000000"/>
                <w:kern w:val="0"/>
                <w:sz w:val="20"/>
                <w:szCs w:val="20"/>
                <w:highlight w:val="none"/>
                <w:lang w:val="en-US" w:eastAsia="zh-CN"/>
              </w:rPr>
              <w:t>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default"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765341</w:t>
            </w:r>
          </w:p>
        </w:tc>
      </w:tr>
      <w:tr>
        <w:tblPrEx>
          <w:tblCellMar>
            <w:top w:w="0" w:type="dxa"/>
            <w:left w:w="108" w:type="dxa"/>
            <w:bottom w:w="0" w:type="dxa"/>
            <w:right w:w="108" w:type="dxa"/>
          </w:tblCellMar>
        </w:tblPrEx>
        <w:trPr>
          <w:trHeight w:val="550"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color w:val="333333"/>
                <w:kern w:val="0"/>
                <w:szCs w:val="21"/>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default" w:ascii="宋体" w:hAnsi="宋体" w:eastAsia="宋体" w:cs="宋体"/>
                <w:color w:val="333333"/>
                <w:kern w:val="0"/>
                <w:szCs w:val="21"/>
                <w:highlight w:val="none"/>
                <w:lang w:val="en-US" w:eastAsia="zh-CN"/>
              </w:rPr>
            </w:pPr>
            <w:r>
              <w:rPr>
                <w:rFonts w:hint="eastAsia" w:ascii="宋体" w:hAnsi="宋体" w:eastAsia="宋体" w:cs="宋体"/>
                <w:color w:val="000000"/>
                <w:kern w:val="0"/>
                <w:sz w:val="20"/>
                <w:szCs w:val="20"/>
                <w:highlight w:val="none"/>
                <w:lang w:val="en-US" w:eastAsia="zh-CN"/>
              </w:rPr>
              <w:t>32</w:t>
            </w:r>
          </w:p>
        </w:tc>
        <w:tc>
          <w:tcPr>
            <w:tcW w:w="126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highlight w:val="none"/>
                <w:lang w:eastAsia="zh-CN"/>
              </w:rPr>
            </w:pPr>
            <w:r>
              <w:rPr>
                <w:rFonts w:hint="eastAsia" w:ascii="宋体" w:hAnsi="宋体" w:eastAsia="宋体" w:cs="宋体"/>
                <w:color w:val="000000"/>
                <w:kern w:val="0"/>
                <w:sz w:val="20"/>
                <w:szCs w:val="20"/>
                <w:highlight w:val="none"/>
                <w:lang w:val="en-US" w:eastAsia="zh-CN"/>
              </w:rPr>
              <w:t>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default"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82923</w:t>
            </w:r>
          </w:p>
        </w:tc>
      </w:tr>
      <w:tr>
        <w:tblPrEx>
          <w:tblCellMar>
            <w:top w:w="0" w:type="dxa"/>
            <w:left w:w="108" w:type="dxa"/>
            <w:bottom w:w="0" w:type="dxa"/>
            <w:right w:w="108" w:type="dxa"/>
          </w:tblCellMar>
        </w:tblPrEx>
        <w:trPr>
          <w:trHeight w:val="406"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第二十条第（六）项</w:t>
            </w:r>
          </w:p>
        </w:tc>
      </w:tr>
      <w:tr>
        <w:tblPrEx>
          <w:tblCellMar>
            <w:top w:w="0" w:type="dxa"/>
            <w:left w:w="108" w:type="dxa"/>
            <w:bottom w:w="0" w:type="dxa"/>
            <w:right w:w="108" w:type="dxa"/>
          </w:tblCellMar>
        </w:tblPrEx>
        <w:trPr>
          <w:trHeight w:val="634"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75" w:type="dxa"/>
            <w:tcBorders>
              <w:top w:val="single" w:color="auto" w:sz="4" w:space="0"/>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上一年项目数量</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本年增/减</w:t>
            </w:r>
          </w:p>
        </w:tc>
        <w:tc>
          <w:tcPr>
            <w:tcW w:w="1881" w:type="dxa"/>
            <w:tcBorders>
              <w:top w:val="single" w:color="auto" w:sz="4" w:space="0"/>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处理决定数量</w:t>
            </w:r>
          </w:p>
        </w:tc>
      </w:tr>
      <w:tr>
        <w:tblPrEx>
          <w:tblCellMar>
            <w:top w:w="0" w:type="dxa"/>
            <w:left w:w="108" w:type="dxa"/>
            <w:bottom w:w="0" w:type="dxa"/>
            <w:right w:w="108" w:type="dxa"/>
          </w:tblCellMar>
        </w:tblPrEx>
        <w:trPr>
          <w:trHeight w:val="430"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color w:val="333333"/>
                <w:kern w:val="0"/>
                <w:szCs w:val="21"/>
              </w:rPr>
            </w:pPr>
            <w:r>
              <w:rPr>
                <w:rFonts w:hint="eastAsia" w:ascii="宋体" w:hAnsi="宋体" w:eastAsia="宋体" w:cs="宋体"/>
                <w:color w:val="000000"/>
                <w:kern w:val="0"/>
                <w:sz w:val="20"/>
                <w:szCs w:val="20"/>
              </w:rPr>
              <w:t>行政处罚</w:t>
            </w:r>
          </w:p>
        </w:tc>
        <w:tc>
          <w:tcPr>
            <w:tcW w:w="1881" w:type="dxa"/>
            <w:gridSpan w:val="2"/>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default"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207</w:t>
            </w:r>
          </w:p>
        </w:tc>
        <w:tc>
          <w:tcPr>
            <w:tcW w:w="1265"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0</w:t>
            </w:r>
          </w:p>
        </w:tc>
        <w:tc>
          <w:tcPr>
            <w:tcW w:w="1881"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default"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18</w:t>
            </w:r>
          </w:p>
        </w:tc>
      </w:tr>
      <w:tr>
        <w:tblPrEx>
          <w:tblCellMar>
            <w:top w:w="0" w:type="dxa"/>
            <w:left w:w="108" w:type="dxa"/>
            <w:bottom w:w="0" w:type="dxa"/>
            <w:right w:w="108" w:type="dxa"/>
          </w:tblCellMar>
        </w:tblPrEx>
        <w:trPr>
          <w:trHeight w:val="409"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color w:val="333333"/>
                <w:kern w:val="0"/>
                <w:szCs w:val="21"/>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default"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25</w:t>
            </w:r>
          </w:p>
        </w:tc>
        <w:tc>
          <w:tcPr>
            <w:tcW w:w="1265"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108" w:type="dxa"/>
            <w:bottom w:w="0" w:type="dxa"/>
            <w:right w:w="108" w:type="dxa"/>
          </w:tblCellMar>
        </w:tblPrEx>
        <w:trPr>
          <w:trHeight w:val="474"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第二十条第（八）项</w:t>
            </w:r>
          </w:p>
        </w:tc>
      </w:tr>
      <w:tr>
        <w:tblPrEx>
          <w:tblCellMar>
            <w:top w:w="0" w:type="dxa"/>
            <w:left w:w="108" w:type="dxa"/>
            <w:bottom w:w="0" w:type="dxa"/>
            <w:right w:w="108" w:type="dxa"/>
          </w:tblCellMar>
        </w:tblPrEx>
        <w:trPr>
          <w:trHeight w:val="270"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color w:val="333333"/>
                <w:kern w:val="0"/>
                <w:szCs w:val="21"/>
              </w:rPr>
            </w:pPr>
            <w:r>
              <w:rPr>
                <w:rFonts w:hint="eastAsia" w:ascii="宋体" w:hAnsi="宋体" w:eastAsia="宋体" w:cs="宋体"/>
                <w:color w:val="000000"/>
                <w:kern w:val="0"/>
                <w:sz w:val="20"/>
                <w:szCs w:val="20"/>
              </w:rPr>
              <w:t>上一年项目数量</w:t>
            </w:r>
          </w:p>
        </w:tc>
        <w:tc>
          <w:tcPr>
            <w:tcW w:w="3146" w:type="dxa"/>
            <w:gridSpan w:val="2"/>
            <w:tcBorders>
              <w:top w:val="single" w:color="auto" w:sz="4" w:space="0"/>
              <w:left w:val="nil"/>
              <w:bottom w:val="single" w:color="auto" w:sz="4" w:space="0"/>
              <w:right w:val="single" w:color="000000"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本年增/减</w:t>
            </w:r>
          </w:p>
        </w:tc>
      </w:tr>
      <w:tr>
        <w:tblPrEx>
          <w:tblCellMar>
            <w:top w:w="0" w:type="dxa"/>
            <w:left w:w="108" w:type="dxa"/>
            <w:bottom w:w="0" w:type="dxa"/>
            <w:right w:w="108" w:type="dxa"/>
          </w:tblCellMar>
        </w:tblPrEx>
        <w:trPr>
          <w:trHeight w:val="551"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color w:val="333333"/>
                <w:kern w:val="0"/>
                <w:szCs w:val="21"/>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default"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34</w:t>
            </w:r>
          </w:p>
        </w:tc>
        <w:tc>
          <w:tcPr>
            <w:tcW w:w="3146" w:type="dxa"/>
            <w:gridSpan w:val="2"/>
            <w:tcBorders>
              <w:top w:val="single" w:color="auto" w:sz="4" w:space="0"/>
              <w:left w:val="nil"/>
              <w:bottom w:val="single" w:color="auto" w:sz="4" w:space="0"/>
              <w:right w:val="single" w:color="000000"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Calibri" w:eastAsia="宋体" w:cs="Times New Roman"/>
                <w:color w:val="000000"/>
                <w:kern w:val="0"/>
                <w:sz w:val="20"/>
                <w:szCs w:val="20"/>
                <w:lang w:val="en-US" w:eastAsia="zh-CN"/>
              </w:rPr>
              <w:t>0</w:t>
            </w:r>
          </w:p>
        </w:tc>
      </w:tr>
      <w:tr>
        <w:tblPrEx>
          <w:tblCellMar>
            <w:top w:w="0" w:type="dxa"/>
            <w:left w:w="108" w:type="dxa"/>
            <w:bottom w:w="0" w:type="dxa"/>
            <w:right w:w="108" w:type="dxa"/>
          </w:tblCellMar>
        </w:tblPrEx>
        <w:trPr>
          <w:trHeight w:val="476" w:hRule="atLeast"/>
          <w:jc w:val="center"/>
        </w:trPr>
        <w:tc>
          <w:tcPr>
            <w:tcW w:w="8140" w:type="dxa"/>
            <w:gridSpan w:val="5"/>
            <w:tcBorders>
              <w:top w:val="single" w:color="auto" w:sz="4" w:space="0"/>
              <w:left w:val="single" w:color="auto" w:sz="4" w:space="0"/>
              <w:bottom w:val="single" w:color="auto" w:sz="4" w:space="0"/>
              <w:right w:val="single" w:color="auto" w:sz="4" w:space="0"/>
            </w:tcBorders>
            <w:shd w:val="clear" w:color="auto" w:fill="C6D9F1"/>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第二十条第（九）项</w:t>
            </w:r>
          </w:p>
        </w:tc>
      </w:tr>
      <w:tr>
        <w:tblPrEx>
          <w:tblCellMar>
            <w:top w:w="0" w:type="dxa"/>
            <w:left w:w="108" w:type="dxa"/>
            <w:bottom w:w="0" w:type="dxa"/>
            <w:right w:w="108" w:type="dxa"/>
          </w:tblCellMar>
        </w:tblPrEx>
        <w:trPr>
          <w:trHeight w:val="585"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采购项目数量</w:t>
            </w:r>
          </w:p>
        </w:tc>
        <w:tc>
          <w:tcPr>
            <w:tcW w:w="3146" w:type="dxa"/>
            <w:gridSpan w:val="2"/>
            <w:tcBorders>
              <w:top w:val="single" w:color="auto" w:sz="4" w:space="0"/>
              <w:left w:val="nil"/>
              <w:bottom w:val="single" w:color="auto" w:sz="4" w:space="0"/>
              <w:right w:val="single" w:color="000000" w:sz="4" w:space="0"/>
            </w:tcBorders>
            <w:noWrap/>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采购总金额</w:t>
            </w:r>
          </w:p>
        </w:tc>
      </w:tr>
      <w:tr>
        <w:tblPrEx>
          <w:tblCellMar>
            <w:top w:w="0" w:type="dxa"/>
            <w:left w:w="108" w:type="dxa"/>
            <w:bottom w:w="0" w:type="dxa"/>
            <w:right w:w="108" w:type="dxa"/>
          </w:tblCellMar>
        </w:tblPrEx>
        <w:trPr>
          <w:trHeight w:val="539" w:hRule="atLeast"/>
          <w:jc w:val="center"/>
        </w:trPr>
        <w:tc>
          <w:tcPr>
            <w:tcW w:w="3113"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color w:val="333333"/>
                <w:kern w:val="0"/>
                <w:szCs w:val="21"/>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default" w:ascii="宋体" w:hAnsi="宋体" w:eastAsia="宋体" w:cs="宋体"/>
                <w:color w:val="333333"/>
                <w:kern w:val="0"/>
                <w:szCs w:val="21"/>
                <w:lang w:val="en-US" w:eastAsia="zh-CN"/>
              </w:rPr>
            </w:pPr>
            <w:r>
              <w:rPr>
                <w:rFonts w:hint="eastAsia" w:ascii="宋体" w:hAnsi="宋体" w:eastAsia="宋体" w:cs="宋体"/>
                <w:color w:val="000000"/>
                <w:kern w:val="0"/>
                <w:sz w:val="20"/>
                <w:szCs w:val="20"/>
                <w:lang w:val="en-US" w:eastAsia="zh-CN"/>
              </w:rPr>
              <w:t>21</w:t>
            </w:r>
          </w:p>
        </w:tc>
        <w:tc>
          <w:tcPr>
            <w:tcW w:w="3146" w:type="dxa"/>
            <w:gridSpan w:val="2"/>
            <w:tcBorders>
              <w:top w:val="single" w:color="auto" w:sz="4" w:space="0"/>
              <w:left w:val="nil"/>
              <w:bottom w:val="single" w:color="auto" w:sz="4" w:space="0"/>
              <w:right w:val="single" w:color="000000" w:sz="4" w:space="0"/>
            </w:tcBorders>
            <w:noWrap/>
            <w:vAlign w:val="center"/>
          </w:tcPr>
          <w:p>
            <w:pPr>
              <w:widowControl/>
              <w:spacing w:before="100" w:beforeAutospacing="1" w:after="180" w:line="480" w:lineRule="auto"/>
              <w:jc w:val="center"/>
              <w:rPr>
                <w:rFonts w:hint="default"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1658.5万元</w:t>
            </w:r>
          </w:p>
        </w:tc>
      </w:tr>
    </w:tbl>
    <w:p>
      <w:pPr>
        <w:widowControl/>
        <w:spacing w:line="432" w:lineRule="auto"/>
        <w:ind w:firstLine="480"/>
        <w:rPr>
          <w:rFonts w:ascii="Times New Roman" w:hAnsi="Times New Roman" w:eastAsia="仿宋" w:cs="Times New Roman"/>
          <w:color w:val="333333"/>
          <w:kern w:val="0"/>
          <w:sz w:val="32"/>
          <w:szCs w:val="32"/>
        </w:rPr>
      </w:pPr>
    </w:p>
    <w:p>
      <w:pPr>
        <w:ind w:firstLine="643" w:firstLineChars="200"/>
        <w:rPr>
          <w:rFonts w:ascii="黑体" w:hAnsi="黑体" w:eastAsia="黑体" w:cs="Times New Roman"/>
          <w:b/>
          <w:bCs/>
          <w:color w:val="333333"/>
          <w:kern w:val="0"/>
          <w:sz w:val="32"/>
          <w:szCs w:val="32"/>
        </w:rPr>
      </w:pPr>
      <w:r>
        <w:rPr>
          <w:rFonts w:ascii="黑体" w:hAnsi="黑体" w:eastAsia="黑体" w:cs="Times New Roman"/>
          <w:b/>
          <w:bCs/>
          <w:color w:val="333333"/>
          <w:kern w:val="0"/>
          <w:sz w:val="32"/>
          <w:szCs w:val="32"/>
        </w:rPr>
        <w:t>三、收到和处理政府信息公开申请情况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商业企业</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科研机构</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社会公益组织</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法律服务机构</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color w:val="333333"/>
                <w:kern w:val="0"/>
                <w:szCs w:val="21"/>
              </w:rPr>
            </w:pPr>
            <w:r>
              <w:rPr>
                <w:rFonts w:hint="eastAsia" w:ascii="Calibri" w:hAnsi="Calibri" w:eastAsia="宋体" w:cs="Times New Roman"/>
                <w:color w:val="333333"/>
                <w:sz w:val="20"/>
                <w:szCs w:val="20"/>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color w:val="333333"/>
                <w:kern w:val="0"/>
                <w:szCs w:val="21"/>
              </w:rPr>
            </w:pPr>
            <w:r>
              <w:rPr>
                <w:rFonts w:hint="eastAsia" w:ascii="Calibri" w:hAnsi="Calibri" w:eastAsia="宋体" w:cs="Times New Roman"/>
                <w:color w:val="333333"/>
                <w:sz w:val="20"/>
                <w:szCs w:val="20"/>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（一）予以公开</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（三）不予公开</w:t>
            </w: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1.属于国家秘密</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（四）无法提供</w:t>
            </w: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lang w:val="en-US" w:eastAsia="zh-CN"/>
              </w:rPr>
            </w:pPr>
            <w:r>
              <w:rPr>
                <w:rFonts w:hint="eastAsia" w:ascii="Calibri" w:hAnsi="Calibri" w:eastAsia="宋体" w:cs="Times New Roman"/>
                <w:color w:val="333333"/>
                <w:sz w:val="20"/>
                <w:szCs w:val="20"/>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（五）不予处理</w:t>
            </w: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2.重复申请</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p>
        </w:tc>
        <w:tc>
          <w:tcPr>
            <w:tcW w:w="213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（六）其他处理</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Calibri" w:hAnsi="Calibri" w:eastAsia="宋体" w:cs="Times New Roman"/>
                <w:color w:val="333333"/>
                <w:sz w:val="20"/>
                <w:szCs w:val="20"/>
              </w:rPr>
            </w:pPr>
            <w:r>
              <w:rPr>
                <w:rFonts w:hint="eastAsia" w:ascii="Calibri" w:hAnsi="Calibri" w:eastAsia="宋体" w:cs="Times New Roman"/>
                <w:color w:val="333333"/>
                <w:sz w:val="20"/>
                <w:szCs w:val="20"/>
              </w:rPr>
              <w:t>（七）总计</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color w:val="333333"/>
                <w:kern w:val="0"/>
                <w:szCs w:val="21"/>
              </w:rPr>
            </w:pPr>
            <w:r>
              <w:rPr>
                <w:rFonts w:hint="eastAsia" w:ascii="Calibri" w:hAnsi="Calibri" w:eastAsia="宋体" w:cs="Times New Roman"/>
                <w:color w:val="333333"/>
                <w:sz w:val="20"/>
                <w:szCs w:val="20"/>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6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99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widowControl/>
        <w:spacing w:line="432" w:lineRule="auto"/>
        <w:ind w:firstLine="480"/>
        <w:rPr>
          <w:rFonts w:ascii="仿宋" w:hAnsi="仿宋" w:eastAsia="仿宋" w:cs="宋体"/>
          <w:color w:val="333333"/>
          <w:kern w:val="0"/>
          <w:sz w:val="32"/>
          <w:szCs w:val="32"/>
        </w:rPr>
      </w:pPr>
    </w:p>
    <w:p>
      <w:pPr>
        <w:widowControl/>
        <w:spacing w:line="432" w:lineRule="auto"/>
        <w:ind w:firstLine="480"/>
        <w:rPr>
          <w:rFonts w:ascii="仿宋" w:hAnsi="仿宋" w:eastAsia="仿宋" w:cs="宋体"/>
          <w:color w:val="333333"/>
          <w:kern w:val="0"/>
          <w:sz w:val="32"/>
          <w:szCs w:val="32"/>
        </w:rPr>
      </w:pPr>
    </w:p>
    <w:p>
      <w:pPr>
        <w:widowControl/>
        <w:spacing w:line="432" w:lineRule="auto"/>
        <w:ind w:firstLine="480"/>
        <w:rPr>
          <w:rFonts w:ascii="仿宋" w:hAnsi="仿宋" w:eastAsia="仿宋" w:cs="宋体"/>
          <w:color w:val="333333"/>
          <w:kern w:val="0"/>
          <w:sz w:val="32"/>
          <w:szCs w:val="32"/>
        </w:rPr>
      </w:pPr>
    </w:p>
    <w:p>
      <w:pPr>
        <w:widowControl/>
        <w:spacing w:line="432" w:lineRule="auto"/>
        <w:ind w:firstLine="480"/>
        <w:rPr>
          <w:rFonts w:ascii="仿宋" w:hAnsi="仿宋" w:eastAsia="仿宋" w:cs="宋体"/>
          <w:color w:val="333333"/>
          <w:kern w:val="0"/>
          <w:sz w:val="32"/>
          <w:szCs w:val="32"/>
        </w:rPr>
      </w:pPr>
    </w:p>
    <w:p>
      <w:pPr>
        <w:widowControl/>
        <w:spacing w:line="432" w:lineRule="auto"/>
        <w:ind w:firstLine="480"/>
        <w:rPr>
          <w:rFonts w:hint="eastAsia" w:ascii="仿宋" w:hAnsi="仿宋" w:eastAsia="仿宋" w:cs="宋体"/>
          <w:color w:val="333333"/>
          <w:kern w:val="0"/>
          <w:sz w:val="32"/>
          <w:szCs w:val="32"/>
        </w:rPr>
      </w:pPr>
    </w:p>
    <w:p>
      <w:pPr>
        <w:widowControl/>
        <w:spacing w:line="432" w:lineRule="auto"/>
        <w:ind w:firstLine="480"/>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四、政府信息公开行政复议、行政诉讼情况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0" w:type="auto"/>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0" w:type="auto"/>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6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60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65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55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hint="eastAsia" w:ascii="Calibri" w:hAnsi="Calibri" w:eastAsia="宋体" w:cs="Times New Roman"/>
                <w:color w:val="333333"/>
                <w:sz w:val="20"/>
                <w:szCs w:val="20"/>
              </w:rPr>
              <w:t> </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hint="eastAsia" w:ascii="Calibri" w:hAnsi="Calibri" w:eastAsia="宋体" w:cs="Times New Roman"/>
                <w:color w:val="333333"/>
                <w:sz w:val="20"/>
                <w:szCs w:val="20"/>
              </w:rPr>
              <w:t> </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hint="eastAsia" w:ascii="Calibri" w:hAnsi="Calibri" w:eastAsia="宋体" w:cs="Times New Roman"/>
                <w:color w:val="333333"/>
                <w:sz w:val="20"/>
                <w:szCs w:val="20"/>
              </w:rPr>
              <w:t> </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rPr>
            </w:pPr>
            <w:r>
              <w:rPr>
                <w:rFonts w:hint="eastAsia" w:ascii="Calibri" w:hAnsi="Calibri" w:eastAsia="宋体" w:cs="Times New Roman"/>
                <w:color w:val="333333"/>
                <w:sz w:val="20"/>
                <w:szCs w:val="20"/>
                <w:lang w:val="en-US" w:eastAsia="zh-CN"/>
              </w:rPr>
              <w:t>0</w:t>
            </w:r>
            <w:r>
              <w:rPr>
                <w:rFonts w:hint="eastAsia" w:ascii="Calibri" w:hAnsi="Calibri" w:eastAsia="宋体" w:cs="Times New Roman"/>
                <w:color w:val="333333"/>
                <w:sz w:val="20"/>
                <w:szCs w:val="20"/>
              </w:rPr>
              <w:t> </w:t>
            </w:r>
          </w:p>
        </w:tc>
        <w:tc>
          <w:tcPr>
            <w:tcW w:w="6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0" w:firstLineChars="200"/>
        <w:jc w:val="both"/>
        <w:textAlignment w:val="auto"/>
        <w:rPr>
          <w:rFonts w:hint="eastAsia" w:ascii="黑体" w:hAnsi="黑体" w:eastAsia="黑体" w:cs="黑体"/>
          <w:i w:val="0"/>
          <w:caps w:val="0"/>
          <w:color w:val="auto"/>
          <w:spacing w:val="0"/>
          <w:kern w:val="0"/>
          <w:sz w:val="32"/>
          <w:szCs w:val="32"/>
          <w:highlight w:val="none"/>
          <w:lang w:val="en-US" w:eastAsia="zh-CN" w:bidi="ar"/>
        </w:rPr>
      </w:pPr>
      <w:r>
        <w:rPr>
          <w:rFonts w:hint="eastAsia" w:ascii="黑体" w:hAnsi="黑体" w:eastAsia="黑体" w:cs="黑体"/>
          <w:i w:val="0"/>
          <w:caps w:val="0"/>
          <w:color w:val="auto"/>
          <w:spacing w:val="0"/>
          <w:kern w:val="0"/>
          <w:sz w:val="32"/>
          <w:szCs w:val="32"/>
          <w:highlight w:val="none"/>
          <w:lang w:val="en-US" w:eastAsia="zh-CN" w:bidi="ar"/>
        </w:rPr>
        <w:t>五、政府信息公开工作存在的主要问题及改进情况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3" w:firstLineChars="200"/>
        <w:jc w:val="both"/>
        <w:textAlignment w:val="auto"/>
        <w:rPr>
          <w:rFonts w:hint="eastAsia"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i w:val="0"/>
          <w:caps w:val="0"/>
          <w:color w:val="auto"/>
          <w:spacing w:val="0"/>
          <w:kern w:val="0"/>
          <w:sz w:val="32"/>
          <w:szCs w:val="32"/>
          <w:lang w:val="en-US" w:eastAsia="zh-CN" w:bidi="ar"/>
        </w:rPr>
        <w:t>（一）存在问题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0" w:firstLineChars="200"/>
        <w:jc w:val="both"/>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我局在市局政务网站设置了“政策咨询”功能，并在“鞍山公安”微信公众号设置按钮链接，方便群众咨询业务，并将不涉及留言咨询群众隐私的共性问题和回复内容统一放到“问题答复库”中进行展示。在日积月累中，“问题答复库”中的内容越来越多，不方便群众翻看和查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3" w:firstLineChars="200"/>
        <w:jc w:val="both"/>
        <w:textAlignment w:val="auto"/>
        <w:rPr>
          <w:rFonts w:hint="default" w:ascii="仿宋" w:hAnsi="仿宋" w:eastAsia="仿宋" w:cs="仿宋"/>
          <w:b/>
          <w:bCs/>
          <w:i w:val="0"/>
          <w:caps w:val="0"/>
          <w:color w:val="auto"/>
          <w:spacing w:val="0"/>
          <w:kern w:val="0"/>
          <w:sz w:val="32"/>
          <w:szCs w:val="32"/>
          <w:lang w:val="en-US" w:eastAsia="zh-CN" w:bidi="ar"/>
        </w:rPr>
      </w:pPr>
      <w:r>
        <w:rPr>
          <w:rFonts w:hint="eastAsia" w:ascii="仿宋" w:hAnsi="仿宋" w:eastAsia="仿宋" w:cs="仿宋"/>
          <w:b/>
          <w:bCs/>
          <w:i w:val="0"/>
          <w:caps w:val="0"/>
          <w:color w:val="auto"/>
          <w:spacing w:val="0"/>
          <w:kern w:val="0"/>
          <w:sz w:val="32"/>
          <w:szCs w:val="32"/>
          <w:lang w:val="en-US" w:eastAsia="zh-CN" w:bidi="ar"/>
        </w:rPr>
        <w:t>（二）改进情况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0" w:firstLineChars="200"/>
        <w:jc w:val="both"/>
        <w:textAlignment w:val="auto"/>
        <w:rPr>
          <w:rFonts w:hint="default"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我局针对这一情况，今年进一步优化了群众对栏目页面的功能体验，并安排专人及时调度通报留言受理和答复情况，确保每一条咨询都做到按时、准确、详实回复，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225" w:firstLine="640" w:firstLineChars="200"/>
        <w:jc w:val="both"/>
        <w:textAlignment w:val="auto"/>
        <w:rPr>
          <w:rFonts w:hint="eastAsia" w:ascii="黑体" w:hAnsi="黑体" w:eastAsia="黑体" w:cs="黑体"/>
          <w:i w:val="0"/>
          <w:caps w:val="0"/>
          <w:color w:val="auto"/>
          <w:spacing w:val="0"/>
          <w:kern w:val="0"/>
          <w:sz w:val="32"/>
          <w:szCs w:val="32"/>
          <w:lang w:val="en-US" w:eastAsia="zh-CN" w:bidi="ar"/>
        </w:rPr>
      </w:pPr>
      <w:r>
        <w:rPr>
          <w:rFonts w:hint="eastAsia" w:ascii="黑体" w:hAnsi="黑体" w:eastAsia="黑体" w:cs="黑体"/>
          <w:i w:val="0"/>
          <w:caps w:val="0"/>
          <w:color w:val="auto"/>
          <w:spacing w:val="0"/>
          <w:kern w:val="0"/>
          <w:sz w:val="32"/>
          <w:szCs w:val="32"/>
          <w:lang w:val="en-US" w:eastAsia="zh-CN" w:bidi="ar"/>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225" w:firstLine="640" w:firstLineChars="200"/>
        <w:jc w:val="both"/>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为深入宣传贯彻政务信息公开条例，助力“重实干、强执行、抓落实”专项行动落地，5月15日9时，鞍山市公安局在大商新玛特广场设主会场，组织开展了全市公安机关第十三届“5</w:t>
      </w:r>
      <w:r>
        <w:rPr>
          <w:rFonts w:hint="eastAsia" w:ascii="宋体" w:hAnsi="宋体" w:eastAsia="宋体" w:cs="宋体"/>
          <w:i w:val="0"/>
          <w:caps w:val="0"/>
          <w:color w:val="auto"/>
          <w:spacing w:val="0"/>
          <w:kern w:val="0"/>
          <w:sz w:val="32"/>
          <w:szCs w:val="32"/>
          <w:lang w:val="en-US" w:eastAsia="zh-CN" w:bidi="ar"/>
        </w:rPr>
        <w:t>·</w:t>
      </w:r>
      <w:r>
        <w:rPr>
          <w:rFonts w:hint="eastAsia" w:ascii="仿宋" w:hAnsi="仿宋" w:eastAsia="仿宋" w:cs="仿宋"/>
          <w:i w:val="0"/>
          <w:caps w:val="0"/>
          <w:color w:val="auto"/>
          <w:spacing w:val="0"/>
          <w:kern w:val="0"/>
          <w:sz w:val="32"/>
          <w:szCs w:val="32"/>
          <w:lang w:val="en-US" w:eastAsia="zh-CN" w:bidi="ar"/>
        </w:rPr>
        <w:t>15政务公开日”宣传活动。各县（区）局、分局在各自辖区内设分会场，市局人口和出入境管理局行政审批大队在市公共行政服务中心同步开展宣传活动。在活动中，市公安局通过大屏幕播放宣传视频、摆放展板、发放宣传单、现场受理市民和企业咨询诉求等方式，围绕省市“重实干、强执行、抓落实”专项行动和公安机关优化营商环境主题活动、“拱卫钢都 守卫家园”系列专项行动，对政府信息公开条例和本单位重要政策措施等进行宣传解读，广泛宣传全市公安机关优化营商环境和各类公安行政服务举措，广泛征求意见建议，主动解答群众疑问。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225" w:right="225" w:firstLine="640" w:firstLineChars="200"/>
        <w:jc w:val="right"/>
        <w:textAlignment w:val="auto"/>
        <w:rPr>
          <w:rFonts w:hint="eastAsia" w:ascii="仿宋" w:hAnsi="仿宋" w:eastAsia="仿宋" w:cs="仿宋"/>
          <w:i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225" w:right="225" w:firstLine="640" w:firstLineChars="200"/>
        <w:jc w:val="center"/>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lang w:val="en-US" w:eastAsia="zh-CN" w:bidi="ar"/>
        </w:rPr>
        <w:t xml:space="preserve">                </w:t>
      </w:r>
      <w:bookmarkStart w:id="0" w:name="_GoBack"/>
      <w:bookmarkEnd w:id="0"/>
      <w:r>
        <w:rPr>
          <w:rFonts w:hint="eastAsia" w:ascii="仿宋" w:hAnsi="仿宋" w:eastAsia="仿宋" w:cs="仿宋"/>
          <w:i w:val="0"/>
          <w:caps w:val="0"/>
          <w:color w:val="auto"/>
          <w:spacing w:val="0"/>
          <w:kern w:val="0"/>
          <w:sz w:val="32"/>
          <w:szCs w:val="32"/>
          <w:lang w:val="en-US" w:eastAsia="zh-CN" w:bidi="ar"/>
        </w:rPr>
        <w:t>鞍山市公安局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225" w:right="225" w:firstLine="640" w:firstLineChars="200"/>
        <w:jc w:val="center"/>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lang w:val="en-US" w:eastAsia="zh-CN" w:bidi="ar"/>
        </w:rPr>
        <w:t xml:space="preserve">                 2020年1月19日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p>
    <w:p>
      <w:pPr>
        <w:widowControl/>
        <w:spacing w:line="432" w:lineRule="auto"/>
        <w:jc w:val="center"/>
        <w:rPr>
          <w:rFonts w:ascii="Times New Roman" w:hAnsi="Times New Roman" w:eastAsia="宋体" w:cs="Times New Roman"/>
          <w:color w:val="333333"/>
          <w:kern w:val="0"/>
          <w:sz w:val="32"/>
          <w:szCs w:val="32"/>
        </w:rPr>
      </w:pPr>
    </w:p>
    <w:sectPr>
      <w:footerReference r:id="rId3" w:type="default"/>
      <w:pgSz w:w="11906" w:h="16838"/>
      <w:pgMar w:top="1134" w:right="1474" w:bottom="1134"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2561279"/>
      <w:docPartObj>
        <w:docPartGallery w:val="autotext"/>
      </w:docPartObj>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82"/>
    <w:rsid w:val="000B7282"/>
    <w:rsid w:val="000D7A8A"/>
    <w:rsid w:val="0011171B"/>
    <w:rsid w:val="001839D9"/>
    <w:rsid w:val="001F3C0B"/>
    <w:rsid w:val="00456667"/>
    <w:rsid w:val="00574E15"/>
    <w:rsid w:val="00706030"/>
    <w:rsid w:val="007E3F7D"/>
    <w:rsid w:val="00940832"/>
    <w:rsid w:val="009A3B7F"/>
    <w:rsid w:val="009D4C9C"/>
    <w:rsid w:val="00B86DD9"/>
    <w:rsid w:val="0A2A787D"/>
    <w:rsid w:val="137B2BBC"/>
    <w:rsid w:val="138D7921"/>
    <w:rsid w:val="151177E8"/>
    <w:rsid w:val="1CAC55EE"/>
    <w:rsid w:val="1DD16CC5"/>
    <w:rsid w:val="1FFC1EC1"/>
    <w:rsid w:val="245B3FD4"/>
    <w:rsid w:val="2474043D"/>
    <w:rsid w:val="26FA09E7"/>
    <w:rsid w:val="274D2579"/>
    <w:rsid w:val="29043170"/>
    <w:rsid w:val="2A992025"/>
    <w:rsid w:val="2D4F5503"/>
    <w:rsid w:val="35D76714"/>
    <w:rsid w:val="396425FE"/>
    <w:rsid w:val="3BDC31F7"/>
    <w:rsid w:val="3D70675D"/>
    <w:rsid w:val="49DC2BCD"/>
    <w:rsid w:val="4A443722"/>
    <w:rsid w:val="4C363C5A"/>
    <w:rsid w:val="4DC77D48"/>
    <w:rsid w:val="4FC17EE7"/>
    <w:rsid w:val="52B058F5"/>
    <w:rsid w:val="5588589F"/>
    <w:rsid w:val="69CE40AD"/>
    <w:rsid w:val="6A3226E9"/>
    <w:rsid w:val="6FC33BA5"/>
    <w:rsid w:val="79775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gang\Documents\&#33258;&#23450;&#20041;%20Office%20&#27169;&#26495;\Doc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Doc1</Template>
  <Pages>15</Pages>
  <Words>895</Words>
  <Characters>5106</Characters>
  <Lines>42</Lines>
  <Paragraphs>11</Paragraphs>
  <TotalTime>64</TotalTime>
  <ScaleCrop>false</ScaleCrop>
  <LinksUpToDate>false</LinksUpToDate>
  <CharactersWithSpaces>5990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2019-11-27T07:03:00Z</dcterms:created>
  <dc:creator>zhanggang</dc:creator>
  <cp:lastModifiedBy>爱沐</cp:lastModifiedBy>
  <cp:lastPrinted>2020-01-21T01:26:47Z</cp:lastPrinted>
  <dcterms:modified xsi:type="dcterms:W3CDTF">2020-01-21T01:27:08Z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